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微生物杀虫剂项目规划设计方案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12" w:history="1">
        <w:r>
          <w:rPr>
            <w:rFonts w:ascii="仿宋" w:eastAsia="仿宋" w:hAnsi="仿宋" w:cs="仿宋" w:hint="eastAsia"/>
            <w:lang w:eastAsia="zh-CN"/>
          </w:rPr>
          <w:t>前言</w:t>
        </w:r>
        <w:r>
          <w:tab/>
        </w:r>
        <w:r>
          <w:fldChar w:fldCharType="begin"/>
        </w:r>
        <w:r>
          <w:instrText xml:space="preserve"> PAGEREF _Toc15912 \h </w:instrText>
        </w:r>
        <w:r>
          <w:fldChar w:fldCharType="separate"/>
        </w:r>
        <w:r>
          <w:t>3</w:t>
        </w:r>
        <w:r>
          <w:fldChar w:fldCharType="end"/>
        </w:r>
      </w:hyperlink>
    </w:p>
    <w:p>
      <w:pPr>
        <w:pStyle w:val="TOC1"/>
        <w:tabs>
          <w:tab w:val="right" w:leader="dot" w:pos="8306"/>
        </w:tabs>
      </w:pPr>
      <w:hyperlink w:anchor="_Toc31398" w:history="1">
        <w:r>
          <w:rPr>
            <w:rFonts w:ascii="仿宋" w:eastAsia="仿宋" w:hAnsi="仿宋" w:cs="仿宋" w:hint="eastAsia"/>
            <w:lang w:eastAsia="zh-CN"/>
          </w:rPr>
          <w:t>一、微生物杀虫剂项目绩效评估</w:t>
        </w:r>
        <w:r>
          <w:tab/>
        </w:r>
        <w:r>
          <w:fldChar w:fldCharType="begin"/>
        </w:r>
        <w:r>
          <w:instrText xml:space="preserve"> PAGEREF _Toc31398 \h </w:instrText>
        </w:r>
        <w:r>
          <w:fldChar w:fldCharType="separate"/>
        </w:r>
        <w:r>
          <w:t>3</w:t>
        </w:r>
        <w:r>
          <w:fldChar w:fldCharType="end"/>
        </w:r>
      </w:hyperlink>
    </w:p>
    <w:p>
      <w:pPr>
        <w:pStyle w:val="TOC2"/>
        <w:tabs>
          <w:tab w:val="right" w:leader="dot" w:pos="8306"/>
        </w:tabs>
      </w:pPr>
      <w:hyperlink w:anchor="_Toc19945" w:history="1">
        <w:r>
          <w:rPr>
            <w:rFonts w:ascii="仿宋" w:eastAsia="仿宋" w:hAnsi="仿宋" w:cs="仿宋" w:hint="eastAsia"/>
            <w:lang w:eastAsia="zh-CN"/>
          </w:rPr>
          <w:t>(一)、绩效评估指标</w:t>
        </w:r>
        <w:r>
          <w:tab/>
        </w:r>
        <w:r>
          <w:fldChar w:fldCharType="begin"/>
        </w:r>
        <w:r>
          <w:instrText xml:space="preserve"> PAGEREF _Toc19945 \h </w:instrText>
        </w:r>
        <w:r>
          <w:fldChar w:fldCharType="separate"/>
        </w:r>
        <w:r>
          <w:t>3</w:t>
        </w:r>
        <w:r>
          <w:fldChar w:fldCharType="end"/>
        </w:r>
      </w:hyperlink>
    </w:p>
    <w:p>
      <w:pPr>
        <w:pStyle w:val="TOC2"/>
        <w:tabs>
          <w:tab w:val="right" w:leader="dot" w:pos="8306"/>
        </w:tabs>
      </w:pPr>
      <w:hyperlink w:anchor="_Toc27481" w:history="1">
        <w:r>
          <w:rPr>
            <w:rFonts w:ascii="仿宋" w:eastAsia="仿宋" w:hAnsi="仿宋" w:cs="仿宋" w:hint="eastAsia"/>
            <w:lang w:eastAsia="zh-CN"/>
          </w:rPr>
          <w:t>(二)、绩效评估方法</w:t>
        </w:r>
        <w:r>
          <w:tab/>
        </w:r>
        <w:r>
          <w:fldChar w:fldCharType="begin"/>
        </w:r>
        <w:r>
          <w:instrText xml:space="preserve"> PAGEREF _Toc27481 \h </w:instrText>
        </w:r>
        <w:r>
          <w:fldChar w:fldCharType="separate"/>
        </w:r>
        <w:r>
          <w:t>4</w:t>
        </w:r>
        <w:r>
          <w:fldChar w:fldCharType="end"/>
        </w:r>
      </w:hyperlink>
    </w:p>
    <w:p>
      <w:pPr>
        <w:pStyle w:val="TOC2"/>
        <w:tabs>
          <w:tab w:val="right" w:leader="dot" w:pos="8306"/>
        </w:tabs>
      </w:pPr>
      <w:hyperlink w:anchor="_Toc30994" w:history="1">
        <w:r>
          <w:rPr>
            <w:rFonts w:ascii="仿宋" w:eastAsia="仿宋" w:hAnsi="仿宋" w:cs="仿宋" w:hint="eastAsia"/>
            <w:lang w:eastAsia="zh-CN"/>
          </w:rPr>
          <w:t>(三)、绩效评估周期</w:t>
        </w:r>
        <w:r>
          <w:tab/>
        </w:r>
        <w:r>
          <w:fldChar w:fldCharType="begin"/>
        </w:r>
        <w:r>
          <w:instrText xml:space="preserve"> PAGEREF _Toc30994 \h </w:instrText>
        </w:r>
        <w:r>
          <w:fldChar w:fldCharType="separate"/>
        </w:r>
        <w:r>
          <w:t>5</w:t>
        </w:r>
        <w:r>
          <w:fldChar w:fldCharType="end"/>
        </w:r>
      </w:hyperlink>
    </w:p>
    <w:p>
      <w:pPr>
        <w:pStyle w:val="TOC1"/>
        <w:tabs>
          <w:tab w:val="right" w:leader="dot" w:pos="8306"/>
        </w:tabs>
      </w:pPr>
      <w:hyperlink w:anchor="_Toc23225" w:history="1">
        <w:r>
          <w:rPr>
            <w:rFonts w:ascii="仿宋" w:eastAsia="仿宋" w:hAnsi="仿宋" w:cs="仿宋" w:hint="eastAsia"/>
            <w:lang w:eastAsia="zh-CN"/>
          </w:rPr>
          <w:t>二、微生物杀虫剂项目可持续发展</w:t>
        </w:r>
        <w:r>
          <w:tab/>
        </w:r>
        <w:r>
          <w:fldChar w:fldCharType="begin"/>
        </w:r>
        <w:r>
          <w:instrText xml:space="preserve"> PAGEREF _Toc23225 \h </w:instrText>
        </w:r>
        <w:r>
          <w:fldChar w:fldCharType="separate"/>
        </w:r>
        <w:r>
          <w:t>6</w:t>
        </w:r>
        <w:r>
          <w:fldChar w:fldCharType="end"/>
        </w:r>
      </w:hyperlink>
    </w:p>
    <w:p>
      <w:pPr>
        <w:pStyle w:val="TOC2"/>
        <w:tabs>
          <w:tab w:val="right" w:leader="dot" w:pos="8306"/>
        </w:tabs>
      </w:pPr>
      <w:hyperlink w:anchor="_Toc7810" w:history="1">
        <w:r>
          <w:rPr>
            <w:rFonts w:ascii="仿宋" w:eastAsia="仿宋" w:hAnsi="仿宋" w:cs="仿宋" w:hint="eastAsia"/>
            <w:lang w:eastAsia="zh-CN"/>
          </w:rPr>
          <w:t>(一)、可持续战略与实践</w:t>
        </w:r>
        <w:r>
          <w:tab/>
        </w:r>
        <w:r>
          <w:fldChar w:fldCharType="begin"/>
        </w:r>
        <w:r>
          <w:instrText xml:space="preserve"> PAGEREF _Toc7810 \h </w:instrText>
        </w:r>
        <w:r>
          <w:fldChar w:fldCharType="separate"/>
        </w:r>
        <w:r>
          <w:t>6</w:t>
        </w:r>
        <w:r>
          <w:fldChar w:fldCharType="end"/>
        </w:r>
      </w:hyperlink>
    </w:p>
    <w:p>
      <w:pPr>
        <w:pStyle w:val="TOC2"/>
        <w:tabs>
          <w:tab w:val="right" w:leader="dot" w:pos="8306"/>
        </w:tabs>
      </w:pPr>
      <w:hyperlink w:anchor="_Toc15707" w:history="1">
        <w:r>
          <w:rPr>
            <w:rFonts w:ascii="仿宋" w:eastAsia="仿宋" w:hAnsi="仿宋" w:cs="仿宋" w:hint="eastAsia"/>
            <w:lang w:eastAsia="zh-CN"/>
          </w:rPr>
          <w:t>(二)、环保与社会责任</w:t>
        </w:r>
        <w:r>
          <w:tab/>
        </w:r>
        <w:r>
          <w:fldChar w:fldCharType="begin"/>
        </w:r>
        <w:r>
          <w:instrText xml:space="preserve"> PAGEREF _Toc15707 \h </w:instrText>
        </w:r>
        <w:r>
          <w:fldChar w:fldCharType="separate"/>
        </w:r>
        <w:r>
          <w:t>7</w:t>
        </w:r>
        <w:r>
          <w:fldChar w:fldCharType="end"/>
        </w:r>
      </w:hyperlink>
    </w:p>
    <w:p>
      <w:pPr>
        <w:pStyle w:val="TOC1"/>
        <w:tabs>
          <w:tab w:val="right" w:leader="dot" w:pos="8306"/>
        </w:tabs>
      </w:pPr>
      <w:hyperlink w:anchor="_Toc29921" w:history="1">
        <w:r>
          <w:rPr>
            <w:rFonts w:ascii="仿宋" w:eastAsia="仿宋" w:hAnsi="仿宋" w:cs="仿宋" w:hint="eastAsia"/>
            <w:lang w:eastAsia="zh-CN"/>
          </w:rPr>
          <w:t>三、工艺说明</w:t>
        </w:r>
        <w:r>
          <w:tab/>
        </w:r>
        <w:r>
          <w:fldChar w:fldCharType="begin"/>
        </w:r>
        <w:r>
          <w:instrText xml:space="preserve"> PAGEREF _Toc29921 \h </w:instrText>
        </w:r>
        <w:r>
          <w:fldChar w:fldCharType="separate"/>
        </w:r>
        <w:r>
          <w:t>8</w:t>
        </w:r>
        <w:r>
          <w:fldChar w:fldCharType="end"/>
        </w:r>
      </w:hyperlink>
    </w:p>
    <w:p>
      <w:pPr>
        <w:pStyle w:val="TOC2"/>
        <w:tabs>
          <w:tab w:val="right" w:leader="dot" w:pos="8306"/>
        </w:tabs>
      </w:pPr>
      <w:hyperlink w:anchor="_Toc23051" w:history="1">
        <w:r>
          <w:rPr>
            <w:rFonts w:ascii="仿宋" w:eastAsia="仿宋" w:hAnsi="仿宋" w:cs="仿宋" w:hint="eastAsia"/>
            <w:lang w:eastAsia="zh-CN"/>
          </w:rPr>
          <w:t>(一)、技术管理特点</w:t>
        </w:r>
        <w:r>
          <w:tab/>
        </w:r>
        <w:r>
          <w:fldChar w:fldCharType="begin"/>
        </w:r>
        <w:r>
          <w:instrText xml:space="preserve"> PAGEREF _Toc23051 \h </w:instrText>
        </w:r>
        <w:r>
          <w:fldChar w:fldCharType="separate"/>
        </w:r>
        <w:r>
          <w:t>8</w:t>
        </w:r>
        <w:r>
          <w:fldChar w:fldCharType="end"/>
        </w:r>
      </w:hyperlink>
    </w:p>
    <w:p>
      <w:pPr>
        <w:pStyle w:val="TOC2"/>
        <w:tabs>
          <w:tab w:val="right" w:leader="dot" w:pos="8306"/>
        </w:tabs>
      </w:pPr>
      <w:hyperlink w:anchor="_Toc28554" w:history="1">
        <w:r>
          <w:rPr>
            <w:rFonts w:ascii="仿宋" w:eastAsia="仿宋" w:hAnsi="仿宋" w:cs="仿宋" w:hint="eastAsia"/>
            <w:lang w:eastAsia="zh-CN"/>
          </w:rPr>
          <w:t>(二)、微生物杀虫剂项目工艺技术设计方案</w:t>
        </w:r>
        <w:r>
          <w:tab/>
        </w:r>
        <w:r>
          <w:fldChar w:fldCharType="begin"/>
        </w:r>
        <w:r>
          <w:instrText xml:space="preserve"> PAGEREF _Toc28554 \h </w:instrText>
        </w:r>
        <w:r>
          <w:fldChar w:fldCharType="separate"/>
        </w:r>
        <w:r>
          <w:t>9</w:t>
        </w:r>
        <w:r>
          <w:fldChar w:fldCharType="end"/>
        </w:r>
      </w:hyperlink>
    </w:p>
    <w:p>
      <w:pPr>
        <w:pStyle w:val="TOC2"/>
        <w:tabs>
          <w:tab w:val="right" w:leader="dot" w:pos="8306"/>
        </w:tabs>
      </w:pPr>
      <w:hyperlink w:anchor="_Toc26508" w:history="1">
        <w:r>
          <w:rPr>
            <w:rFonts w:ascii="仿宋" w:eastAsia="仿宋" w:hAnsi="仿宋" w:cs="仿宋" w:hint="eastAsia"/>
            <w:lang w:eastAsia="zh-CN"/>
          </w:rPr>
          <w:t>(三)、设备选型方案</w:t>
        </w:r>
        <w:r>
          <w:tab/>
        </w:r>
        <w:r>
          <w:fldChar w:fldCharType="begin"/>
        </w:r>
        <w:r>
          <w:instrText xml:space="preserve"> PAGEREF _Toc26508 \h </w:instrText>
        </w:r>
        <w:r>
          <w:fldChar w:fldCharType="separate"/>
        </w:r>
        <w:r>
          <w:t>10</w:t>
        </w:r>
        <w:r>
          <w:fldChar w:fldCharType="end"/>
        </w:r>
      </w:hyperlink>
    </w:p>
    <w:p>
      <w:pPr>
        <w:pStyle w:val="TOC1"/>
        <w:tabs>
          <w:tab w:val="right" w:leader="dot" w:pos="8306"/>
        </w:tabs>
      </w:pPr>
      <w:hyperlink w:anchor="_Toc32697" w:history="1">
        <w:r>
          <w:rPr>
            <w:rFonts w:ascii="仿宋" w:eastAsia="仿宋" w:hAnsi="仿宋" w:cs="仿宋" w:hint="eastAsia"/>
            <w:lang w:eastAsia="zh-CN"/>
          </w:rPr>
          <w:t>四、微生物杀虫剂项目概论</w:t>
        </w:r>
        <w:r>
          <w:tab/>
        </w:r>
        <w:r>
          <w:fldChar w:fldCharType="begin"/>
        </w:r>
        <w:r>
          <w:instrText xml:space="preserve"> PAGEREF _Toc32697 \h </w:instrText>
        </w:r>
        <w:r>
          <w:fldChar w:fldCharType="separate"/>
        </w:r>
        <w:r>
          <w:t>12</w:t>
        </w:r>
        <w:r>
          <w:fldChar w:fldCharType="end"/>
        </w:r>
      </w:hyperlink>
    </w:p>
    <w:p>
      <w:pPr>
        <w:pStyle w:val="TOC2"/>
        <w:tabs>
          <w:tab w:val="right" w:leader="dot" w:pos="8306"/>
        </w:tabs>
      </w:pPr>
      <w:hyperlink w:anchor="_Toc31109" w:history="1">
        <w:r>
          <w:rPr>
            <w:rFonts w:ascii="仿宋" w:eastAsia="仿宋" w:hAnsi="仿宋" w:cs="仿宋" w:hint="eastAsia"/>
            <w:lang w:eastAsia="zh-CN"/>
          </w:rPr>
          <w:t>(一)、微生物杀虫剂项目概况</w:t>
        </w:r>
        <w:r>
          <w:tab/>
        </w:r>
        <w:r>
          <w:fldChar w:fldCharType="begin"/>
        </w:r>
        <w:r>
          <w:instrText xml:space="preserve"> PAGEREF _Toc31109 \h </w:instrText>
        </w:r>
        <w:r>
          <w:fldChar w:fldCharType="separate"/>
        </w:r>
        <w:r>
          <w:t>12</w:t>
        </w:r>
        <w:r>
          <w:fldChar w:fldCharType="end"/>
        </w:r>
      </w:hyperlink>
    </w:p>
    <w:p>
      <w:pPr>
        <w:pStyle w:val="TOC2"/>
        <w:tabs>
          <w:tab w:val="right" w:leader="dot" w:pos="8306"/>
        </w:tabs>
      </w:pPr>
      <w:hyperlink w:anchor="_Toc15446" w:history="1">
        <w:r>
          <w:rPr>
            <w:rFonts w:ascii="仿宋" w:eastAsia="仿宋" w:hAnsi="仿宋" w:cs="仿宋" w:hint="eastAsia"/>
            <w:lang w:eastAsia="zh-CN"/>
          </w:rPr>
          <w:t>(二)、微生物杀虫剂项目目标</w:t>
        </w:r>
        <w:r>
          <w:tab/>
        </w:r>
        <w:r>
          <w:fldChar w:fldCharType="begin"/>
        </w:r>
        <w:r>
          <w:instrText xml:space="preserve"> PAGEREF _Toc15446 \h </w:instrText>
        </w:r>
        <w:r>
          <w:fldChar w:fldCharType="separate"/>
        </w:r>
        <w:r>
          <w:t>14</w:t>
        </w:r>
        <w:r>
          <w:fldChar w:fldCharType="end"/>
        </w:r>
      </w:hyperlink>
    </w:p>
    <w:p>
      <w:pPr>
        <w:pStyle w:val="TOC2"/>
        <w:tabs>
          <w:tab w:val="right" w:leader="dot" w:pos="8306"/>
        </w:tabs>
      </w:pPr>
      <w:hyperlink w:anchor="_Toc15798" w:history="1">
        <w:r>
          <w:rPr>
            <w:rFonts w:ascii="仿宋" w:eastAsia="仿宋" w:hAnsi="仿宋" w:cs="仿宋" w:hint="eastAsia"/>
            <w:lang w:eastAsia="zh-CN"/>
          </w:rPr>
          <w:t>(三)、微生物杀虫剂项目提出的理由</w:t>
        </w:r>
        <w:r>
          <w:tab/>
        </w:r>
        <w:r>
          <w:fldChar w:fldCharType="begin"/>
        </w:r>
        <w:r>
          <w:instrText xml:space="preserve"> PAGEREF _Toc15798 \h </w:instrText>
        </w:r>
        <w:r>
          <w:fldChar w:fldCharType="separate"/>
        </w:r>
        <w:r>
          <w:t>15</w:t>
        </w:r>
        <w:r>
          <w:fldChar w:fldCharType="end"/>
        </w:r>
      </w:hyperlink>
    </w:p>
    <w:p>
      <w:pPr>
        <w:pStyle w:val="TOC2"/>
        <w:tabs>
          <w:tab w:val="right" w:leader="dot" w:pos="8306"/>
        </w:tabs>
      </w:pPr>
      <w:hyperlink w:anchor="_Toc3275" w:history="1">
        <w:r>
          <w:rPr>
            <w:rFonts w:ascii="仿宋" w:eastAsia="仿宋" w:hAnsi="仿宋" w:cs="仿宋" w:hint="eastAsia"/>
            <w:lang w:eastAsia="zh-CN"/>
          </w:rPr>
          <w:t>(四)、微生物杀虫剂项目意义</w:t>
        </w:r>
        <w:r>
          <w:tab/>
        </w:r>
        <w:r>
          <w:fldChar w:fldCharType="begin"/>
        </w:r>
        <w:r>
          <w:instrText xml:space="preserve"> PAGEREF _Toc3275 \h </w:instrText>
        </w:r>
        <w:r>
          <w:fldChar w:fldCharType="separate"/>
        </w:r>
        <w:r>
          <w:t>17</w:t>
        </w:r>
        <w:r>
          <w:fldChar w:fldCharType="end"/>
        </w:r>
      </w:hyperlink>
    </w:p>
    <w:p>
      <w:pPr>
        <w:pStyle w:val="TOC2"/>
        <w:tabs>
          <w:tab w:val="right" w:leader="dot" w:pos="8306"/>
        </w:tabs>
      </w:pPr>
      <w:hyperlink w:anchor="_Toc21476" w:history="1">
        <w:r>
          <w:rPr>
            <w:rFonts w:ascii="仿宋" w:eastAsia="仿宋" w:hAnsi="仿宋" w:cs="仿宋" w:hint="eastAsia"/>
            <w:lang w:eastAsia="zh-CN"/>
          </w:rPr>
          <w:t>(五)、微生物杀虫剂项目背景</w:t>
        </w:r>
        <w:r>
          <w:tab/>
        </w:r>
        <w:r>
          <w:fldChar w:fldCharType="begin"/>
        </w:r>
        <w:r>
          <w:instrText xml:space="preserve"> PAGEREF _Toc21476 \h </w:instrText>
        </w:r>
        <w:r>
          <w:fldChar w:fldCharType="separate"/>
        </w:r>
        <w:r>
          <w:t>17</w:t>
        </w:r>
        <w:r>
          <w:fldChar w:fldCharType="end"/>
        </w:r>
      </w:hyperlink>
    </w:p>
    <w:p>
      <w:pPr>
        <w:pStyle w:val="TOC1"/>
        <w:tabs>
          <w:tab w:val="right" w:leader="dot" w:pos="8306"/>
        </w:tabs>
      </w:pPr>
      <w:hyperlink w:anchor="_Toc6080" w:history="1">
        <w:r>
          <w:rPr>
            <w:rFonts w:ascii="仿宋" w:eastAsia="仿宋" w:hAnsi="仿宋" w:cs="仿宋" w:hint="eastAsia"/>
            <w:lang w:eastAsia="zh-CN"/>
          </w:rPr>
          <w:t>五、市场分析、调研</w:t>
        </w:r>
        <w:r>
          <w:tab/>
        </w:r>
        <w:r>
          <w:fldChar w:fldCharType="begin"/>
        </w:r>
        <w:r>
          <w:instrText xml:space="preserve"> PAGEREF _Toc6080 \h </w:instrText>
        </w:r>
        <w:r>
          <w:fldChar w:fldCharType="separate"/>
        </w:r>
        <w:r>
          <w:t>18</w:t>
        </w:r>
        <w:r>
          <w:fldChar w:fldCharType="end"/>
        </w:r>
      </w:hyperlink>
    </w:p>
    <w:p>
      <w:pPr>
        <w:pStyle w:val="TOC2"/>
        <w:tabs>
          <w:tab w:val="right" w:leader="dot" w:pos="8306"/>
        </w:tabs>
      </w:pPr>
      <w:hyperlink w:anchor="_Toc7715" w:history="1">
        <w:r>
          <w:rPr>
            <w:rFonts w:ascii="仿宋" w:eastAsia="仿宋" w:hAnsi="仿宋" w:cs="仿宋" w:hint="eastAsia"/>
            <w:lang w:eastAsia="zh-CN"/>
          </w:rPr>
          <w:t>(一)、微生物杀虫剂行业分析</w:t>
        </w:r>
        <w:r>
          <w:tab/>
        </w:r>
        <w:r>
          <w:fldChar w:fldCharType="begin"/>
        </w:r>
        <w:r>
          <w:instrText xml:space="preserve"> PAGEREF _Toc7715 \h </w:instrText>
        </w:r>
        <w:r>
          <w:fldChar w:fldCharType="separate"/>
        </w:r>
        <w:r>
          <w:t>18</w:t>
        </w:r>
        <w:r>
          <w:fldChar w:fldCharType="end"/>
        </w:r>
      </w:hyperlink>
    </w:p>
    <w:p>
      <w:pPr>
        <w:pStyle w:val="TOC2"/>
        <w:tabs>
          <w:tab w:val="right" w:leader="dot" w:pos="8306"/>
        </w:tabs>
      </w:pPr>
      <w:hyperlink w:anchor="_Toc31944" w:history="1">
        <w:r>
          <w:rPr>
            <w:rFonts w:ascii="仿宋" w:eastAsia="仿宋" w:hAnsi="仿宋" w:cs="仿宋" w:hint="eastAsia"/>
            <w:lang w:eastAsia="zh-CN"/>
          </w:rPr>
          <w:t>(二)、微生物杀虫剂市场分析预测</w:t>
        </w:r>
        <w:r>
          <w:tab/>
        </w:r>
        <w:r>
          <w:fldChar w:fldCharType="begin"/>
        </w:r>
        <w:r>
          <w:instrText xml:space="preserve"> PAGEREF _Toc31944 \h </w:instrText>
        </w:r>
        <w:r>
          <w:fldChar w:fldCharType="separate"/>
        </w:r>
        <w:r>
          <w:t>19</w:t>
        </w:r>
        <w:r>
          <w:fldChar w:fldCharType="end"/>
        </w:r>
      </w:hyperlink>
    </w:p>
    <w:p>
      <w:pPr>
        <w:pStyle w:val="TOC1"/>
        <w:tabs>
          <w:tab w:val="right" w:leader="dot" w:pos="8306"/>
        </w:tabs>
      </w:pPr>
      <w:hyperlink w:anchor="_Toc5216" w:history="1">
        <w:r>
          <w:rPr>
            <w:rFonts w:ascii="仿宋" w:eastAsia="仿宋" w:hAnsi="仿宋" w:cs="仿宋" w:hint="eastAsia"/>
            <w:lang w:eastAsia="zh-CN"/>
          </w:rPr>
          <w:t>六、微生物杀虫剂项目危机管理</w:t>
        </w:r>
        <w:r>
          <w:tab/>
        </w:r>
        <w:r>
          <w:fldChar w:fldCharType="begin"/>
        </w:r>
        <w:r>
          <w:instrText xml:space="preserve"> PAGEREF _Toc5216 \h </w:instrText>
        </w:r>
        <w:r>
          <w:fldChar w:fldCharType="separate"/>
        </w:r>
        <w:r>
          <w:t>20</w:t>
        </w:r>
        <w:r>
          <w:fldChar w:fldCharType="end"/>
        </w:r>
      </w:hyperlink>
    </w:p>
    <w:p>
      <w:pPr>
        <w:pStyle w:val="TOC2"/>
        <w:tabs>
          <w:tab w:val="right" w:leader="dot" w:pos="8306"/>
        </w:tabs>
      </w:pPr>
      <w:hyperlink w:anchor="_Toc22578" w:history="1">
        <w:r>
          <w:rPr>
            <w:rFonts w:ascii="仿宋" w:eastAsia="仿宋" w:hAnsi="仿宋" w:cs="仿宋" w:hint="eastAsia"/>
            <w:lang w:eastAsia="zh-CN"/>
          </w:rPr>
          <w:t>(一)、危机预警与识别</w:t>
        </w:r>
        <w:r>
          <w:tab/>
        </w:r>
        <w:r>
          <w:fldChar w:fldCharType="begin"/>
        </w:r>
        <w:r>
          <w:instrText xml:space="preserve"> PAGEREF _Toc22578 \h </w:instrText>
        </w:r>
        <w:r>
          <w:fldChar w:fldCharType="separate"/>
        </w:r>
        <w:r>
          <w:t>20</w:t>
        </w:r>
        <w:r>
          <w:fldChar w:fldCharType="end"/>
        </w:r>
      </w:hyperlink>
    </w:p>
    <w:p>
      <w:pPr>
        <w:pStyle w:val="TOC2"/>
        <w:tabs>
          <w:tab w:val="right" w:leader="dot" w:pos="8306"/>
        </w:tabs>
      </w:pPr>
      <w:hyperlink w:anchor="_Toc15711" w:history="1">
        <w:r>
          <w:rPr>
            <w:rFonts w:ascii="仿宋" w:eastAsia="仿宋" w:hAnsi="仿宋" w:cs="仿宋" w:hint="eastAsia"/>
            <w:lang w:eastAsia="zh-CN"/>
          </w:rPr>
          <w:t>(二)、危机应对与恢复</w:t>
        </w:r>
        <w:r>
          <w:tab/>
        </w:r>
        <w:r>
          <w:fldChar w:fldCharType="begin"/>
        </w:r>
        <w:r>
          <w:instrText xml:space="preserve"> PAGEREF _Toc15711 \h </w:instrText>
        </w:r>
        <w:r>
          <w:fldChar w:fldCharType="separate"/>
        </w:r>
        <w:r>
          <w:t>21</w:t>
        </w:r>
        <w:r>
          <w:fldChar w:fldCharType="end"/>
        </w:r>
      </w:hyperlink>
    </w:p>
    <w:p>
      <w:pPr>
        <w:pStyle w:val="TOC1"/>
        <w:tabs>
          <w:tab w:val="right" w:leader="dot" w:pos="8306"/>
        </w:tabs>
      </w:pPr>
      <w:hyperlink w:anchor="_Toc19099" w:history="1">
        <w:r>
          <w:rPr>
            <w:rFonts w:ascii="仿宋" w:eastAsia="仿宋" w:hAnsi="仿宋" w:cs="仿宋" w:hint="eastAsia"/>
            <w:lang w:eastAsia="zh-CN"/>
          </w:rPr>
          <w:t>七、微生物杀虫剂项目环境影响分析</w:t>
        </w:r>
        <w:r>
          <w:tab/>
        </w:r>
        <w:r>
          <w:fldChar w:fldCharType="begin"/>
        </w:r>
        <w:r>
          <w:instrText xml:space="preserve"> PAGEREF _Toc19099 \h </w:instrText>
        </w:r>
        <w:r>
          <w:fldChar w:fldCharType="separate"/>
        </w:r>
        <w:r>
          <w:t>22</w:t>
        </w:r>
        <w:r>
          <w:fldChar w:fldCharType="end"/>
        </w:r>
      </w:hyperlink>
    </w:p>
    <w:p>
      <w:pPr>
        <w:pStyle w:val="TOC2"/>
        <w:tabs>
          <w:tab w:val="right" w:leader="dot" w:pos="8306"/>
        </w:tabs>
      </w:pPr>
      <w:hyperlink w:anchor="_Toc16523" w:history="1">
        <w:r>
          <w:rPr>
            <w:rFonts w:ascii="仿宋" w:eastAsia="仿宋" w:hAnsi="仿宋" w:cs="仿宋" w:hint="eastAsia"/>
            <w:lang w:eastAsia="zh-CN"/>
          </w:rPr>
          <w:t>(一)、建设区域环境质量现状</w:t>
        </w:r>
        <w:r>
          <w:tab/>
        </w:r>
        <w:r>
          <w:fldChar w:fldCharType="begin"/>
        </w:r>
        <w:r>
          <w:instrText xml:space="preserve"> PAGEREF _Toc16523 \h </w:instrText>
        </w:r>
        <w:r>
          <w:fldChar w:fldCharType="separate"/>
        </w:r>
        <w:r>
          <w:t>22</w:t>
        </w:r>
        <w:r>
          <w:fldChar w:fldCharType="end"/>
        </w:r>
      </w:hyperlink>
    </w:p>
    <w:p>
      <w:pPr>
        <w:pStyle w:val="TOC2"/>
        <w:tabs>
          <w:tab w:val="right" w:leader="dot" w:pos="8306"/>
        </w:tabs>
      </w:pPr>
      <w:hyperlink w:anchor="_Toc18944" w:history="1">
        <w:r>
          <w:rPr>
            <w:rFonts w:ascii="仿宋" w:eastAsia="仿宋" w:hAnsi="仿宋" w:cs="仿宋" w:hint="eastAsia"/>
            <w:lang w:eastAsia="zh-CN"/>
          </w:rPr>
          <w:t>(二)、建设期环境保护</w:t>
        </w:r>
        <w:r>
          <w:tab/>
        </w:r>
        <w:r>
          <w:fldChar w:fldCharType="begin"/>
        </w:r>
        <w:r>
          <w:instrText xml:space="preserve"> PAGEREF _Toc18944 \h </w:instrText>
        </w:r>
        <w:r>
          <w:fldChar w:fldCharType="separate"/>
        </w:r>
        <w:r>
          <w:t>24</w:t>
        </w:r>
        <w:r>
          <w:fldChar w:fldCharType="end"/>
        </w:r>
      </w:hyperlink>
    </w:p>
    <w:p>
      <w:pPr>
        <w:pStyle w:val="TOC2"/>
        <w:tabs>
          <w:tab w:val="right" w:leader="dot" w:pos="8306"/>
        </w:tabs>
      </w:pPr>
      <w:hyperlink w:anchor="_Toc24384" w:history="1">
        <w:r>
          <w:rPr>
            <w:rFonts w:ascii="仿宋" w:eastAsia="仿宋" w:hAnsi="仿宋" w:cs="仿宋" w:hint="eastAsia"/>
            <w:lang w:eastAsia="zh-CN"/>
          </w:rPr>
          <w:t>(三)、运营期环境保护</w:t>
        </w:r>
        <w:r>
          <w:tab/>
        </w:r>
        <w:r>
          <w:fldChar w:fldCharType="begin"/>
        </w:r>
        <w:r>
          <w:instrText xml:space="preserve"> PAGEREF _Toc24384 \h </w:instrText>
        </w:r>
        <w:r>
          <w:fldChar w:fldCharType="separate"/>
        </w:r>
        <w:r>
          <w:t>25</w:t>
        </w:r>
        <w:r>
          <w:fldChar w:fldCharType="end"/>
        </w:r>
      </w:hyperlink>
    </w:p>
    <w:p>
      <w:pPr>
        <w:pStyle w:val="TOC2"/>
        <w:tabs>
          <w:tab w:val="right" w:leader="dot" w:pos="8306"/>
        </w:tabs>
      </w:pPr>
      <w:hyperlink w:anchor="_Toc28759" w:history="1">
        <w:r>
          <w:rPr>
            <w:rFonts w:ascii="仿宋" w:eastAsia="仿宋" w:hAnsi="仿宋" w:cs="仿宋" w:hint="eastAsia"/>
            <w:lang w:eastAsia="zh-CN"/>
          </w:rPr>
          <w:t>(四)、微生物杀虫剂项目建设对区域经济的影响</w:t>
        </w:r>
        <w:r>
          <w:tab/>
        </w:r>
        <w:r>
          <w:fldChar w:fldCharType="begin"/>
        </w:r>
        <w:r>
          <w:instrText xml:space="preserve"> PAGEREF _Toc28759 \h </w:instrText>
        </w:r>
        <w:r>
          <w:fldChar w:fldCharType="separate"/>
        </w:r>
        <w:r>
          <w:t>27</w:t>
        </w:r>
        <w:r>
          <w:fldChar w:fldCharType="end"/>
        </w:r>
      </w:hyperlink>
    </w:p>
    <w:p>
      <w:pPr>
        <w:pStyle w:val="TOC2"/>
        <w:tabs>
          <w:tab w:val="right" w:leader="dot" w:pos="8306"/>
        </w:tabs>
      </w:pPr>
      <w:hyperlink w:anchor="_Toc22909" w:history="1">
        <w:r>
          <w:rPr>
            <w:rFonts w:ascii="仿宋" w:eastAsia="仿宋" w:hAnsi="仿宋" w:cs="仿宋" w:hint="eastAsia"/>
            <w:lang w:eastAsia="zh-CN"/>
          </w:rPr>
          <w:t>(五)、废弃物处理</w:t>
        </w:r>
        <w:r>
          <w:tab/>
        </w:r>
        <w:r>
          <w:fldChar w:fldCharType="begin"/>
        </w:r>
        <w:r>
          <w:instrText xml:space="preserve"> PAGEREF _Toc22909 \h </w:instrText>
        </w:r>
        <w:r>
          <w:fldChar w:fldCharType="separate"/>
        </w:r>
        <w:r>
          <w:t>28</w:t>
        </w:r>
        <w:r>
          <w:fldChar w:fldCharType="end"/>
        </w:r>
      </w:hyperlink>
    </w:p>
    <w:p>
      <w:pPr>
        <w:pStyle w:val="TOC2"/>
        <w:tabs>
          <w:tab w:val="right" w:leader="dot" w:pos="8306"/>
        </w:tabs>
      </w:pPr>
      <w:hyperlink w:anchor="_Toc23547" w:history="1">
        <w:r>
          <w:rPr>
            <w:rFonts w:ascii="仿宋" w:eastAsia="仿宋" w:hAnsi="仿宋" w:cs="仿宋" w:hint="eastAsia"/>
            <w:lang w:eastAsia="zh-CN"/>
          </w:rPr>
          <w:t>(六)、特殊环境影响分析</w:t>
        </w:r>
        <w:r>
          <w:tab/>
        </w:r>
        <w:r>
          <w:fldChar w:fldCharType="begin"/>
        </w:r>
        <w:r>
          <w:instrText xml:space="preserve"> PAGEREF _Toc23547 \h </w:instrText>
        </w:r>
        <w:r>
          <w:fldChar w:fldCharType="separate"/>
        </w:r>
        <w:r>
          <w:t>30</w:t>
        </w:r>
        <w:r>
          <w:fldChar w:fldCharType="end"/>
        </w:r>
      </w:hyperlink>
    </w:p>
    <w:p>
      <w:pPr>
        <w:pStyle w:val="TOC2"/>
        <w:tabs>
          <w:tab w:val="right" w:leader="dot" w:pos="8306"/>
        </w:tabs>
      </w:pPr>
      <w:hyperlink w:anchor="_Toc8484" w:history="1">
        <w:r>
          <w:rPr>
            <w:rFonts w:ascii="仿宋" w:eastAsia="仿宋" w:hAnsi="仿宋" w:cs="仿宋" w:hint="eastAsia"/>
            <w:lang w:eastAsia="zh-CN"/>
          </w:rPr>
          <w:t>(七)、清洁生产</w:t>
        </w:r>
        <w:r>
          <w:tab/>
        </w:r>
        <w:r>
          <w:fldChar w:fldCharType="begin"/>
        </w:r>
        <w:r>
          <w:instrText xml:space="preserve"> PAGEREF _Toc8484 \h </w:instrText>
        </w:r>
        <w:r>
          <w:fldChar w:fldCharType="separate"/>
        </w:r>
        <w:r>
          <w:t>31</w:t>
        </w:r>
        <w:r>
          <w:fldChar w:fldCharType="end"/>
        </w:r>
      </w:hyperlink>
    </w:p>
    <w:p>
      <w:pPr>
        <w:pStyle w:val="TOC2"/>
        <w:tabs>
          <w:tab w:val="right" w:leader="dot" w:pos="8306"/>
        </w:tabs>
      </w:pPr>
      <w:hyperlink w:anchor="_Toc6254" w:history="1">
        <w:r>
          <w:rPr>
            <w:rFonts w:ascii="仿宋" w:eastAsia="仿宋" w:hAnsi="仿宋" w:cs="仿宋" w:hint="eastAsia"/>
            <w:lang w:eastAsia="zh-CN"/>
          </w:rPr>
          <w:t>(八)、环境保护综合评价</w:t>
        </w:r>
        <w:r>
          <w:tab/>
        </w:r>
        <w:r>
          <w:fldChar w:fldCharType="begin"/>
        </w:r>
        <w:r>
          <w:instrText xml:space="preserve"> PAGEREF _Toc6254 \h </w:instrText>
        </w:r>
        <w:r>
          <w:fldChar w:fldCharType="separate"/>
        </w:r>
        <w:r>
          <w:t>32</w:t>
        </w:r>
        <w:r>
          <w:fldChar w:fldCharType="end"/>
        </w:r>
      </w:hyperlink>
    </w:p>
    <w:p>
      <w:pPr>
        <w:pStyle w:val="TOC1"/>
        <w:tabs>
          <w:tab w:val="right" w:leader="dot" w:pos="8306"/>
        </w:tabs>
      </w:pPr>
      <w:hyperlink w:anchor="_Toc6190" w:history="1">
        <w:r>
          <w:rPr>
            <w:rFonts w:ascii="仿宋" w:eastAsia="仿宋" w:hAnsi="仿宋" w:cs="仿宋" w:hint="eastAsia"/>
            <w:lang w:eastAsia="zh-CN"/>
          </w:rPr>
          <w:t>八、生产安全保护</w:t>
        </w:r>
        <w:r>
          <w:tab/>
        </w:r>
        <w:r>
          <w:fldChar w:fldCharType="begin"/>
        </w:r>
        <w:r>
          <w:instrText xml:space="preserve"> PAGEREF _Toc6190 \h </w:instrText>
        </w:r>
        <w:r>
          <w:fldChar w:fldCharType="separate"/>
        </w:r>
        <w:r>
          <w:t>33</w:t>
        </w:r>
        <w:r>
          <w:fldChar w:fldCharType="end"/>
        </w:r>
      </w:hyperlink>
    </w:p>
    <w:p>
      <w:pPr>
        <w:pStyle w:val="TOC2"/>
        <w:tabs>
          <w:tab w:val="right" w:leader="dot" w:pos="8306"/>
        </w:tabs>
      </w:pPr>
      <w:hyperlink w:anchor="_Toc31299" w:history="1">
        <w:r>
          <w:rPr>
            <w:rFonts w:ascii="仿宋" w:eastAsia="仿宋" w:hAnsi="仿宋" w:cs="仿宋" w:hint="eastAsia"/>
            <w:lang w:eastAsia="zh-CN"/>
          </w:rPr>
          <w:t>(一)、消防安全</w:t>
        </w:r>
        <w:r>
          <w:tab/>
        </w:r>
        <w:r>
          <w:fldChar w:fldCharType="begin"/>
        </w:r>
        <w:r>
          <w:instrText xml:space="preserve"> PAGEREF _Toc31299 \h </w:instrText>
        </w:r>
        <w:r>
          <w:fldChar w:fldCharType="separate"/>
        </w:r>
        <w:r>
          <w:t>33</w:t>
        </w:r>
        <w:r>
          <w:fldChar w:fldCharType="end"/>
        </w:r>
      </w:hyperlink>
    </w:p>
    <w:p>
      <w:pPr>
        <w:pStyle w:val="TOC2"/>
        <w:tabs>
          <w:tab w:val="right" w:leader="dot" w:pos="8306"/>
        </w:tabs>
      </w:pPr>
      <w:hyperlink w:anchor="_Toc14714" w:history="1">
        <w:r>
          <w:rPr>
            <w:rFonts w:ascii="仿宋" w:eastAsia="仿宋" w:hAnsi="仿宋" w:cs="仿宋" w:hint="eastAsia"/>
            <w:lang w:eastAsia="zh-CN"/>
          </w:rPr>
          <w:t>(二)、防火防爆总图布置措施</w:t>
        </w:r>
        <w:r>
          <w:tab/>
        </w:r>
        <w:r>
          <w:fldChar w:fldCharType="begin"/>
        </w:r>
        <w:r>
          <w:instrText xml:space="preserve"> PAGEREF _Toc14714 \h </w:instrText>
        </w:r>
        <w:r>
          <w:fldChar w:fldCharType="separate"/>
        </w:r>
        <w:r>
          <w:t>35</w:t>
        </w:r>
        <w:r>
          <w:fldChar w:fldCharType="end"/>
        </w:r>
      </w:hyperlink>
    </w:p>
    <w:p>
      <w:pPr>
        <w:pStyle w:val="TOC2"/>
        <w:tabs>
          <w:tab w:val="right" w:leader="dot" w:pos="8306"/>
        </w:tabs>
      </w:pPr>
      <w:hyperlink w:anchor="_Toc28453" w:history="1">
        <w:r>
          <w:rPr>
            <w:rFonts w:ascii="仿宋" w:eastAsia="仿宋" w:hAnsi="仿宋" w:cs="仿宋" w:hint="eastAsia"/>
            <w:lang w:eastAsia="zh-CN"/>
          </w:rPr>
          <w:t>(三)、自然灾害防范措施</w:t>
        </w:r>
        <w:r>
          <w:tab/>
        </w:r>
        <w:r>
          <w:fldChar w:fldCharType="begin"/>
        </w:r>
        <w:r>
          <w:instrText xml:space="preserve"> PAGEREF _Toc28453 \h </w:instrText>
        </w:r>
        <w:r>
          <w:fldChar w:fldCharType="separate"/>
        </w:r>
        <w:r>
          <w:t>36</w:t>
        </w:r>
        <w:r>
          <w:fldChar w:fldCharType="end"/>
        </w:r>
      </w:hyperlink>
    </w:p>
    <w:p>
      <w:pPr>
        <w:pStyle w:val="TOC2"/>
        <w:tabs>
          <w:tab w:val="right" w:leader="dot" w:pos="8306"/>
        </w:tabs>
      </w:pPr>
      <w:hyperlink w:anchor="_Toc18723" w:history="1">
        <w:r>
          <w:rPr>
            <w:rFonts w:ascii="仿宋" w:eastAsia="仿宋" w:hAnsi="仿宋" w:cs="仿宋" w:hint="eastAsia"/>
            <w:lang w:eastAsia="zh-CN"/>
          </w:rPr>
          <w:t>(四)、安全色及安全标志使用要求</w:t>
        </w:r>
        <w:r>
          <w:tab/>
        </w:r>
        <w:r>
          <w:fldChar w:fldCharType="begin"/>
        </w:r>
        <w:r>
          <w:instrText xml:space="preserve"> PAGEREF _Toc18723 \h </w:instrText>
        </w:r>
        <w:r>
          <w:fldChar w:fldCharType="separate"/>
        </w:r>
        <w:r>
          <w:t>37</w:t>
        </w:r>
        <w:r>
          <w:fldChar w:fldCharType="end"/>
        </w:r>
      </w:hyperlink>
    </w:p>
    <w:p>
      <w:pPr>
        <w:pStyle w:val="TOC2"/>
        <w:tabs>
          <w:tab w:val="right" w:leader="dot" w:pos="8306"/>
        </w:tabs>
      </w:pPr>
      <w:hyperlink w:anchor="_Toc2908" w:history="1">
        <w:r>
          <w:rPr>
            <w:rFonts w:ascii="仿宋" w:eastAsia="仿宋" w:hAnsi="仿宋" w:cs="仿宋" w:hint="eastAsia"/>
            <w:lang w:eastAsia="zh-CN"/>
          </w:rPr>
          <w:t>(五)、防尘防毒措施</w:t>
        </w:r>
        <w:r>
          <w:tab/>
        </w:r>
        <w:r>
          <w:fldChar w:fldCharType="begin"/>
        </w:r>
        <w:r>
          <w:instrText xml:space="preserve"> PAGEREF _Toc2908 \h </w:instrText>
        </w:r>
        <w:r>
          <w:fldChar w:fldCharType="separate"/>
        </w:r>
        <w:r>
          <w:t>38</w:t>
        </w:r>
        <w:r>
          <w:fldChar w:fldCharType="end"/>
        </w:r>
      </w:hyperlink>
    </w:p>
    <w:p>
      <w:pPr>
        <w:pStyle w:val="TOC2"/>
        <w:tabs>
          <w:tab w:val="right" w:leader="dot" w:pos="8306"/>
        </w:tabs>
      </w:pPr>
      <w:hyperlink w:anchor="_Toc20612" w:history="1">
        <w:r>
          <w:rPr>
            <w:rFonts w:ascii="仿宋" w:eastAsia="仿宋" w:hAnsi="仿宋" w:cs="仿宋" w:hint="eastAsia"/>
            <w:lang w:eastAsia="zh-CN"/>
          </w:rPr>
          <w:t>(六)、防静电、触电防护及防雷措施</w:t>
        </w:r>
        <w:r>
          <w:tab/>
        </w:r>
        <w:r>
          <w:fldChar w:fldCharType="begin"/>
        </w:r>
        <w:r>
          <w:instrText xml:space="preserve"> PAGEREF _Toc20612 \h </w:instrText>
        </w:r>
        <w:r>
          <w:fldChar w:fldCharType="separate"/>
        </w:r>
        <w:r>
          <w:t>39</w:t>
        </w:r>
        <w:r>
          <w:fldChar w:fldCharType="end"/>
        </w:r>
      </w:hyperlink>
    </w:p>
    <w:p>
      <w:pPr>
        <w:pStyle w:val="TOC2"/>
        <w:tabs>
          <w:tab w:val="right" w:leader="dot" w:pos="8306"/>
        </w:tabs>
      </w:pPr>
      <w:hyperlink w:anchor="_Toc10308" w:history="1">
        <w:r>
          <w:rPr>
            <w:rFonts w:ascii="仿宋" w:eastAsia="仿宋" w:hAnsi="仿宋" w:cs="仿宋" w:hint="eastAsia"/>
            <w:lang w:eastAsia="zh-CN"/>
          </w:rPr>
          <w:t>(七)、机械设备安全保障措施</w:t>
        </w:r>
        <w:r>
          <w:tab/>
        </w:r>
        <w:r>
          <w:fldChar w:fldCharType="begin"/>
        </w:r>
        <w:r>
          <w:instrText xml:space="preserve"> PAGEREF _Toc10308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3" w:history="1">
        <w:r>
          <w:rPr>
            <w:rFonts w:ascii="仿宋" w:eastAsia="仿宋" w:hAnsi="仿宋" w:cs="仿宋" w:hint="eastAsia"/>
            <w:lang w:eastAsia="zh-CN"/>
          </w:rPr>
          <w:t>九、微生物杀虫剂项目财务管理</w:t>
        </w:r>
        <w:r>
          <w:tab/>
        </w:r>
        <w:r>
          <w:fldChar w:fldCharType="begin"/>
        </w:r>
        <w:r>
          <w:instrText xml:space="preserve"> PAGEREF _Toc2893 \h </w:instrText>
        </w:r>
        <w:r>
          <w:fldChar w:fldCharType="separate"/>
        </w:r>
        <w:r>
          <w:t>41</w:t>
        </w:r>
        <w:r>
          <w:fldChar w:fldCharType="end"/>
        </w:r>
      </w:hyperlink>
    </w:p>
    <w:p>
      <w:pPr>
        <w:pStyle w:val="TOC2"/>
        <w:tabs>
          <w:tab w:val="right" w:leader="dot" w:pos="8306"/>
        </w:tabs>
      </w:pPr>
      <w:hyperlink w:anchor="_Toc17284" w:history="1">
        <w:r>
          <w:rPr>
            <w:rFonts w:ascii="仿宋" w:eastAsia="仿宋" w:hAnsi="仿宋" w:cs="仿宋" w:hint="eastAsia"/>
            <w:lang w:eastAsia="zh-CN"/>
          </w:rPr>
          <w:t>(一)、资金需求大</w:t>
        </w:r>
        <w:r>
          <w:tab/>
        </w:r>
        <w:r>
          <w:fldChar w:fldCharType="begin"/>
        </w:r>
        <w:r>
          <w:instrText xml:space="preserve"> PAGEREF _Toc17284 \h </w:instrText>
        </w:r>
        <w:r>
          <w:fldChar w:fldCharType="separate"/>
        </w:r>
        <w:r>
          <w:t>41</w:t>
        </w:r>
        <w:r>
          <w:fldChar w:fldCharType="end"/>
        </w:r>
      </w:hyperlink>
    </w:p>
    <w:p>
      <w:pPr>
        <w:pStyle w:val="TOC2"/>
        <w:tabs>
          <w:tab w:val="right" w:leader="dot" w:pos="8306"/>
        </w:tabs>
      </w:pPr>
      <w:hyperlink w:anchor="_Toc22106" w:history="1">
        <w:r>
          <w:rPr>
            <w:rFonts w:ascii="仿宋" w:eastAsia="仿宋" w:hAnsi="仿宋" w:cs="仿宋" w:hint="eastAsia"/>
            <w:lang w:eastAsia="zh-CN"/>
          </w:rPr>
          <w:t>(二)、研发周期长</w:t>
        </w:r>
        <w:r>
          <w:tab/>
        </w:r>
        <w:r>
          <w:fldChar w:fldCharType="begin"/>
        </w:r>
        <w:r>
          <w:instrText xml:space="preserve"> PAGEREF _Toc22106 \h </w:instrText>
        </w:r>
        <w:r>
          <w:fldChar w:fldCharType="separate"/>
        </w:r>
        <w:r>
          <w:t>42</w:t>
        </w:r>
        <w:r>
          <w:fldChar w:fldCharType="end"/>
        </w:r>
      </w:hyperlink>
    </w:p>
    <w:p>
      <w:pPr>
        <w:pStyle w:val="TOC2"/>
        <w:tabs>
          <w:tab w:val="right" w:leader="dot" w:pos="8306"/>
        </w:tabs>
      </w:pPr>
      <w:hyperlink w:anchor="_Toc3346" w:history="1">
        <w:r>
          <w:rPr>
            <w:rFonts w:ascii="仿宋" w:eastAsia="仿宋" w:hAnsi="仿宋" w:cs="仿宋" w:hint="eastAsia"/>
            <w:lang w:eastAsia="zh-CN"/>
          </w:rPr>
          <w:t>(三)、市场风险大</w:t>
        </w:r>
        <w:r>
          <w:tab/>
        </w:r>
        <w:r>
          <w:fldChar w:fldCharType="begin"/>
        </w:r>
        <w:r>
          <w:instrText xml:space="preserve"> PAGEREF _Toc3346 \h </w:instrText>
        </w:r>
        <w:r>
          <w:fldChar w:fldCharType="separate"/>
        </w:r>
        <w:r>
          <w:t>44</w:t>
        </w:r>
        <w:r>
          <w:fldChar w:fldCharType="end"/>
        </w:r>
      </w:hyperlink>
    </w:p>
    <w:p>
      <w:pPr>
        <w:pStyle w:val="TOC2"/>
        <w:tabs>
          <w:tab w:val="right" w:leader="dot" w:pos="8306"/>
        </w:tabs>
      </w:pPr>
      <w:hyperlink w:anchor="_Toc30254" w:history="1">
        <w:r>
          <w:rPr>
            <w:rFonts w:ascii="仿宋" w:eastAsia="仿宋" w:hAnsi="仿宋" w:cs="仿宋" w:hint="eastAsia"/>
            <w:lang w:eastAsia="zh-CN"/>
          </w:rPr>
          <w:t>(四)、利润率高</w:t>
        </w:r>
        <w:r>
          <w:tab/>
        </w:r>
        <w:r>
          <w:fldChar w:fldCharType="begin"/>
        </w:r>
        <w:r>
          <w:instrText xml:space="preserve"> PAGEREF _Toc30254 \h </w:instrText>
        </w:r>
        <w:r>
          <w:fldChar w:fldCharType="separate"/>
        </w:r>
        <w:r>
          <w:t>46</w:t>
        </w:r>
        <w:r>
          <w:fldChar w:fldCharType="end"/>
        </w:r>
      </w:hyperlink>
    </w:p>
    <w:p>
      <w:pPr>
        <w:pStyle w:val="TOC1"/>
        <w:tabs>
          <w:tab w:val="right" w:leader="dot" w:pos="8306"/>
        </w:tabs>
      </w:pPr>
      <w:hyperlink w:anchor="_Toc16964" w:history="1">
        <w:r>
          <w:rPr>
            <w:rFonts w:ascii="仿宋" w:eastAsia="仿宋" w:hAnsi="仿宋" w:cs="仿宋" w:hint="eastAsia"/>
            <w:lang w:eastAsia="zh-CN"/>
          </w:rPr>
          <w:t>十、微生物杀虫剂项目创新与研发</w:t>
        </w:r>
        <w:r>
          <w:tab/>
        </w:r>
        <w:r>
          <w:fldChar w:fldCharType="begin"/>
        </w:r>
        <w:r>
          <w:instrText xml:space="preserve"> PAGEREF _Toc16964 \h </w:instrText>
        </w:r>
        <w:r>
          <w:fldChar w:fldCharType="separate"/>
        </w:r>
        <w:r>
          <w:t>49</w:t>
        </w:r>
        <w:r>
          <w:fldChar w:fldCharType="end"/>
        </w:r>
      </w:hyperlink>
    </w:p>
    <w:p>
      <w:pPr>
        <w:pStyle w:val="TOC2"/>
        <w:tabs>
          <w:tab w:val="right" w:leader="dot" w:pos="8306"/>
        </w:tabs>
      </w:pPr>
      <w:hyperlink w:anchor="_Toc31283" w:history="1">
        <w:r>
          <w:rPr>
            <w:rFonts w:ascii="仿宋" w:eastAsia="仿宋" w:hAnsi="仿宋" w:cs="仿宋" w:hint="eastAsia"/>
            <w:lang w:eastAsia="zh-CN"/>
          </w:rPr>
          <w:t>(一)、创新策略与方向</w:t>
        </w:r>
        <w:r>
          <w:tab/>
        </w:r>
        <w:r>
          <w:fldChar w:fldCharType="begin"/>
        </w:r>
        <w:r>
          <w:instrText xml:space="preserve"> PAGEREF _Toc31283 \h </w:instrText>
        </w:r>
        <w:r>
          <w:fldChar w:fldCharType="separate"/>
        </w:r>
        <w:r>
          <w:t>49</w:t>
        </w:r>
        <w:r>
          <w:fldChar w:fldCharType="end"/>
        </w:r>
      </w:hyperlink>
    </w:p>
    <w:p>
      <w:pPr>
        <w:pStyle w:val="TOC2"/>
        <w:tabs>
          <w:tab w:val="right" w:leader="dot" w:pos="8306"/>
        </w:tabs>
      </w:pPr>
      <w:hyperlink w:anchor="_Toc9856" w:history="1">
        <w:r>
          <w:rPr>
            <w:rFonts w:ascii="仿宋" w:eastAsia="仿宋" w:hAnsi="仿宋" w:cs="仿宋" w:hint="eastAsia"/>
            <w:lang w:eastAsia="zh-CN"/>
          </w:rPr>
          <w:t>(二)、研发规划与投入</w:t>
        </w:r>
        <w:r>
          <w:tab/>
        </w:r>
        <w:r>
          <w:fldChar w:fldCharType="begin"/>
        </w:r>
        <w:r>
          <w:instrText xml:space="preserve"> PAGEREF _Toc9856 \h </w:instrText>
        </w:r>
        <w:r>
          <w:fldChar w:fldCharType="separate"/>
        </w:r>
        <w:r>
          <w:t>50</w:t>
        </w:r>
        <w:r>
          <w:fldChar w:fldCharType="end"/>
        </w:r>
      </w:hyperlink>
    </w:p>
    <w:p>
      <w:pPr>
        <w:pStyle w:val="TOC1"/>
        <w:tabs>
          <w:tab w:val="right" w:leader="dot" w:pos="8306"/>
        </w:tabs>
      </w:pPr>
      <w:hyperlink w:anchor="_Toc27453" w:history="1">
        <w:r>
          <w:rPr>
            <w:rFonts w:ascii="仿宋" w:eastAsia="仿宋" w:hAnsi="仿宋" w:cs="仿宋" w:hint="eastAsia"/>
            <w:lang w:eastAsia="zh-CN"/>
          </w:rPr>
          <w:t>十一、微生物杀虫剂项目风险管理</w:t>
        </w:r>
        <w:r>
          <w:tab/>
        </w:r>
        <w:r>
          <w:fldChar w:fldCharType="begin"/>
        </w:r>
        <w:r>
          <w:instrText xml:space="preserve"> PAGEREF _Toc27453 \h </w:instrText>
        </w:r>
        <w:r>
          <w:fldChar w:fldCharType="separate"/>
        </w:r>
        <w:r>
          <w:t>52</w:t>
        </w:r>
        <w:r>
          <w:fldChar w:fldCharType="end"/>
        </w:r>
      </w:hyperlink>
    </w:p>
    <w:p>
      <w:pPr>
        <w:pStyle w:val="TOC2"/>
        <w:tabs>
          <w:tab w:val="right" w:leader="dot" w:pos="8306"/>
        </w:tabs>
      </w:pPr>
      <w:hyperlink w:anchor="_Toc11846" w:history="1">
        <w:r>
          <w:rPr>
            <w:rFonts w:ascii="仿宋" w:eastAsia="仿宋" w:hAnsi="仿宋" w:cs="仿宋" w:hint="eastAsia"/>
            <w:lang w:eastAsia="zh-CN"/>
          </w:rPr>
          <w:t>(一)、风险识别与评估</w:t>
        </w:r>
        <w:r>
          <w:tab/>
        </w:r>
        <w:r>
          <w:fldChar w:fldCharType="begin"/>
        </w:r>
        <w:r>
          <w:instrText xml:space="preserve"> PAGEREF _Toc11846 \h </w:instrText>
        </w:r>
        <w:r>
          <w:fldChar w:fldCharType="separate"/>
        </w:r>
        <w:r>
          <w:t>52</w:t>
        </w:r>
        <w:r>
          <w:fldChar w:fldCharType="end"/>
        </w:r>
      </w:hyperlink>
    </w:p>
    <w:p>
      <w:pPr>
        <w:pStyle w:val="TOC2"/>
        <w:tabs>
          <w:tab w:val="right" w:leader="dot" w:pos="8306"/>
        </w:tabs>
      </w:pPr>
      <w:hyperlink w:anchor="_Toc9952" w:history="1">
        <w:r>
          <w:rPr>
            <w:rFonts w:ascii="仿宋" w:eastAsia="仿宋" w:hAnsi="仿宋" w:cs="仿宋" w:hint="eastAsia"/>
            <w:lang w:eastAsia="zh-CN"/>
          </w:rPr>
          <w:t>(二)、风险应对策略</w:t>
        </w:r>
        <w:r>
          <w:tab/>
        </w:r>
        <w:r>
          <w:fldChar w:fldCharType="begin"/>
        </w:r>
        <w:r>
          <w:instrText xml:space="preserve"> PAGEREF _Toc9952 \h </w:instrText>
        </w:r>
        <w:r>
          <w:fldChar w:fldCharType="separate"/>
        </w:r>
        <w:r>
          <w:t>53</w:t>
        </w:r>
        <w:r>
          <w:fldChar w:fldCharType="end"/>
        </w:r>
      </w:hyperlink>
    </w:p>
    <w:p>
      <w:pPr>
        <w:pStyle w:val="TOC2"/>
        <w:tabs>
          <w:tab w:val="right" w:leader="dot" w:pos="8306"/>
        </w:tabs>
      </w:pPr>
      <w:hyperlink w:anchor="_Toc22437" w:history="1">
        <w:r>
          <w:rPr>
            <w:rFonts w:ascii="仿宋" w:eastAsia="仿宋" w:hAnsi="仿宋" w:cs="仿宋" w:hint="eastAsia"/>
            <w:lang w:eastAsia="zh-CN"/>
          </w:rPr>
          <w:t>(三)、风险监控与控制</w:t>
        </w:r>
        <w:r>
          <w:tab/>
        </w:r>
        <w:r>
          <w:fldChar w:fldCharType="begin"/>
        </w:r>
        <w:r>
          <w:instrText xml:space="preserve"> PAGEREF _Toc22437 \h </w:instrText>
        </w:r>
        <w:r>
          <w:fldChar w:fldCharType="separate"/>
        </w:r>
        <w:r>
          <w:t>55</w:t>
        </w:r>
        <w:r>
          <w:fldChar w:fldCharType="end"/>
        </w:r>
      </w:hyperlink>
    </w:p>
    <w:p>
      <w:pPr>
        <w:pStyle w:val="TOC1"/>
        <w:tabs>
          <w:tab w:val="right" w:leader="dot" w:pos="8306"/>
        </w:tabs>
      </w:pPr>
      <w:hyperlink w:anchor="_Toc5772" w:history="1">
        <w:r>
          <w:rPr>
            <w:rFonts w:ascii="仿宋" w:eastAsia="仿宋" w:hAnsi="仿宋" w:cs="仿宋" w:hint="eastAsia"/>
            <w:lang w:eastAsia="zh-CN"/>
          </w:rPr>
          <w:t>十二、微生物杀虫剂项目经营效益</w:t>
        </w:r>
        <w:r>
          <w:tab/>
        </w:r>
        <w:r>
          <w:fldChar w:fldCharType="begin"/>
        </w:r>
        <w:r>
          <w:instrText xml:space="preserve"> PAGEREF _Toc5772 \h </w:instrText>
        </w:r>
        <w:r>
          <w:fldChar w:fldCharType="separate"/>
        </w:r>
        <w:r>
          <w:t>56</w:t>
        </w:r>
        <w:r>
          <w:fldChar w:fldCharType="end"/>
        </w:r>
      </w:hyperlink>
    </w:p>
    <w:p>
      <w:pPr>
        <w:pStyle w:val="TOC2"/>
        <w:tabs>
          <w:tab w:val="right" w:leader="dot" w:pos="8306"/>
        </w:tabs>
      </w:pPr>
      <w:hyperlink w:anchor="_Toc17254" w:history="1">
        <w:r>
          <w:rPr>
            <w:rFonts w:ascii="仿宋" w:eastAsia="仿宋" w:hAnsi="仿宋" w:cs="仿宋" w:hint="eastAsia"/>
            <w:lang w:eastAsia="zh-CN"/>
          </w:rPr>
          <w:t>(一)、经济评价财务测算</w:t>
        </w:r>
        <w:r>
          <w:tab/>
        </w:r>
        <w:r>
          <w:fldChar w:fldCharType="begin"/>
        </w:r>
        <w:r>
          <w:instrText xml:space="preserve"> PAGEREF _Toc17254 \h </w:instrText>
        </w:r>
        <w:r>
          <w:fldChar w:fldCharType="separate"/>
        </w:r>
        <w:r>
          <w:t>56</w:t>
        </w:r>
        <w:r>
          <w:fldChar w:fldCharType="end"/>
        </w:r>
      </w:hyperlink>
    </w:p>
    <w:p>
      <w:pPr>
        <w:pStyle w:val="TOC2"/>
        <w:tabs>
          <w:tab w:val="right" w:leader="dot" w:pos="8306"/>
        </w:tabs>
      </w:pPr>
      <w:hyperlink w:anchor="_Toc10393" w:history="1">
        <w:r>
          <w:rPr>
            <w:rFonts w:ascii="仿宋" w:eastAsia="仿宋" w:hAnsi="仿宋" w:cs="仿宋" w:hint="eastAsia"/>
            <w:lang w:eastAsia="zh-CN"/>
          </w:rPr>
          <w:t>(二)、微生物杀虫剂项目盈利能力分析</w:t>
        </w:r>
        <w:r>
          <w:tab/>
        </w:r>
        <w:r>
          <w:fldChar w:fldCharType="begin"/>
        </w:r>
        <w:r>
          <w:instrText xml:space="preserve"> PAGEREF _Toc10393 \h </w:instrText>
        </w:r>
        <w:r>
          <w:fldChar w:fldCharType="separate"/>
        </w:r>
        <w:r>
          <w:t>57</w:t>
        </w:r>
        <w:r>
          <w:fldChar w:fldCharType="end"/>
        </w:r>
      </w:hyperlink>
    </w:p>
    <w:p>
      <w:pPr>
        <w:pStyle w:val="TOC1"/>
        <w:tabs>
          <w:tab w:val="right" w:leader="dot" w:pos="8306"/>
        </w:tabs>
      </w:pPr>
      <w:hyperlink w:anchor="_Toc31850" w:history="1">
        <w:r>
          <w:rPr>
            <w:rFonts w:ascii="仿宋" w:eastAsia="仿宋" w:hAnsi="仿宋" w:cs="仿宋" w:hint="eastAsia"/>
            <w:lang w:eastAsia="zh-CN"/>
          </w:rPr>
          <w:t>十三、供应链管理</w:t>
        </w:r>
        <w:r>
          <w:tab/>
        </w:r>
        <w:r>
          <w:fldChar w:fldCharType="begin"/>
        </w:r>
        <w:r>
          <w:instrText xml:space="preserve"> PAGEREF _Toc31850 \h </w:instrText>
        </w:r>
        <w:r>
          <w:fldChar w:fldCharType="separate"/>
        </w:r>
        <w:r>
          <w:t>58</w:t>
        </w:r>
        <w:r>
          <w:fldChar w:fldCharType="end"/>
        </w:r>
      </w:hyperlink>
    </w:p>
    <w:p>
      <w:pPr>
        <w:pStyle w:val="TOC2"/>
        <w:tabs>
          <w:tab w:val="right" w:leader="dot" w:pos="8306"/>
        </w:tabs>
      </w:pPr>
      <w:hyperlink w:anchor="_Toc25256" w:history="1">
        <w:r>
          <w:rPr>
            <w:rFonts w:ascii="仿宋" w:eastAsia="仿宋" w:hAnsi="仿宋" w:cs="仿宋" w:hint="eastAsia"/>
            <w:lang w:eastAsia="zh-CN"/>
          </w:rPr>
          <w:t>(一)、供应链战略规划</w:t>
        </w:r>
        <w:r>
          <w:tab/>
        </w:r>
        <w:r>
          <w:fldChar w:fldCharType="begin"/>
        </w:r>
        <w:r>
          <w:instrText xml:space="preserve"> PAGEREF _Toc25256 \h </w:instrText>
        </w:r>
        <w:r>
          <w:fldChar w:fldCharType="separate"/>
        </w:r>
        <w:r>
          <w:t>58</w:t>
        </w:r>
        <w:r>
          <w:fldChar w:fldCharType="end"/>
        </w:r>
      </w:hyperlink>
    </w:p>
    <w:p>
      <w:pPr>
        <w:pStyle w:val="TOC2"/>
        <w:tabs>
          <w:tab w:val="right" w:leader="dot" w:pos="8306"/>
        </w:tabs>
      </w:pPr>
      <w:hyperlink w:anchor="_Toc1803" w:history="1">
        <w:r>
          <w:rPr>
            <w:rFonts w:ascii="仿宋" w:eastAsia="仿宋" w:hAnsi="仿宋" w:cs="仿宋" w:hint="eastAsia"/>
            <w:lang w:eastAsia="zh-CN"/>
          </w:rPr>
          <w:t>(二)、供应商选择与合作</w:t>
        </w:r>
        <w:r>
          <w:tab/>
        </w:r>
        <w:r>
          <w:fldChar w:fldCharType="begin"/>
        </w:r>
        <w:r>
          <w:instrText xml:space="preserve"> PAGEREF _Toc1803 \h </w:instrText>
        </w:r>
        <w:r>
          <w:fldChar w:fldCharType="separate"/>
        </w:r>
        <w:r>
          <w:t>59</w:t>
        </w:r>
        <w:r>
          <w:fldChar w:fldCharType="end"/>
        </w:r>
      </w:hyperlink>
    </w:p>
    <w:p>
      <w:pPr>
        <w:pStyle w:val="TOC2"/>
        <w:tabs>
          <w:tab w:val="right" w:leader="dot" w:pos="8306"/>
        </w:tabs>
      </w:pPr>
      <w:hyperlink w:anchor="_Toc24572" w:history="1">
        <w:r>
          <w:rPr>
            <w:rFonts w:ascii="仿宋" w:eastAsia="仿宋" w:hAnsi="仿宋" w:cs="仿宋" w:hint="eastAsia"/>
            <w:lang w:eastAsia="zh-CN"/>
          </w:rPr>
          <w:t>(三)、物流与库存管理</w:t>
        </w:r>
        <w:r>
          <w:tab/>
        </w:r>
        <w:r>
          <w:fldChar w:fldCharType="begin"/>
        </w:r>
        <w:r>
          <w:instrText xml:space="preserve"> PAGEREF _Toc24572 \h </w:instrText>
        </w:r>
        <w:r>
          <w:fldChar w:fldCharType="separate"/>
        </w:r>
        <w:r>
          <w:t>61</w:t>
        </w:r>
        <w:r>
          <w:fldChar w:fldCharType="end"/>
        </w:r>
      </w:hyperlink>
    </w:p>
    <w:p>
      <w:pPr>
        <w:pStyle w:val="TOC1"/>
        <w:tabs>
          <w:tab w:val="right" w:leader="dot" w:pos="8306"/>
        </w:tabs>
      </w:pPr>
      <w:hyperlink w:anchor="_Toc24711" w:history="1">
        <w:r>
          <w:rPr>
            <w:rFonts w:ascii="仿宋" w:eastAsia="仿宋" w:hAnsi="仿宋" w:cs="仿宋" w:hint="eastAsia"/>
            <w:lang w:eastAsia="zh-CN"/>
          </w:rPr>
          <w:t>十四、微生物杀虫剂项目实施时间节点</w:t>
        </w:r>
        <w:r>
          <w:tab/>
        </w:r>
        <w:r>
          <w:fldChar w:fldCharType="begin"/>
        </w:r>
        <w:r>
          <w:instrText xml:space="preserve"> PAGEREF _Toc24711 \h </w:instrText>
        </w:r>
        <w:r>
          <w:fldChar w:fldCharType="separate"/>
        </w:r>
        <w:r>
          <w:t>62</w:t>
        </w:r>
        <w:r>
          <w:fldChar w:fldCharType="end"/>
        </w:r>
      </w:hyperlink>
    </w:p>
    <w:p>
      <w:pPr>
        <w:pStyle w:val="TOC2"/>
        <w:tabs>
          <w:tab w:val="right" w:leader="dot" w:pos="8306"/>
        </w:tabs>
      </w:pPr>
      <w:hyperlink w:anchor="_Toc25536" w:history="1">
        <w:r>
          <w:rPr>
            <w:rFonts w:ascii="仿宋" w:eastAsia="仿宋" w:hAnsi="仿宋" w:cs="仿宋" w:hint="eastAsia"/>
            <w:lang w:eastAsia="zh-CN"/>
          </w:rPr>
          <w:t>(一)、微生物杀虫剂项目启动阶段时间节点</w:t>
        </w:r>
        <w:r>
          <w:tab/>
        </w:r>
        <w:r>
          <w:fldChar w:fldCharType="begin"/>
        </w:r>
        <w:r>
          <w:instrText xml:space="preserve"> PAGEREF _Toc25536 \h </w:instrText>
        </w:r>
        <w:r>
          <w:fldChar w:fldCharType="separate"/>
        </w:r>
        <w:r>
          <w:t>62</w:t>
        </w:r>
        <w:r>
          <w:fldChar w:fldCharType="end"/>
        </w:r>
      </w:hyperlink>
    </w:p>
    <w:p>
      <w:pPr>
        <w:pStyle w:val="TOC2"/>
        <w:tabs>
          <w:tab w:val="right" w:leader="dot" w:pos="8306"/>
        </w:tabs>
      </w:pPr>
      <w:hyperlink w:anchor="_Toc5816" w:history="1">
        <w:r>
          <w:rPr>
            <w:rFonts w:ascii="仿宋" w:eastAsia="仿宋" w:hAnsi="仿宋" w:cs="仿宋" w:hint="eastAsia"/>
            <w:lang w:eastAsia="zh-CN"/>
          </w:rPr>
          <w:t>(二)、微生物杀虫剂项目执行阶段时间节点</w:t>
        </w:r>
        <w:r>
          <w:tab/>
        </w:r>
        <w:r>
          <w:fldChar w:fldCharType="begin"/>
        </w:r>
        <w:r>
          <w:instrText xml:space="preserve"> PAGEREF _Toc5816 \h </w:instrText>
        </w:r>
        <w:r>
          <w:fldChar w:fldCharType="separate"/>
        </w:r>
        <w:r>
          <w:t>63</w:t>
        </w:r>
        <w:r>
          <w:fldChar w:fldCharType="end"/>
        </w:r>
      </w:hyperlink>
    </w:p>
    <w:p>
      <w:pPr>
        <w:pStyle w:val="TOC2"/>
        <w:tabs>
          <w:tab w:val="right" w:leader="dot" w:pos="8306"/>
        </w:tabs>
      </w:pPr>
      <w:hyperlink w:anchor="_Toc9811" w:history="1">
        <w:r>
          <w:rPr>
            <w:rFonts w:ascii="仿宋" w:eastAsia="仿宋" w:hAnsi="仿宋" w:cs="仿宋" w:hint="eastAsia"/>
            <w:lang w:eastAsia="zh-CN"/>
          </w:rPr>
          <w:t>(三)、微生物杀虫剂项目完成阶段时间节点</w:t>
        </w:r>
        <w:r>
          <w:tab/>
        </w:r>
        <w:r>
          <w:fldChar w:fldCharType="begin"/>
        </w:r>
        <w:r>
          <w:instrText xml:space="preserve"> PAGEREF _Toc9811 \h </w:instrText>
        </w:r>
        <w:r>
          <w:fldChar w:fldCharType="separate"/>
        </w:r>
        <w:r>
          <w:t>64</w:t>
        </w:r>
        <w:r>
          <w:fldChar w:fldCharType="end"/>
        </w:r>
      </w:hyperlink>
    </w:p>
    <w:p>
      <w:pPr>
        <w:pStyle w:val="TOC1"/>
        <w:tabs>
          <w:tab w:val="right" w:leader="dot" w:pos="8306"/>
        </w:tabs>
      </w:pPr>
      <w:hyperlink w:anchor="_Toc8878" w:history="1">
        <w:r>
          <w:rPr>
            <w:rFonts w:ascii="仿宋" w:eastAsia="仿宋" w:hAnsi="仿宋" w:cs="仿宋" w:hint="eastAsia"/>
            <w:lang w:eastAsia="zh-CN"/>
          </w:rPr>
          <w:t>十五、微生物杀虫剂项目变更管理</w:t>
        </w:r>
        <w:r>
          <w:tab/>
        </w:r>
        <w:r>
          <w:fldChar w:fldCharType="begin"/>
        </w:r>
        <w:r>
          <w:instrText xml:space="preserve"> PAGEREF _Toc8878 \h </w:instrText>
        </w:r>
        <w:r>
          <w:fldChar w:fldCharType="separate"/>
        </w:r>
        <w:r>
          <w:t>65</w:t>
        </w:r>
        <w:r>
          <w:fldChar w:fldCharType="end"/>
        </w:r>
      </w:hyperlink>
    </w:p>
    <w:p>
      <w:pPr>
        <w:pStyle w:val="TOC2"/>
        <w:tabs>
          <w:tab w:val="right" w:leader="dot" w:pos="8306"/>
        </w:tabs>
      </w:pPr>
      <w:hyperlink w:anchor="_Toc32266" w:history="1">
        <w:r>
          <w:rPr>
            <w:rFonts w:ascii="仿宋" w:eastAsia="仿宋" w:hAnsi="仿宋" w:cs="仿宋" w:hint="eastAsia"/>
            <w:lang w:eastAsia="zh-CN"/>
          </w:rPr>
          <w:t>(一)、变更申请与评估</w:t>
        </w:r>
        <w:r>
          <w:tab/>
        </w:r>
        <w:r>
          <w:fldChar w:fldCharType="begin"/>
        </w:r>
        <w:r>
          <w:instrText xml:space="preserve"> PAGEREF _Toc32266 \h </w:instrText>
        </w:r>
        <w:r>
          <w:fldChar w:fldCharType="separate"/>
        </w:r>
        <w:r>
          <w:t>65</w:t>
        </w:r>
        <w:r>
          <w:fldChar w:fldCharType="end"/>
        </w:r>
      </w:hyperlink>
    </w:p>
    <w:p>
      <w:pPr>
        <w:pStyle w:val="TOC2"/>
        <w:tabs>
          <w:tab w:val="right" w:leader="dot" w:pos="8306"/>
        </w:tabs>
      </w:pPr>
      <w:hyperlink w:anchor="_Toc17630" w:history="1">
        <w:r>
          <w:rPr>
            <w:rFonts w:ascii="仿宋" w:eastAsia="仿宋" w:hAnsi="仿宋" w:cs="仿宋" w:hint="eastAsia"/>
            <w:lang w:eastAsia="zh-CN"/>
          </w:rPr>
          <w:t>(二)、变更实施与控制</w:t>
        </w:r>
        <w:r>
          <w:tab/>
        </w:r>
        <w:r>
          <w:fldChar w:fldCharType="begin"/>
        </w:r>
        <w:r>
          <w:instrText xml:space="preserve"> PAGEREF _Toc17630 \h </w:instrText>
        </w:r>
        <w:r>
          <w:fldChar w:fldCharType="separate"/>
        </w:r>
        <w:r>
          <w:t>66</w:t>
        </w:r>
        <w:r>
          <w:fldChar w:fldCharType="end"/>
        </w:r>
      </w:hyperlink>
    </w:p>
    <w:p>
      <w:pPr>
        <w:pStyle w:val="TOC1"/>
        <w:tabs>
          <w:tab w:val="right" w:leader="dot" w:pos="8306"/>
        </w:tabs>
      </w:pPr>
      <w:hyperlink w:anchor="_Toc18198" w:history="1">
        <w:r>
          <w:rPr>
            <w:rFonts w:ascii="仿宋" w:eastAsia="仿宋" w:hAnsi="仿宋" w:cs="仿宋" w:hint="eastAsia"/>
            <w:lang w:eastAsia="zh-CN"/>
          </w:rPr>
          <w:t>十六、微生物杀虫剂项目工程方案分析</w:t>
        </w:r>
        <w:r>
          <w:tab/>
        </w:r>
        <w:r>
          <w:fldChar w:fldCharType="begin"/>
        </w:r>
        <w:r>
          <w:instrText xml:space="preserve"> PAGEREF _Toc18198 \h </w:instrText>
        </w:r>
        <w:r>
          <w:fldChar w:fldCharType="separate"/>
        </w:r>
        <w:r>
          <w:t>66</w:t>
        </w:r>
        <w:r>
          <w:fldChar w:fldCharType="end"/>
        </w:r>
      </w:hyperlink>
    </w:p>
    <w:p>
      <w:pPr>
        <w:pStyle w:val="TOC2"/>
        <w:tabs>
          <w:tab w:val="right" w:leader="dot" w:pos="8306"/>
        </w:tabs>
      </w:pPr>
      <w:hyperlink w:anchor="_Toc22533" w:history="1">
        <w:r>
          <w:rPr>
            <w:rFonts w:ascii="仿宋" w:eastAsia="仿宋" w:hAnsi="仿宋" w:cs="仿宋" w:hint="eastAsia"/>
            <w:lang w:eastAsia="zh-CN"/>
          </w:rPr>
          <w:t>(一)、建筑工程设计原则</w:t>
        </w:r>
        <w:r>
          <w:tab/>
        </w:r>
        <w:r>
          <w:fldChar w:fldCharType="begin"/>
        </w:r>
        <w:r>
          <w:instrText xml:space="preserve"> PAGEREF _Toc22533 \h </w:instrText>
        </w:r>
        <w:r>
          <w:fldChar w:fldCharType="separate"/>
        </w:r>
        <w:r>
          <w:t>66</w:t>
        </w:r>
        <w:r>
          <w:fldChar w:fldCharType="end"/>
        </w:r>
      </w:hyperlink>
    </w:p>
    <w:p>
      <w:pPr>
        <w:pStyle w:val="TOC2"/>
        <w:tabs>
          <w:tab w:val="right" w:leader="dot" w:pos="8306"/>
        </w:tabs>
      </w:pPr>
      <w:hyperlink w:anchor="_Toc19299" w:history="1">
        <w:r>
          <w:rPr>
            <w:rFonts w:ascii="仿宋" w:eastAsia="仿宋" w:hAnsi="仿宋" w:cs="仿宋" w:hint="eastAsia"/>
            <w:lang w:eastAsia="zh-CN"/>
          </w:rPr>
          <w:t>(二)、土建工程建设指标</w:t>
        </w:r>
        <w:r>
          <w:tab/>
        </w:r>
        <w:r>
          <w:fldChar w:fldCharType="begin"/>
        </w:r>
        <w:r>
          <w:instrText xml:space="preserve"> PAGEREF _Toc19299 \h </w:instrText>
        </w:r>
        <w:r>
          <w:fldChar w:fldCharType="separate"/>
        </w:r>
        <w:r>
          <w:t>70</w:t>
        </w:r>
        <w:r>
          <w:fldChar w:fldCharType="end"/>
        </w:r>
      </w:hyperlink>
    </w:p>
    <w:p>
      <w:pPr>
        <w:pStyle w:val="TOC1"/>
        <w:tabs>
          <w:tab w:val="right" w:leader="dot" w:pos="8306"/>
        </w:tabs>
      </w:pPr>
      <w:hyperlink w:anchor="_Toc30709" w:history="1">
        <w:r>
          <w:rPr>
            <w:rFonts w:ascii="仿宋" w:eastAsia="仿宋" w:hAnsi="仿宋" w:cs="仿宋" w:hint="eastAsia"/>
            <w:lang w:eastAsia="zh-CN"/>
          </w:rPr>
          <w:t>十七、微生物杀虫剂项目实施保障措施</w:t>
        </w:r>
        <w:r>
          <w:tab/>
        </w:r>
        <w:r>
          <w:fldChar w:fldCharType="begin"/>
        </w:r>
        <w:r>
          <w:instrText xml:space="preserve"> PAGEREF _Toc30709 \h </w:instrText>
        </w:r>
        <w:r>
          <w:fldChar w:fldCharType="separate"/>
        </w:r>
        <w:r>
          <w:t>71</w:t>
        </w:r>
        <w:r>
          <w:fldChar w:fldCharType="end"/>
        </w:r>
      </w:hyperlink>
    </w:p>
    <w:p>
      <w:pPr>
        <w:pStyle w:val="TOC2"/>
        <w:tabs>
          <w:tab w:val="right" w:leader="dot" w:pos="8306"/>
        </w:tabs>
      </w:pPr>
      <w:hyperlink w:anchor="_Toc12977" w:history="1">
        <w:r>
          <w:rPr>
            <w:rFonts w:ascii="仿宋" w:eastAsia="仿宋" w:hAnsi="仿宋" w:cs="仿宋" w:hint="eastAsia"/>
            <w:lang w:eastAsia="zh-CN"/>
          </w:rPr>
          <w:t>(一)、微生物杀虫剂项目实施保障机制</w:t>
        </w:r>
        <w:r>
          <w:tab/>
        </w:r>
        <w:r>
          <w:fldChar w:fldCharType="begin"/>
        </w:r>
        <w:r>
          <w:instrText xml:space="preserve"> PAGEREF _Toc12977 \h </w:instrText>
        </w:r>
        <w:r>
          <w:fldChar w:fldCharType="separate"/>
        </w:r>
        <w:r>
          <w:t>71</w:t>
        </w:r>
        <w:r>
          <w:fldChar w:fldCharType="end"/>
        </w:r>
      </w:hyperlink>
    </w:p>
    <w:p>
      <w:pPr>
        <w:pStyle w:val="TOC2"/>
        <w:tabs>
          <w:tab w:val="right" w:leader="dot" w:pos="8306"/>
        </w:tabs>
      </w:pPr>
      <w:hyperlink w:anchor="_Toc986" w:history="1">
        <w:r>
          <w:rPr>
            <w:rFonts w:ascii="仿宋" w:eastAsia="仿宋" w:hAnsi="仿宋" w:cs="仿宋" w:hint="eastAsia"/>
            <w:lang w:eastAsia="zh-CN"/>
          </w:rPr>
          <w:t>(二)、微生物杀虫剂项目法律合规要求</w:t>
        </w:r>
        <w:r>
          <w:tab/>
        </w:r>
        <w:r>
          <w:fldChar w:fldCharType="begin"/>
        </w:r>
        <w:r>
          <w:instrText xml:space="preserve"> PAGEREF _Toc986 \h </w:instrText>
        </w:r>
        <w:r>
          <w:fldChar w:fldCharType="separate"/>
        </w:r>
        <w:r>
          <w:t>75</w:t>
        </w:r>
        <w:r>
          <w:fldChar w:fldCharType="end"/>
        </w:r>
      </w:hyperlink>
    </w:p>
    <w:p>
      <w:pPr>
        <w:pStyle w:val="TOC2"/>
        <w:tabs>
          <w:tab w:val="right" w:leader="dot" w:pos="8306"/>
        </w:tabs>
      </w:pPr>
      <w:hyperlink w:anchor="_Toc1078" w:history="1">
        <w:r>
          <w:rPr>
            <w:rFonts w:ascii="仿宋" w:eastAsia="仿宋" w:hAnsi="仿宋" w:cs="仿宋" w:hint="eastAsia"/>
            <w:lang w:eastAsia="zh-CN"/>
          </w:rPr>
          <w:t>(三)、微生物杀虫剂项目合同管理与法律事务</w:t>
        </w:r>
        <w:r>
          <w:tab/>
        </w:r>
        <w:r>
          <w:fldChar w:fldCharType="begin"/>
        </w:r>
        <w:r>
          <w:instrText xml:space="preserve"> PAGEREF _Toc1078 \h </w:instrText>
        </w:r>
        <w:r>
          <w:fldChar w:fldCharType="separate"/>
        </w:r>
        <w:r>
          <w:t>79</w:t>
        </w:r>
        <w:r>
          <w:fldChar w:fldCharType="end"/>
        </w:r>
      </w:hyperlink>
    </w:p>
    <w:p>
      <w:pPr>
        <w:pStyle w:val="TOC2"/>
        <w:tabs>
          <w:tab w:val="right" w:leader="dot" w:pos="8306"/>
        </w:tabs>
      </w:pPr>
      <w:hyperlink w:anchor="_Toc32714" w:history="1">
        <w:r>
          <w:rPr>
            <w:rFonts w:ascii="仿宋" w:eastAsia="仿宋" w:hAnsi="仿宋" w:cs="仿宋" w:hint="eastAsia"/>
            <w:lang w:eastAsia="zh-CN"/>
          </w:rPr>
          <w:t>(四)、微生物杀虫剂项目知识产权保护策略</w:t>
        </w:r>
        <w:r>
          <w:tab/>
        </w:r>
        <w:r>
          <w:fldChar w:fldCharType="begin"/>
        </w:r>
        <w:r>
          <w:instrText xml:space="preserve"> PAGEREF _Toc32714 \h </w:instrText>
        </w:r>
        <w:r>
          <w:fldChar w:fldCharType="separate"/>
        </w:r>
        <w:r>
          <w:t>86</w:t>
        </w:r>
        <w:r>
          <w:fldChar w:fldCharType="end"/>
        </w:r>
      </w:hyperlink>
    </w:p>
    <w:p>
      <w:pPr>
        <w:pStyle w:val="TOC1"/>
        <w:tabs>
          <w:tab w:val="right" w:leader="dot" w:pos="8306"/>
        </w:tabs>
      </w:pPr>
      <w:hyperlink w:anchor="_Toc20102" w:history="1">
        <w:r>
          <w:rPr>
            <w:rFonts w:ascii="仿宋" w:eastAsia="仿宋" w:hAnsi="仿宋" w:cs="仿宋" w:hint="eastAsia"/>
            <w:lang w:eastAsia="zh-CN"/>
          </w:rPr>
          <w:t>十八、微生物杀虫剂项目治理与监督</w:t>
        </w:r>
        <w:r>
          <w:tab/>
        </w:r>
        <w:r>
          <w:fldChar w:fldCharType="begin"/>
        </w:r>
        <w:r>
          <w:instrText xml:space="preserve"> PAGEREF _Toc20102 \h </w:instrText>
        </w:r>
        <w:r>
          <w:fldChar w:fldCharType="separate"/>
        </w:r>
        <w:r>
          <w:t>88</w:t>
        </w:r>
        <w:r>
          <w:fldChar w:fldCharType="end"/>
        </w:r>
      </w:hyperlink>
    </w:p>
    <w:p>
      <w:pPr>
        <w:pStyle w:val="TOC2"/>
        <w:tabs>
          <w:tab w:val="right" w:leader="dot" w:pos="8306"/>
        </w:tabs>
      </w:pPr>
      <w:hyperlink w:anchor="_Toc14227" w:history="1">
        <w:r>
          <w:rPr>
            <w:rFonts w:ascii="仿宋" w:eastAsia="仿宋" w:hAnsi="仿宋" w:cs="仿宋" w:hint="eastAsia"/>
            <w:lang w:eastAsia="zh-CN"/>
          </w:rPr>
          <w:t>(一)、微生物杀虫剂项目治理结构</w:t>
        </w:r>
        <w:r>
          <w:tab/>
        </w:r>
        <w:r>
          <w:fldChar w:fldCharType="begin"/>
        </w:r>
        <w:r>
          <w:instrText xml:space="preserve"> PAGEREF _Toc14227 \h </w:instrText>
        </w:r>
        <w:r>
          <w:fldChar w:fldCharType="separate"/>
        </w:r>
        <w:r>
          <w:t>88</w:t>
        </w:r>
        <w:r>
          <w:fldChar w:fldCharType="end"/>
        </w:r>
      </w:hyperlink>
    </w:p>
    <w:p>
      <w:pPr>
        <w:pStyle w:val="TOC2"/>
        <w:tabs>
          <w:tab w:val="right" w:leader="dot" w:pos="8306"/>
        </w:tabs>
      </w:pPr>
      <w:hyperlink w:anchor="_Toc28574" w:history="1">
        <w:r>
          <w:rPr>
            <w:rFonts w:ascii="仿宋" w:eastAsia="仿宋" w:hAnsi="仿宋" w:cs="仿宋" w:hint="eastAsia"/>
            <w:lang w:eastAsia="zh-CN"/>
          </w:rPr>
          <w:t>(二)、监督与审计</w:t>
        </w:r>
        <w:r>
          <w:tab/>
        </w:r>
        <w:r>
          <w:fldChar w:fldCharType="begin"/>
        </w:r>
        <w:r>
          <w:instrText xml:space="preserve"> PAGEREF _Toc28574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398"/>
      <w:r>
        <w:rPr>
          <w:rFonts w:ascii="仿宋" w:eastAsia="仿宋" w:hAnsi="仿宋" w:cs="仿宋" w:hint="eastAsia"/>
          <w:sz w:val="28"/>
          <w:lang w:eastAsia="zh-CN"/>
        </w:rPr>
        <w:t>一、微生物杀虫剂项目绩效评估</w:t>
      </w:r>
      <w:bookmarkEnd w:id="2"/>
    </w:p>
    <w:p>
      <w:pPr>
        <w:pStyle w:val="Heading2"/>
        <w:rPr>
          <w:rFonts w:ascii="仿宋" w:eastAsia="仿宋" w:hAnsi="仿宋" w:cs="仿宋" w:hint="eastAsia"/>
          <w:lang w:eastAsia="zh-CN"/>
        </w:rPr>
      </w:pPr>
      <w:bookmarkStart w:id="3" w:name="_Toc1994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杀虫剂项目中，我们设计了一套全面的绩效评估指标，以确保微生物杀虫剂项目的可控和成功交付。这些指标跨足微生物杀虫剂项目目标、成本、进度和质量等多个维度，为我们提供了全面洞察微生物杀虫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目标达成率是我们关注的首要指标。我们设定了明确的目标，并通过定期监测和评估，迅速发现并应对潜在的目标偏差。这为微生物杀虫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成本绩效是另一个核心关注点。通过实际成本与预算成本的对比分析，我们深入了解成本差异的原因，及时调整资源分配，保持微生物杀虫剂项目在经济效益方面的合理水平。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进度作为关键的绩效指标之一，得到了精心的关注。我们制定了详细的微生物杀虫剂项目进度计划，并设立了进度符合度指标，确保实际进度与计划进度保持一致。这使我们能够快速发现和解决潜在的进度问题，保持微生物杀虫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生物杀虫剂项目绩效的不可或缺的一环。我们引入了一系列的质量标准和客户满意度指标，以确保微生物杀虫剂项目交付的成果在质量上达到或超越预期水平。通过持续监测这些指标，我们努力提升微生物杀虫剂项目整体质量水平，为微生物杀虫剂项目的成功交付提供有力保障。通过这些科学且全面的绩效评估，我们能够更好地引导微生物杀虫剂项目的持续改进，确保微生物杀虫剂项目目标的顺利达成。</w:t>
      </w:r>
    </w:p>
    <w:p>
      <w:pPr>
        <w:pStyle w:val="Heading2"/>
        <w:ind w:firstLine="560" w:firstLineChars="200"/>
        <w:rPr>
          <w:rFonts w:ascii="仿宋" w:eastAsia="仿宋" w:hAnsi="仿宋" w:cs="仿宋" w:hint="eastAsia"/>
          <w:sz w:val="28"/>
          <w:lang w:eastAsia="zh-CN"/>
        </w:rPr>
      </w:pPr>
      <w:bookmarkStart w:id="4" w:name="_Toc2748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绩效评估是微生物杀虫剂项目中的关键环节，为确保微生物杀虫剂项目达到预期目标，我们采用了多层次、多维度的绩效评估方法。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生物杀虫剂项目的战略目标对齐，确保每个决策和行动都与微生物杀虫剂项目整体目标保持一致。团队会定期召开战略对齐会议，审视当前工作与微生物杀虫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生物杀虫剂项目进度、质量、成本和风险等方面。这些指标通过数据收集和分析，为微生物杀虫剂项目管理团队提供了客观的评估依据。例如，我们通过微生物杀虫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绩效评估不仅仅停留在微生物杀虫剂项目内部，还考虑了微生物杀虫剂项目对外部环境的影响。我们定期进行干系人满意度调查，以了解各利益相关方对微生物杀虫剂项目的期望和满意度，并及时做出调整。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这种多层次、多角度的绩效评估方法，使得我们能够全面了解微生物杀虫剂项目的运行状态，及时做出调整，确保微生物杀虫剂项目在不断变化的环境中保持稳健前行。</w:t>
      </w:r>
    </w:p>
    <w:p>
      <w:pPr>
        <w:pStyle w:val="Heading2"/>
        <w:ind w:firstLine="560" w:firstLineChars="200"/>
        <w:rPr>
          <w:rFonts w:ascii="仿宋" w:eastAsia="仿宋" w:hAnsi="仿宋" w:cs="仿宋" w:hint="eastAsia"/>
          <w:sz w:val="28"/>
          <w:lang w:eastAsia="zh-CN"/>
        </w:rPr>
      </w:pPr>
      <w:bookmarkStart w:id="5" w:name="_Toc309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为了确保微生物杀虫剂项目的有效管理和不断优化，我们采用了精心设计的绩效评估周期。这个周期旨在实现灵活、实时和全面的评估，以适应微生物杀虫剂项目执行中的各种挑战。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微生物杀虫剂项目的不同需求，分为短期、中期和长期。短期评估关注每个迭代或工作周期，以及时发现和解决当前任务中的问题。中期评估涵盖几个迭代，深入了解整体微生物杀虫剂项目的趋势和性能。长期评估则着眼于整个微生物杀虫剂项目阶段，确保微生物杀虫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生物杀虫剂项目管理工具和协作平台，团队成员能够随时更新和分享微生物杀虫剂项目数据。这种实时性的反馈机制使我们能够及时察觉潜在问题，快速调整，保持微生物杀虫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生物杀虫剂项目的决策制定密不可分。每个周期的微生物杀虫剂项目回顾会议成为集体总结经验、识别问题深层次原因并找到创新解决方案的平台。这种定期的反思与调整机制使微生物杀虫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225"/>
      <w:r>
        <w:rPr>
          <w:rFonts w:ascii="仿宋" w:eastAsia="仿宋" w:hAnsi="仿宋" w:cs="仿宋" w:hint="eastAsia"/>
          <w:sz w:val="28"/>
          <w:lang w:eastAsia="zh-CN"/>
        </w:rPr>
        <w:t>二、微生物杀虫剂项目可持续发展</w:t>
      </w:r>
      <w:bookmarkEnd w:id="6"/>
    </w:p>
    <w:p>
      <w:pPr>
        <w:pStyle w:val="Heading2"/>
        <w:rPr>
          <w:rFonts w:ascii="仿宋" w:eastAsia="仿宋" w:hAnsi="仿宋" w:cs="仿宋" w:hint="eastAsia"/>
          <w:lang w:eastAsia="zh-CN"/>
        </w:rPr>
      </w:pPr>
      <w:bookmarkStart w:id="7" w:name="_Toc781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杀虫剂项目中，微生物杀虫剂项目团队着眼于未来，明确了可持续发展的战略方向。制定的具体可持续发展目标包括降低资源使用、采用环保技术、最大化社会效益等。这一步骤不仅有助于微生物杀虫剂项目在环保和社会责任方面达到最高标准，也为未来提供了明确的指引，确保微生物杀虫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可持续实践的融入微生物杀虫剂项目管理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微生物杀虫剂项目管理周期。从微生物杀虫剂项目规划开始，微生物杀虫剂项目团队就考虑了环境和社会的因素。在执行阶段，微生物杀虫剂项目团队积极推动绿色技术的应用，优化资源利用。此外，关注员工的社会责任，通过培训和沟通活动提高员工对可持续发展的认知，使他们能够在日常工作中践行可持续实践。这些举措不仅为微生物杀虫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570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扎根于微生物杀虫剂项目的可持续发展理念，我们深信环保与社会责任是微生物杀虫剂项目成功的关键支柱。在微生物杀虫剂项目的每一步，我们都致力于通过创新和实践，履行对环境和社会的坚定责任。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团队通过引入先进的环保技术、建立高效的废物处理系统以及推动能源节约措施，积极履行环保责任。定期的环保监测和评估确保微生物杀虫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不仅致力于自身可持续发展，还注重对社会的回馈。通过支持社区微生物杀虫剂项目、参与慈善事业、提供培训机会等方式，微生物杀虫剂项目积极履行社会责任。与当地社区建立积极互动，关注员工的工作与生活平衡，以及员工的身心健康，是微生物杀虫剂项目在社会责任层面的关键举措。这样的实践不仅增强了微生物杀虫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9921"/>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305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技术管理特点体现在其创新导向。通过引入最先进的技术趋势和解决方案，微生物杀虫剂项目致力于提升科技含量、提高质量和效率水平。这意味着我们将采用最新的工具和方法，确保微生物杀虫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生物杀虫剂项目技术管理的显著特征。通过整合不同领域的技术资源，我们实现了跨学科的协同工作。这有助于优化技术架构，提高整体效能。此外，整合性策略还促进了不同技术团队之间的紧密沟通和高效合作，确保微生物杀虫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生物杀虫剂项目所采用的技术。通过不断优化技术方案，微生物杀虫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生物杀虫剂项目团队将在微生物杀虫剂项目初期识别可能的技术风险，并采取相应的预防和应对措施。通过建立健全的风险评估机制，微生物杀虫剂项目能够在实施过程中及时发现并解决潜在的技术问题，保障微生物杀虫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生物杀虫剂项目中，技术将成为微生物杀虫剂项目成功的有力支持。这一深度剖析揭示了技术管理在微生物杀虫剂项目实施中的关键作用，为微生物杀虫剂项目的技术基础奠定了坚实的基础。</w:t>
      </w:r>
    </w:p>
    <w:p>
      <w:pPr>
        <w:pStyle w:val="Heading2"/>
        <w:ind w:firstLine="560" w:firstLineChars="200"/>
        <w:rPr>
          <w:rFonts w:ascii="仿宋" w:eastAsia="仿宋" w:hAnsi="仿宋" w:cs="仿宋" w:hint="eastAsia"/>
          <w:sz w:val="28"/>
          <w:lang w:eastAsia="zh-CN"/>
        </w:rPr>
      </w:pPr>
      <w:bookmarkStart w:id="11" w:name="_Toc28554"/>
      <w:r>
        <w:rPr>
          <w:rFonts w:ascii="仿宋" w:eastAsia="仿宋" w:hAnsi="仿宋" w:cs="仿宋" w:hint="eastAsia"/>
          <w:sz w:val="28"/>
          <w:lang w:eastAsia="zh-CN"/>
        </w:rPr>
        <w:t>(二)、微生物杀虫剂项目工艺技术设计方案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生物杀虫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生物杀虫剂项目将严格按照相关行业规范要求进行组织。通过有效控制产品质量，微生物杀虫剂项目将致力于为顾客提供优质的微生物杀虫剂项目产品和良好的服务。这体现了微生物杀虫剂项目对于生产活动合规性和质量标准的高度重视，为微生物杀虫剂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生物杀虫剂项目注重生态效益和清洁生产原则。微生物杀虫剂项目建设将紧密结合地方特色经济发展，与社会经济发展规划和区域环境保护规划方案相协调一致。通过与当地区域自然生态系统的结合，微生物杀虫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生物杀虫剂项目产品具有多样化的客户需求和个性化的特点。因此，微生物杀虫剂项目产品规格品种多样，且单批生产数量较小。为满足这一特点，微生物杀虫剂项目承办单位将建设先进的柔性制造生产线。通过广泛应用柔性制造技术，微生物杀虫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生物杀虫剂项目采用的技术具有较高的技术含量和自动化水平，处于国内先进水平。这一技术选用不仅体现了对生产效率、质量和环境友好性的高标准要求，同时为微生物杀虫剂项目的可持续发展奠定了坚实的基础。</w:t>
      </w:r>
    </w:p>
    <w:p>
      <w:pPr>
        <w:pStyle w:val="Heading2"/>
        <w:ind w:firstLine="560" w:firstLineChars="200"/>
        <w:rPr>
          <w:rFonts w:ascii="仿宋" w:eastAsia="仿宋" w:hAnsi="仿宋" w:cs="仿宋" w:hint="eastAsia"/>
          <w:sz w:val="28"/>
          <w:lang w:eastAsia="zh-CN"/>
        </w:rPr>
      </w:pPr>
      <w:bookmarkStart w:id="12" w:name="_Toc2650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为确保微生物杀虫剂项目的高效生产和技术实施，我们制定了一套精心设计的设备选型方案，以满足微生物杀虫剂项目生产、质量和环保的要求。该方案的主要特点如下：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生物杀虫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针对微生物杀虫剂项目产品的多样性和小批量生产的特点，我们将建设柔性制造生产线。通过在设备选型中考虑柔性制造技术，可以灵活应对不同产品规格和生产需求，实现生产线的高度灵活性和适应性。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32697"/>
      <w:r>
        <w:rPr>
          <w:rFonts w:ascii="仿宋" w:eastAsia="仿宋" w:hAnsi="仿宋" w:cs="仿宋" w:hint="eastAsia"/>
          <w:sz w:val="28"/>
          <w:lang w:eastAsia="zh-CN"/>
        </w:rPr>
        <w:t>四、微生物杀虫剂项目概论</w:t>
      </w:r>
      <w:bookmarkEnd w:id="13"/>
    </w:p>
    <w:p>
      <w:pPr>
        <w:pStyle w:val="Heading2"/>
        <w:rPr>
          <w:rFonts w:ascii="仿宋" w:eastAsia="仿宋" w:hAnsi="仿宋" w:cs="仿宋" w:hint="eastAsia"/>
          <w:lang w:eastAsia="zh-CN"/>
        </w:rPr>
      </w:pPr>
      <w:bookmarkStart w:id="14" w:name="_Toc31109"/>
      <w:r>
        <w:rPr>
          <w:rFonts w:ascii="仿宋" w:eastAsia="仿宋" w:hAnsi="仿宋" w:cs="仿宋" w:hint="eastAsia"/>
          <w:lang w:eastAsia="zh-CN"/>
        </w:rPr>
        <w:t>(一)、微生物杀虫剂项目概况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起源追溯至对市场的深入洞察。市场的不断演变与变革为微生物杀虫剂项目提供了难得的机遇。当前市场存在的需求缺口和变革的大环境共同构成了微生物杀虫剂项目的背景。这个微生物杀虫剂项目旨在充分利用市场机遇，填补行业中尚未满足的需求，为客户提供全新的解决方案。市场的变革和需求的增长使得这个微生物杀虫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微生物杀虫剂项目名称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正式命名为微生物杀虫剂。这个名称不仅仅是一个标识，更代表了微生物杀虫剂项目的核心理念和愿景。它蕴含着微生物杀虫剂项目所要解决问题的关键字，具有强烈的表达和辨识度，为微生物杀虫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微生物杀虫剂项目目标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核心目标是提供一种全新、高效的解决方案，满足客户日益增长的需求。微生物杀虫剂项目追求的不仅仅是满足市场需求，更是在市场中获得卓越的竞争优势。通过不断提升产品或服务的质量和创新水平，微生物杀虫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微生物杀虫剂项目范围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全面涵盖了产品研发、制造、市场推广和售后服务，确保从产品设计到最终用户体验的全方位关注。这一全面的微生物杀虫剂项目范围是为了确保微生物杀虫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微生物杀虫剂项目时间表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微生物杀虫剂项目计划在未来18个月内完成，包括研发、测试、市场试点和正式推出等不同阶段。这个时间表的合理设计是为了确保微生物杀虫剂项目各个阶段的顺利推进，以便按时交付高质量的成果。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微生物杀虫剂项目预算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总预算估算为XX百万美元，主要分配在研发、市场推广、人员培训和运营等方面。这一充足的预算为微生物杀虫剂项目提供了充足的资源，确保微生物杀虫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微生物杀虫剂项目风险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可能面临的风险包括市场接受度低、技术难题、竞争激烈等。微生物杀虫剂项目团队已经制定了相应的风险应对计划，通过前瞻性的风险管理，确保微生物杀虫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微生物杀虫剂项目团队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微生物杀虫剂项目汇聚了一支经验丰富、多领域专业素养的核心团队，确保微生物杀虫剂项目在各个方面都能拥有高水平的执行力。团队的协同作战是微生物杀虫剂项目成功的关键因素之一。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微生物杀虫剂项目背景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微生物杀虫剂项目的背景根植于市场对更高效、创新产品的渴望，同时也受到科技发展对行业格局的深刻改变的影响。这为微生物杀虫剂项目提供了广阔的发展空间和市场需求。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微生物杀虫剂项目现状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截至目前，微生物杀虫剂项目已完成市场调研和技术验证，取得了初步的成功。这为微生物杀虫剂项目在未来的发展奠定了坚实的基础，为更远大的目标打下了坚实的基石。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5446"/>
      <w:r>
        <w:rPr>
          <w:rFonts w:ascii="仿宋" w:eastAsia="仿宋" w:hAnsi="仿宋" w:cs="仿宋" w:hint="eastAsia"/>
          <w:sz w:val="28"/>
          <w:lang w:eastAsia="zh-CN"/>
        </w:rPr>
        <w:t>(二)、微生物杀虫剂项目目标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keyword》微生物杀虫剂项目首要业务目标是在市场中占据有利地位，实现产品/服务的成功推广和销售。通过不断提升产品质量、创新性，微生物杀虫剂项目追求成为行业中的领导者，赢得更多客户的青睐。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在科技迅速发展的时代，微生物杀虫剂项目着眼于技术创新。通过持续的研发和技术升级，微生物杀虫剂项目旨在推出更具创新性的产品或服务，以满足市场对新鲜、先进解决方案的需求。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为了建立可持续的客户关系，微生物杀虫剂项目设定了客户满意度目标。通过提供卓越的产品质量和优质的客户服务，微生物杀虫剂项目追求赢得客户的信任和忠诚度，确保他们的满意度达到行业领先水平。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微生物杀虫剂项目注重社会责任和可持续发展。通过实施环保、社会责任微生物杀虫剂项目，微生物杀虫剂项目致力于在经济发展的同时保护环境，促进社会公平，实现可持续经营。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微生物杀虫剂项目的团队是实现目标的核心驱动力。因此，微生物杀虫剂项目设定了团队发展目标，包括提升团队成员的专业技能、培养领导力，以及搭建协同高效的团队工作氛围。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5798"/>
      <w:r>
        <w:rPr>
          <w:rFonts w:ascii="仿宋" w:eastAsia="仿宋" w:hAnsi="仿宋" w:cs="仿宋" w:hint="eastAsia"/>
          <w:sz w:val="28"/>
          <w:lang w:eastAsia="zh-CN"/>
        </w:rPr>
        <w:t>(三)、微生物杀虫剂项目提出的理由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微生物杀虫剂项目提出的理由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源于对市场机遇的深刻洞察。当前市场中存在的需求缺口和行业发展趋势表明，有巨大的商业机会等待被开发。通过准确捕捉市场机遇，微生物杀虫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理念基于对技术创新的信仰。通过持续的研发和技术投入，微生物杀虫剂项目有望推出更具创新性的产品或服务。在科技飞速发展的当下，微生物杀虫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微生物杀虫剂项目的提出是为了增强企业的行业竞争力。通过提升产品或服务的质量和独特性，微生物杀虫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响应了消费者需求的变化。随着社会和科技的不断发展，消费者对产品和服务的需求也在发生变化。通过深入了解并及时回应消费者的新需求，微生物杀虫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微生物杀虫剂项目的提出是企业战略发展规划的一部分。在面对日益激烈的市场竞争和不断变化的商业环境中，微生物杀虫剂项目作为企业战略的一环，旨在为企业开辟新的增长领域，巩固企业在行业中的地位。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不仅仅是基于商业考量，还注重社会责任。通过推出环保、社会责任等方面的微生物杀虫剂项目，微生物杀虫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微生物杀虫剂项目的提出反映了对利益相关者期望的关注。包括客户、员工、投资者等利益相关者在企业发展中都有着各自的期望，微生物杀虫剂项目力求在满足这些期望的同时，取得更大的共赢。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https://d.book118.com/737066054000006036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微生物杀虫剂项目规划设计方案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847E0"/>
    <w:rsid w:val="521847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066054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2024-01-29T14:29:00Z</dcterms:created>
  <dcterms:modified xsi:type="dcterms:W3CDTF">2024-01-29T14:29:43Z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1FA191CF15454DE6AC785BFEC73ADD66_11</vt:lpwstr>
  </property>
  <property fmtid="{D5CDD505-2E9C-101B-9397-08002B2CF9AE}" pid="3" name="KSOProductBuildVer">
    <vt:lpwstr>2052-12.1.0.16250</vt:lpwstr>
  </property>
</Properties>
</file>