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2023年银行知识财经金融知识-中小企业上市知识考试历年参考核心考点荟萃附答案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发行人制作申请文件需要做好哪些准备工作？</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（1）建立相关工作底稿；</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（2）关于本次发行上市事宜召开董事会、股东大会；</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（3）取得政府部门的相关批文或文件；</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（4）聘请中介机构出具相关专业意见；</w:t>
      </w:r>
    </w:p>
    <w:p>
      <w:pPr>
        <w:pStyle w:val="Normal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（5）准备好各类申请文件的原件或做好鉴证，并汇总制作申请文件。</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设立股份有限公司有哪些方式？</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股份有限公司的设立，可以采取发起设立或者募集设立的方式。</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发起设立，是指由发起人认购公司应发行的全部股份而设立公司。主要为以下两种情况：一是新设设立，即2个以上200个以下发起人出资新设立一个公司；二是变更设立，即有限责任公司按原账面净资产值折股整体变更为股份有限公司。</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募集设立，是指由发起人认购公司应发行股份的一部分，其余股份向社会公开募集或者向特定对象募集而设立公司。经国务院批准，有限责任公司在依法变更为股份有限公司时，可以采取募集设立方式公开发行股票。</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军工行业有什么特点？</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2"/>
        <w:jc w:val="left"/>
        <w:rPr>
          <w:rFonts w:ascii="黑体" w:eastAsia="黑体" w:hAnsi="黑体"/>
          <w:sz w:val="24"/>
          <w:szCs w:val="28"/>
        </w:rPr>
      </w:pPr>
      <w:r>
        <w:rPr>
          <w:rFonts w:ascii="黑体" w:eastAsia="黑体" w:hAnsi="黑体"/>
          <w:sz w:val="24"/>
          <w:szCs w:val="28"/>
        </w:rPr>
        <w:t>正确答案:</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（1）政治性</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国防工业的发展水平还是一个国家综合实力的反映，它体现出来的威慑力量直接影响一国的政治行为。这决定了它的改革与发展不仅仅要考虑经济利益，还必须符合国家利益和战略目标的需要，有时甚至要损失经济利益。国家有权在适当的时候向某些国防技术、产品和企业给予特殊的政策照顾、倾斜以及规制。军工产业受国家法律限制明显，与政治因素和国内国际政局变化直接关联。</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（2）高保密性</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于某些军品和技术，特别是高精尖武器装备的技术与生产涉及国家安全和战略意图的实现，因此往往处于高保密状态。国防工业的高保密性决定了一些军品只能由某些特定的军工企业进行研制与生产。而国有军工企业的军转民，也有诸多限制，某些涉密的技术绝不可因为市场前景诱人而用于民品生产，如果非要转向民用，则必须进行适当的技术转化、拆分，然后通过申请专利保护，方可用于民品生产。这种保密性使得军工产业市场的开放程度受到限制。</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（3）买方垄断性</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由于国防事业只能由国家来承担，那么国防工业的买方主体就自然而然的具备了垄断性。国防工业的买方垄断性决定了其经济运行有着特殊规律，在其他产业运作良好的某些市场机制，在这里可能根本*行不通。</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（4）高风险性</w:t>
      </w:r>
    </w:p>
    <w:p>
      <w:pPr>
        <w:pStyle w:val="Normal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方面，军工产业属于资金、技术和人才密集型的高风险产业，需要巨额的资金投入，需要相当的技术基础和科研时间，还要承担极高的科研生产风险；另一方面，军品需求通常具有严重的非均衡特性，军队武器装备的列装与换装具有明显的系列性和系统性特征，不同的武器系统在标准、制式方面存在巨大差异，因此，不同军工产品系列间互换性、通用性极差，使军队在大规模列装或换装时的军品品种选择范围受到限制，表现出较强的选择刚性。一般说来，装备系列一经确定，就在较大程度上形成需求锁定效应，弹性较小。</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网游企业如何确认收入？</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网游公司的主要收入来自网络游戏本身及相关的收费。现在网络游戏的收费模式包括收费游戏模式和免费游戏模式。收费游戏模式是网游公司依据游戏玩家的游戏时间收取点卡费，游戏计时点卡收费和道具收费是其收入的主要来源。收入与玩家的人数和游戏时间之间成正比。但近年来发展起来的免费游戏正在成为网络游戏中主要的收费模式。该模式最大的特点就是游戏时间不收费，靠增值服务收费。玩家可以不买点卡免费玩游戏，网游企业的收入来源主要有两个渠道：虚拟道具收费和增值服务收费，比如服务性短信收费和其他增值短信服务收费。另外，许多商家青睐于其数量巨大的玩家，纷纷将广告投入其中，网游企业的广告收入也在加大。</w:t>
      </w:r>
    </w:p>
    <w:p>
      <w:pPr>
        <w:pStyle w:val="Normal3"/>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b/>
      </w:r>
    </w:p>
    <w:p>
      <w:pPr>
        <w:pStyle w:val="Normal3"/>
        <w:jc w:val="left"/>
        <w:rPr>
          <w:rFonts w:ascii="黑体" w:eastAsia="黑体" w:hAnsi="黑体"/>
          <w:sz w:val="24"/>
          <w:szCs w:val="28"/>
        </w:rPr>
      </w:pPr>
      <w:r>
        <w:rPr>
          <w:rFonts w:ascii="黑体" w:eastAsia="黑体" w:hAnsi="黑体"/>
          <w:sz w:val="24"/>
          <w:szCs w:val="28"/>
        </w:rPr>
        <w:t>网游企业在收入确认方面的考虑：不同的收入形式确认的方式也不相同。根据《企业会计准则——收入》的相关规定，收费游戏的点卡收入，应该在整个受益期内分期确认收入；长期为客户提供重复的劳务收取的劳务费，则在相关劳务活动发生时确认收入；而为特定客户开发软件的收费，在资产负债表日根据开发的完工进度确认收入；承接的广告收入，在相关的广告开始出现于公众面前时确认收入。</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现代农业有哪些新的经营模式和新兴业态？</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（1）新兴特色产业</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新兴特色农业产业主要包括休闲农业、循环农业、高科技农业和有机农业等。此类产业最大的特点在于将传统农业与其他行业结合在一起，形成一种新的业态。如休闲农业是将农业与旅游业结合在一起，利用乡村景观和农村空间吸引游客前来观赏、休闲、体验、购物的一种新型农业经营形态，即以农林牧渔等广泛的农业资源为基础开发的旅游产品。高科技农业则利用先进的基因工程、细胞工程、酶和发酵工程等高科技改造传统农业，提高农业产品的附加值。新兴特色农业企业大多数处于创新摸索阶段，一般规模都较小，难以达到农业产业化龙头的认定标准，无法获得相应的扶持政策；同时，在银行信贷、上市融资方面也存在较大难度。</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（2）传统组织形式升级</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当今世界上农民组织形态主要有三类：一是“大农场主”体系和公司制企业，如美国的孟山都公司、荷兰的花卉公司等，这些跨国经营的公司大多起到龙头作用；二是半官方的产业局，如加拿大的小麦生产局，负责协调产销关系和生产布局；三是农民合作制组织，如日本的农协、我国台湾的农会、美国农场主协会等。我国传统的“单干”模式显然难以抗拒农产品价格波动较大和自然条件变化所带来的风险，“公司+农户”的组织形式也因为农户组织程度不高造成交易成本巨大，同时“公司”对“农户”缺乏硬性约束力所带来的农产品质量问题也时刻威胁着企业和产业的发展，“三鹿”事件正是在上游原材料的供应方面出现了问题，给整个乳业产业带来巨大损失。为了改善原有组织模式的弊端，“龙头企业打造完整产业链”、“公司+基地（农业园区）+农户”、“合作经济组织＋农户”、“行业协会＋农户”等一些新的组织模式不断涌现。这些新的组织模式具有一定的先进性。如在“公司+基地（农业园区）+农户”的组织模式中，公司对基地或园区进行统一的管理和控制，农户进园区就必须服从公司管理，公司对原材料进行统一管理，监督实施将更容易，这种模式在土地承包经营权流转之后将更多出现。</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（3）传统流通体系升级</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建立健全农产品现代流通体系，可以进一步在传统农业中建立市场化的运行机制，可以进一步培育农产品竞争优势。现代农业流通的主要形态包括以下几种：①以大型批发市场、专业市场和大型物流企业为主导的农产品快速通道；②切合现代消费习惯的农产品超市、连锁、配送等新兴流通渠道；③以电子交易为核心的大宗农产品现、期货交易市场，并与国外大型农产品期货市场接轨，实现交易信息的国际化。</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（4）传统服务体系升级</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传统农业服务体系的升级不仅可以辅助农业产业的发展，同时也是农业部门转变职能的重要着力点，其主要包括农村金融体系完善、农资连锁经营、新型农业科技研发服务、农机跨区作业、农村劳动力转移培训和中介服务、农业保险等方面。在以上各方面均出现了一些具有一定规模的农业服务型企业。</w:t>
      </w:r>
    </w:p>
    <w:p>
      <w:pPr>
        <w:pStyle w:val="Normal4"/>
      </w:pPr>
    </w:p>
    <w:p>
      <w:pPr>
        <w:pStyle w:val="Normal5"/>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6.</w:t>
      </w:r>
      <w:r>
        <w:rPr>
          <w:rFonts w:ascii="黑体" w:eastAsia="黑体" w:hAnsi="黑体"/>
          <w:sz w:val="24"/>
          <w:szCs w:val="28"/>
        </w:rPr>
        <w:t>什么是同业竞争？</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正确答案:同业竞争是指上市公司所从事的业务与其控股股东、实际控制人及其所控制的企业所从事的业务相同或近似，双方构成或可能构成直接或间接的利益冲突关系。</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上市公司股权激励与重大事件间需间隔多长时间？</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（1）上市公司在发生《上市公司信息披露管理办法》第三十条规定的重大事件时，应当履行信息披露义务；在履行信息披露义务期间及履行信息披露义务完毕后30日内，不得推出股权激励计划草案。</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上市公司提出增发新股、资产注入、发行可转债等重大事项动议至上述事项实施完毕后30日内，上市公司不得提出股权激励计划草案。增发新股、发行可转债实施完毕指所募集资金已经到位；资产注入实施完毕指相关产权过户手续办理完毕。</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（3）公司披露股权激励计划草案至股权激励计划经股东大会审议通过后30日内，上市公司不得进行增发新股、资产注入、发行可转债等重大事项。</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什么是创业投资？</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创业投资（VentureCapital）有许多种定义。如：全美创业投资协会给出的定义是：“创业投资是由专业投资者投入到新兴的、迅速发展的、有巨大竞争潜力的企业中的一种股权性资本。”经济合作与发展组织曾给出三种定义：①创业投资是投资于以高科技和知识为基础，生产与经营技术密集型的创新产品或服务的投资；②创业投资是专门购买在新思想和新技术方面独具特色的中小企业的股份，并促进这些中小企业的形成和创立的投资；③创业投资是一种向极具发展潜力的新建企业或中小企业提供股权资本的投资行为。成思危给出的定义是：“创业投资是指把资金投向蕴藏着较大失败危险的高新技术开发领域，以期成功后取得高资本收益的一种商业投资行为。”匡晓明给出的定义是：“创业投资是由确定多数或不确定多数投资者以集合投资方式设立基金，委托专业性的创业投资管理机构管理和运用基金资产，主要对未上市创业企业提供权益性资本，并通过资本经营服务直接参与企业创业过程，以其获取企业创业成功后的高资本增值的一种特定类型的投资。”</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从上述几个定义来看，创业投资具有如下几个特点：①由专业投资者管理；②针对未上市企业的权益性资本；③主要投入高科技企业和创业企业；④投资项目具有较高风险；⑤靠资本增值获取收益。</w:t>
      </w:r>
    </w:p>
    <w:p>
      <w:pPr>
        <w:pStyle w:val="Normal7"/>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ab/>
      </w:r>
    </w:p>
    <w:p>
      <w:pPr>
        <w:pStyle w:val="Normal7"/>
        <w:jc w:val="left"/>
        <w:rPr>
          <w:rFonts w:ascii="黑体" w:eastAsia="黑体" w:hAnsi="黑体"/>
          <w:sz w:val="24"/>
          <w:szCs w:val="28"/>
        </w:rPr>
      </w:pPr>
      <w:r>
        <w:rPr>
          <w:rFonts w:ascii="黑体" w:eastAsia="黑体" w:hAnsi="黑体"/>
          <w:sz w:val="24"/>
          <w:szCs w:val="28"/>
        </w:rPr>
        <w:t>创业投资是从英文VentureCapital（简称VC）翻译过来的。VC刚引进中国的时候被翻译成“风险投资”且一直沿用到20世纪末，后来有人根据百科全书的解释将其翻译为“创业投资”。“风险投资”侧重于投资者的风险意识和投资冲动，“创业投资”强调的是被投资企业的创业特性，是同一个事物的两个方面，在国务院发布的《国家中长期科学和技术发展规划纲要（2006-2020年）》及配套政策中，第一次把“Venture”的两种含义都写入了政府文件。为此，由科技部、商务部和国家开发银行联合推出的大型调查报告也从2006年更名为《中国创业风险投资发展报告》。至此，官方的解释和表述口径逐渐走向统一。</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上市公司规范运作的基本要求？</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上市公司要严格按照《公司法》、外商投资相关法律法规和现代企业制度的要求，完善股东大会、董事会、监事会、独立董事和董事会秘书制度，形成权力机构、决策机构、监督机构与经理层之间权责分明、各司其职、有效制衡、科学决策、协调运作的法人治理结构。股东大会要认真行使法定职权，严格遵守表决事项和表决程序的有关规定，科学民主决策，维护上市公司和股东的合法权益。董事会要对全体股东负责，严格按照法律和公司章程的规定履行职责，把好决策关，加强对公司经理层的激励、监督和约束。要设立以独立董事为主的审计委员会、薪酬与考核委员会并充分发挥其作用。公司全体董事必须勤勉尽责，依法行使职权。监事会要认真发挥好对董事会和经理层的监督作用。经理层要严格执行股东大会和董事会的决定，不断提高公司管理水平和经营业绩。</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创业板上市公司在公司治理方面参照主板上市公司相关规定且要求从严，董事会下必须设审计委员会，并进一步强化独立董事、控股股东和实际控制人的责任。</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发行过内部职工股的企业的申请材料有何特殊要求？</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发行人向中国证监会的申请材料中，除常规材料外，还应提供的文件包括：有关内部职工股发行和演变情况的文件（历次发行内部职工股的批准文件、内部职工股发行的证明文件、托管机构出具的历次托管证明、有关违规清理情况的文件、发行人律师对前述文件真实性的鉴证意见）；省级人民政府或国务院有关部门关于发行人内部职工股审批、发行、托管、清理以及是否存在潜在隐患等情况的确认文件；中介机构的意见（发行人律师关于发行人内部职工股审批、发行、托管和清理情况的核查意见，保荐机构关于发行人内部职工股审批、发行、托管和清理情况的核查意见）。在招股说明书中，发行人如发行过内部职工股，或出现原工会持股或职工持股会持股进行转让的，应主要披露以下情况：</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（1）内部职工股的审批及发行情况，包括审批机关、审批日期、发行数量、发行方式、发行范围、发行缴款及验资情况；</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（2）内部职工股发生过转移或交易的情况；</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历次托管的情况，包括发行时前10名持有的情况、以及发行前托管的前10名持有人的情况，托管单位变化的情况及原因，托管与被托管单位的名称、持股数量及比例、应托管股票数额及实际托管数额的差额、托管完成时间，未托管股票的数额及原因，对未托管股票的处理办法，本次股票发行前托管的股份占总股份的比例；</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发生过的违法违规情况，包括超范围和超比例发行的情况，通过增发、配股、国家股和法人股转配等形式变相增加内部职工股的情况，内部职工股转让和交易中的违法违规情况，法人股个人化的情况，这些违法违规行为的纠正情况；</w:t>
      </w:r>
    </w:p>
    <w:p>
      <w:pPr>
        <w:pStyle w:val="Normal9"/>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r>
        <w:rPr>
          <w:rFonts w:ascii="黑体" w:eastAsia="黑体" w:hAnsi="黑体"/>
          <w:sz w:val="24"/>
          <w:szCs w:val="28"/>
        </w:rPr>
        <w:t>（5）对尚存在内部职工股潜在问题和风险隐患的，应披露有关责任的承担主体等；</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（6）对发行人存在原工会持股或职工持股会持股进行转让的，应详细披露有关持股和转让的情况，说明是否存在潜在问题和风险隐患，以及有关责任的承担主体等。</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保荐机构与主承销商是什么关系？</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保荐机构是指按照《证券发行上市保荐业务管理办法》规定的条件和程序，经中国证监会批准注册登记的证券经营机构（证券公司），其主要职责是尽职推荐发行人证券发行上市，上市后持续督导发行人履行规范运作、信守承诺、信息披露等义务。</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《证券法》第三十二条规定“向不特定对象公开发行的证券票面总值超过人民币五千万元的，应当由承销团承销。承销团应当由主承销和参与承销的证券公司组成。”</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承销商是指在承销团中起主要作用的承销商，是代表承销团与发行人签订承销合同的实力较雄厚的大的证券公司（或商业银行），一般由竞标或协商的方式确定，其主要职责是负责组建承销团，代表承销团与发行人签订承销协议等文件，决定承销团成员的承销份额等。承销团的成员确定后，主承销商应负责与其他承销商签订分销协议，明确承销团各个成员的权利和义务，包括各成员推销证券的数量和获得的报酬，承销团及其合同的终止期限等。</w:t>
      </w:r>
    </w:p>
    <w:p>
      <w:pPr>
        <w:pStyle w:val="Normal1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证券公司从事证券承销业务，必须符合《证券法》规定的条件，并经国务院证券监管机构批准，取得承销业务资格。《证券发行上市保荐业务管理办法》规定，证券发行的主承销商可以由该保荐机构担任，也可以由其他具有保荐机构资格的证券公司与该保荐机构共同担任。因此，保荐机构与主承销商通常是同一家证券公司。</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发行人经证监会核准后，如何申请在交易所发行上市？</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发行人领取证监会的核准通知后，即可与交易所联系安排股票发行与上市的有关事宜。不同的发行方式下，发行人在股票发行期间需要完成的工作有细微的差别，依时间顺序需要完成的主要工作包括：</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（1）准备和报送发行申请资料、文件；</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（2）申请股票发行；</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（3）披露招股意向书摘要及发行公告；</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（4）发行结束后领取新股发行结果；</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（5）申购资金的验资（市值配售发行方式不需要此环节）；</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（6）参与摇号抽签（不同的发行方式略有不同）；</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（7）披露摇号抽签结果；</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（8）准备办理股份登记及股票上市申请文件。</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发行结束后，发行人需完成的主要工作包括：</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（1）变更公司注册登记；</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（2）办理股份登记手续；</w:t>
      </w:r>
    </w:p>
    <w:p>
      <w:pPr>
        <w:pStyle w:val="Normal11"/>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r>
        <w:rPr>
          <w:rFonts w:ascii="黑体" w:eastAsia="黑体" w:hAnsi="黑体"/>
          <w:sz w:val="24"/>
          <w:szCs w:val="28"/>
        </w:rPr>
        <w:t>（3）申请上市；</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（4）签订上市协议书；</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（5）在股票上市前5个交易日内披露上市公告书；</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（6）上市首日参加上市仪式。</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企业申请在中小企业板上市需要做好哪些准备工作？</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企业申请在中小企业板上市需要做好以下准备工作：一是努力经营主营业务，增强自主创新能力，提高公司核心竞争力及可持续发展潜力；二是树立诚信意识，把保护中小投资者权益放在首位；三是聘请保荐机构，并由保荐机构保荐上市；四是学习相关证券法律法规及中小企业板特殊规定，在保荐机构指导下完善内部治理结构，建立健全各项内部控制制度，规范运作；五是按照深交所上市指引制作上市申请文件，并及时、如实回复深交所反馈意见。</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公司与控股股东能否共用生产线进行生产？</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不可以。《首次公开发行股票并上市管理办法》第15条规定，“生产型企业应当具备与生产经营有关的生产系统、辅助生产系统和配套设施，合法拥有与生产经营有关的土地、厂房、机器设备以及商标、专利、非专利技术的所有权或者使用权，具有独立的原料采购和产品销售系统；非生产型企业应当具备与经营有关的业务体系及相关资产”。《首次公开发行股票并在创业板上市管理暂行办法》第18条也作了类似的规定。</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企业如何确定募集资金额？</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根据募集资金投资项目来确定，不超过募集资金投资项目金额。募集资金数额和投资项目应当与发行人现有生产经营规模、财务状况、技术水平和管理能力等相适应。如果一个净资产为1个亿的公司，募集资金3个亿（加上当地银行配套的几个亿），同时开工若干个项目，要考虑其管理能力能否跟上以及投产后能否有市场可容纳的问题。</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现在《证券法》已取消了两次融资相隔一年的限制，公司在上市后可以根据资金的需求情况随时在资本*市场进行融资，因此，首发募集资金不宜过多。</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如何理解和适用《首次公开发行股票并上市管理办法》第十二条发行人最近3年内实际控制人没有发生变更的问题？</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w:t>
      </w:r>
    </w:p>
    <w:p>
      <w:pPr>
        <w:pStyle w:val="Normal15"/>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p>
    <w:p>
      <w:pPr>
        <w:pStyle w:val="Normal15"/>
        <w:jc w:val="left"/>
        <w:rPr>
          <w:rFonts w:ascii="黑体" w:eastAsia="黑体" w:hAnsi="黑体"/>
          <w:sz w:val="24"/>
          <w:szCs w:val="28"/>
        </w:rPr>
      </w:pPr>
      <w:r>
        <w:rPr>
          <w:rFonts w:ascii="黑体" w:eastAsia="黑体" w:hAnsi="黑体"/>
          <w:sz w:val="24"/>
          <w:szCs w:val="28"/>
        </w:rPr>
        <w:t>（1）发行人对同一公司控制权人下相同、类似或相关业务进行重组，多是企业集团为实现主营业务整体发行上市、降低管理成本、发挥业务协同优势、提高企业规模经济效应而实施的市场行为。从资本*市场角度看，发行人在发行上市前，对同一公司控制权人下与发行人相同、类似或者相关的业务进行重组整合，有利于避免同业竞争、减少关联交易、优化公司治理、确保规范运作，对于提高上市公司质量，发挥资本*市场优化资源配置功能，保护投资者特别是中小投资者的合法权益，促进资本*市场健康稳定发展，具有积极作用。</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发行人报告期内存在对同一公司控制权人下相同、类似或相关业务进行重组情况的，如同时符合下列条件，视为主营业务没有发生重大变化：①被重组方应当自报告期期初起即与发行人受同一公司控制权人控制，如果被重组方是在报告期内新设立的，应当自成立之日即与发行人受同一公司控制权人控制；②被重组进入发行人的业务与发行人重组前的业务具有相关性（相同、类似行业或同一产业链的上下游）。重组方式遵循市场化原则，包括但不限于以下方式：①发行人收购被重组方股权；②发行人收购被重组方的经营性资产；③公司控制权人以被重组方股权或经营性资产对发行人进行增资；④发行人吸收合并被重组方。</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发行人报告期内存在对同一公司控制权人下相同、类似或相关业务进行重组的，应关注重组对发行人资产总额、营业收入或利润总额的影响情况。发行人应根据影响情况按照以下要求执行：①被重组方重组前一个会计年度末的资产总额或前一个会计年度的营业收入或利润总额达到或超过重组前发行人相应项目100%的，为便于投资者了解重组后的整体运营情况，发行人重组后运行一个会计年度后方可申请发行。②被重组方重组前一个会计年度末的资产总额或前一个会计年度的营业收入或利润总额达到或超过重组前发行人相应项目50%，但不超过100%的，保荐机构和发行人律师应按照相关法律法规对首次公开发行主体的要求，将被重组方纳入尽职调查范围并发表相关意见。发行申请文件还应按照《公开发行证券的公司信息披露内容与格式准则第9号首次公开发行股票并上市申请文件》（证监发行字[2006]6号）附录第四章和第八章的要求，提交会计师关于被重组方的有关文件以及与财务会计资料相关的其他文件。③被重组方重组前一个会计年度末的资产总额或前一个会计年度的营业收入或利润总额达到或超过重组前发行人相应项目20%的，申报财务报表至少须包含重组完成后的最近一期资产负债表。</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（4）被重组方重组前一会计年度与重组前发行人存在关联交易的，资产总额、营业收入或利润总额按照扣除该等交易后的口径计算。</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（5）发行人提交首发申请文件前一个会计年度或一期内发生多次重组行为的，重组对发行人资产总额、营业收入或利润总额的影响应累计计算。</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重组属于《企业会计准则第20号企业合并》中同一控制下的企业合并事项的，被重组方合并前的净损益应计入非经常性损益，并在申报财务报表中单独列示。重组属于同一公司控制权人下的非企业合并事项，但被重组方重组前一个会计年度末的资产总额或前一个会计年度的营业收入或利润总额达到或超过重组前发行人相应项目20%的，在编制发行人最近3年及一期备考利润表时，应假定重组后的公司架构在申报报表期初即已存在，并由申报会计师出具意见。</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创新型企业自行开发无形资产价值确认需关注哪些问题？</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（1）研究与开发阶段的划分问题</w:t>
      </w:r>
    </w:p>
    <w:p>
      <w:pPr>
        <w:pStyle w:val="Normal16"/>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b/>
      </w:r>
    </w:p>
    <w:p>
      <w:pPr>
        <w:pStyle w:val="Normal16"/>
        <w:jc w:val="left"/>
        <w:rPr>
          <w:rFonts w:ascii="黑体" w:eastAsia="黑体" w:hAnsi="黑体"/>
          <w:sz w:val="24"/>
          <w:szCs w:val="28"/>
        </w:rPr>
      </w:pPr>
      <w:r>
        <w:rPr>
          <w:rFonts w:ascii="黑体" w:eastAsia="黑体" w:hAnsi="黑体"/>
          <w:sz w:val="24"/>
          <w:szCs w:val="28"/>
        </w:rPr>
        <w:t>根据《企业会计准则第6号—无形资产》的规定，企业内部研发项目开发阶段的支出在满足一定条件时可确认为无形资产。由此，如何划分研究阶段与开发阶段，以及如何判定开发阶段支出是否满足资本化条件，成为企业内部自行开发无形资产价值初始确认的关键。在实际操作中，由于研发业务很复杂，要把企业整个研发活动清楚地划分为研究阶段和开发阶段并不是一件容易的事，尤其对于并不精通科学技术的会计人员来说，这项工作更是难上加难。因此，研究阶段与开发阶段的划分在具体操作时应该有一个相对合理的标准。一般而言，新产品、新技术的开发必须经过提出设想－可行性研究－小型工业化试验－大型工业化试验－正式投产的过程。从最初的想法形成到进行小型工业化试验阶段，是对新产品、新技术进行初步分析和调查并进行小型试验的阶段。这时项目能否成功还不一定，未来能否给企业带来经济效益也无法确定，所以可以将这一阶段的研究开发支出予以费用化。从小型工业化试验到大型工业化试验，再到正式投产，成功的可能性越来越大，可以视条件将这一阶段的研发支出资本化。企业的会计核算和财务报表是对公司业务的反映，其真实性、准确性等取决于公司内部控制制度的建立和执行。由于研发活动一般由公司研发部门负责，其对于内部研发项目究竟是处于研究阶段还是处于开发阶段所做的判断更准确。因此，企业应加强内部研发项目的管理，由研发部门和财务部门共同确定划分研究阶段和开发阶段的节点，以此作为会计核算的依据。</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（2）开发支出资本化的条件问题</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根据《企业会计准则第6号—无形资产》第九条，“企业内部研究开发项目开发阶段的支出，同时满足下列条件的，才能确认为无形资产：①完成该无形资产以使其能够使用或出售在技术上具有可行性；②具有完成该无形资产并使用或出售的意图；③无形资产产生经济利益的方式，包括能够证明运用该无形资产生产的产品存在市场或无形资产自身存在市场，无形资产将在内部使用的，应当证明其有用性；④有足够的技术、财务资源和其他资源支持，以完成该无形资产的开发，并有能力使用或出售该无形资产；⑤归属于该无形资产开发阶段的支出能够可靠地计量。”由于资产确认需要较多的主观判断，这给公司操纵利润提供了可乘之机。企业将研发活动划分为研究阶段与开发阶段，开发阶段的支出是否满足准则所规定的5个条件在很大程度上依赖于会计人员的专业判断，因而准则的这些规定客观上增大了企业盈余管理的空间。企业只需要“合理”地划分研究阶段与开发阶段，通过调整研发支出费用化和资本化的分界点，就可以很轻松地操纵利润。因此，对于开发阶段的支出能否资本化的判断尤为重要。企业内部研发项目，自立项伊始，即需在技术、管理层意图、市场、资源、支出等各方面形成书面材料，作为原始依据。此外，在项目实施关键节点、项目验收、成果鉴定等各阶段实施有效控制和记录。在资产负债表日或研发关键节点的截止日，公司应对立项时的情况是否发生变化做出判断，形成书面材料；公司财务部门根据上述证据对开发阶段的支出是否符合资本化条件做出判断。研发结束后，如果该研发项目达到企业研发成果检验标准，或通过外部科技成果鉴定，或取得专利权，且具备资产确认条件，则可将该研发项目的开发支出结转到“无形资产”科目核算。</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（3）后续计量问题</w:t>
      </w:r>
    </w:p>
    <w:p>
      <w:pPr>
        <w:pStyle w:val="Normal1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无形资产后续计量的难点在于确认使用寿命，《企业会计准则第6号—无形资产》应用指南列出了确认使用寿命的7个因素。同初始计量时一样，应自项目立项伊始即对其论证分析，以合理确定无形资产的使用寿命。</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发起人出资方式有哪些？</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w:t>
      </w:r>
    </w:p>
    <w:p>
      <w:pPr>
        <w:pStyle w:val="Normal17"/>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ab/>
      </w:r>
    </w:p>
    <w:p>
      <w:pPr>
        <w:pStyle w:val="Normal17"/>
        <w:jc w:val="left"/>
        <w:rPr>
          <w:rFonts w:ascii="黑体" w:eastAsia="黑体" w:hAnsi="黑体"/>
          <w:sz w:val="24"/>
          <w:szCs w:val="28"/>
        </w:rPr>
      </w:pPr>
      <w:r>
        <w:rPr>
          <w:rFonts w:ascii="黑体" w:eastAsia="黑体" w:hAnsi="黑体"/>
          <w:sz w:val="24"/>
          <w:szCs w:val="28"/>
        </w:rPr>
        <w:t>《中华人民共和国公司法》规定：“股东可以用货币出资，也可以用实物、知识产权、土地使用权等可以用货币估价并可以依法转让的非货币财产作价出资；但是，法律、行政法规规定不得作为出资的财产除外。”因此，发起人可以以货币资产、实物资产、无形资产及债权、股权等方式出资。其中，实物资产指公司生产经营所需的物品，包括房产、机器设备、办公设备、交通工具、原材料等；无形资产主要指企业生产经营所需的土地使用权、水面养殖权和采矿权以及知识产权等。</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《公司登记管理条例》（2005年12月修订）规定：“股东不得以劳务、信用、自然人姓名、商誉、特许经营权或者设定担保的财产等作价出资。”</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股东大会召开的通知时间是几天？股东大会决议在什么情况下生效？</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召开年度股东大会会议，应当将会议召开的时间、地点和审议的事项于会议召开二十日前通知各股东；临时股东大会应当于会议召开十五日前通知各股东；发行无记名股票的，应当于会议召开三十日前公告会议召开的时间、地点和审议事项。目前，公司公开发行并上市的股票均为记名股票。</w:t>
      </w:r>
    </w:p>
    <w:p>
      <w:pPr>
        <w:pStyle w:val="Normal1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股东大会作出决议，必须经出席会议的股东所持表决权过半数通过。但是，股东大会作出修改公司章程、增加或者减少注册资本的决议，以及公司合并、分立、解散或者变更公司形式的决议，必须经出席会议的股东所持表决权的三分之二以上通过。</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如何解决同业竞争问题？</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（1）发行人收购竞争方拥有的竞争性业务；</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（2）竞争方将竞争性业务作为出资投入发行人，获得发行人的股份；</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（3）发行人对竞争方进行吸收合并；</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（4）发行人将竞争性的业务转让给竞争方；</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（5）竞争方将竞争性的业务转让给无关联的第三方；</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（6）发行人放弃与竞争方存在同业竞争的业务；</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（7）控股股东及实际控制人今后不再进行同业竞争的有法律约束力的书面承诺。</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如何量化企业自主创新能力？</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w:t>
      </w:r>
    </w:p>
    <w:p>
      <w:pPr>
        <w:pStyle w:val="Normal20"/>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r>
        <w:rPr>
          <w:rFonts w:ascii="黑体" w:eastAsia="黑体" w:hAnsi="黑体"/>
          <w:sz w:val="24"/>
          <w:szCs w:val="28"/>
        </w:rPr>
        <w:t>（1）创新投入能力</w:t>
      </w:r>
    </w:p>
    <w:p>
      <w:pPr>
        <w:pStyle w:val="Normal20"/>
        <w:jc w:val="left"/>
        <w:rPr>
          <w:rFonts w:ascii="黑体" w:eastAsia="黑体" w:hAnsi="黑体"/>
          <w:sz w:val="24"/>
          <w:szCs w:val="28"/>
        </w:rPr>
      </w:pPr>
      <w:r>
        <w:drawing>
          <wp:inline distT="0" distB="0" distL="0" distR="0">
            <wp:extent cx="5515554" cy="3076898"/>
            <wp:effectExtent l="0" t="0" r="0" b="0"/>
            <wp:docPr id="1604" name="_x0000_i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 name="_x0000_i1604"/>
                    <pic:cNvPicPr/>
                  </pic:nvPicPr>
                  <pic:blipFill>
                    <a:blip xmlns:r="http://schemas.openxmlformats.org/officeDocument/2006/relationships" r:embed="rId15"/>
                    <a:stretch>
                      <a:fillRect/>
                    </a:stretch>
                  </pic:blipFill>
                  <pic:spPr>
                    <a:xfrm>
                      <a:off x="0" y="0"/>
                      <a:ext cx="5515554" cy="3076898"/>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（2）创新研发能力</w:t>
      </w:r>
      <w:r>
        <w:drawing>
          <wp:inline distT="0" distB="0" distL="0" distR="0">
            <wp:extent cx="5506028" cy="1124068"/>
            <wp:effectExtent l="0" t="0" r="0" b="0"/>
            <wp:docPr id="1605" name="_x0000_i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 name="_x0000_i1605"/>
                    <pic:cNvPicPr/>
                  </pic:nvPicPr>
                  <pic:blipFill>
                    <a:blip xmlns:r="http://schemas.openxmlformats.org/officeDocument/2006/relationships" r:embed="rId16"/>
                    <a:stretch>
                      <a:fillRect/>
                    </a:stretch>
                  </pic:blipFill>
                  <pic:spPr>
                    <a:xfrm>
                      <a:off x="0" y="0"/>
                      <a:ext cx="5506028" cy="1124068"/>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ab/>
      </w:r>
      <w:r>
        <w:drawing>
          <wp:inline distT="0" distB="0" distL="0" distR="0">
            <wp:extent cx="5525080" cy="895444"/>
            <wp:effectExtent l="0" t="0" r="0" b="0"/>
            <wp:docPr id="1606" name="_x0000_i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 name="_x0000_i1606"/>
                    <pic:cNvPicPr/>
                  </pic:nvPicPr>
                  <pic:blipFill>
                    <a:blip xmlns:r="http://schemas.openxmlformats.org/officeDocument/2006/relationships" r:embed="rId17"/>
                    <a:stretch>
                      <a:fillRect/>
                    </a:stretch>
                  </pic:blipFill>
                  <pic:spPr>
                    <a:xfrm>
                      <a:off x="0" y="0"/>
                      <a:ext cx="5525080" cy="895444"/>
                    </a:xfrm>
                    <a:prstGeom prst="rect">
                      <a:avLst/>
                    </a:prstGeom>
                  </pic:spPr>
                </pic:pic>
              </a:graphicData>
            </a:graphic>
          </wp:inline>
        </w:drawing>
      </w:r>
      <w:r>
        <w:rPr>
          <w:rFonts w:ascii="黑体" w:eastAsia="黑体" w:hAnsi="黑体"/>
          <w:sz w:val="24"/>
          <w:szCs w:val="28"/>
        </w:rPr>
        <w:t>（3）创新生产能力</w:t>
      </w:r>
      <w:r>
        <w:drawing>
          <wp:inline distT="0" distB="0" distL="0" distR="0">
            <wp:extent cx="5439346" cy="1705154"/>
            <wp:effectExtent l="0" t="0" r="0" b="0"/>
            <wp:docPr id="1607" name="_x0000_i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 name="_x0000_i1607"/>
                    <pic:cNvPicPr/>
                  </pic:nvPicPr>
                  <pic:blipFill>
                    <a:blip xmlns:r="http://schemas.openxmlformats.org/officeDocument/2006/relationships" r:embed="rId18"/>
                    <a:stretch>
                      <a:fillRect/>
                    </a:stretch>
                  </pic:blipFill>
                  <pic:spPr>
                    <a:xfrm>
                      <a:off x="0" y="0"/>
                      <a:ext cx="5439346" cy="1705154"/>
                    </a:xfrm>
                    <a:prstGeom prst="rect">
                      <a:avLst/>
                    </a:prstGeom>
                  </pic:spPr>
                </pic:pic>
              </a:graphicData>
            </a:graphic>
          </wp:inline>
        </w:drawing>
      </w:r>
    </w:p>
    <w:p>
      <w:pPr>
        <w:pStyle w:val="Normal20"/>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b/>
      </w:r>
      <w:r>
        <w:rPr>
          <w:rFonts w:ascii="黑体" w:eastAsia="黑体" w:hAnsi="黑体"/>
          <w:sz w:val="24"/>
          <w:szCs w:val="28"/>
        </w:rPr>
        <w:t>（4）创新营销能力</w:t>
      </w:r>
    </w:p>
    <w:p>
      <w:pPr>
        <w:pStyle w:val="Normal20"/>
        <w:jc w:val="left"/>
        <w:rPr>
          <w:rFonts w:ascii="黑体" w:eastAsia="黑体" w:hAnsi="黑体"/>
          <w:sz w:val="24"/>
          <w:szCs w:val="28"/>
        </w:rPr>
      </w:pPr>
      <w:r>
        <w:drawing>
          <wp:inline distT="0" distB="0" distL="0" distR="0">
            <wp:extent cx="5486976" cy="1962356"/>
            <wp:effectExtent l="0" t="0" r="0" b="0"/>
            <wp:docPr id="1608" name="_x0000_i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 name="_x0000_i1608"/>
                    <pic:cNvPicPr/>
                  </pic:nvPicPr>
                  <pic:blipFill>
                    <a:blip xmlns:r="http://schemas.openxmlformats.org/officeDocument/2006/relationships" r:embed="rId20"/>
                    <a:stretch>
                      <a:fillRect/>
                    </a:stretch>
                  </pic:blipFill>
                  <pic:spPr>
                    <a:xfrm>
                      <a:off x="0" y="0"/>
                      <a:ext cx="5486976" cy="1962356"/>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（5）创新管理能力</w:t>
      </w:r>
      <w:r>
        <w:drawing>
          <wp:inline distT="0" distB="0" distL="0" distR="0">
            <wp:extent cx="5477450" cy="2000460"/>
            <wp:effectExtent l="0" t="0" r="0" b="0"/>
            <wp:docPr id="1609" name="_x0000_i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 name="_x0000_i1609"/>
                    <pic:cNvPicPr/>
                  </pic:nvPicPr>
                  <pic:blipFill>
                    <a:blip xmlns:r="http://schemas.openxmlformats.org/officeDocument/2006/relationships" r:embed="rId21"/>
                    <a:stretch>
                      <a:fillRect/>
                    </a:stretch>
                  </pic:blipFill>
                  <pic:spPr>
                    <a:xfrm>
                      <a:off x="0" y="0"/>
                      <a:ext cx="5477450" cy="2000460"/>
                    </a:xfrm>
                    <a:prstGeom prst="rect">
                      <a:avLst/>
                    </a:prstGeom>
                  </pic:spPr>
                </pic:pic>
              </a:graphicData>
            </a:graphic>
          </wp:inline>
        </w:drawing>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创业投资如何退出？</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IPO。IPO通常是创业投资退出被投资企业的最佳方式：首先，可以使创业投资公司持有的几乎不可转让的股份转变为可交易的上市公司股票，变现投资收益，而且在所有的退出方式中，采用IPO退出方式的收益率是最高的，是其他退出方式的几倍甚至是十几倍。其次，IPO从另一方面表明了资本*市场对该企业生产业绩的认可，同时也是外部投资者衡量创业投资家业绩的标准。最后，通过IPO还可以使企业建立和完善法人治理结构，为企业注入一种活力。</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出售。出售是企业产权交易的主要形式，也是创业投资机构比较看重的退出方式之一。出售分为股份转让和整体出售两种形式，即收购和兼并。股份转让，是指创业投资公司通过非公开市场将所持股份转让给战略投资者或其他创业投资机构。这种退出方式不影响被投资企业的股权结构，交易成本较低，手续简便，而且一旦实现交易，通常即可获得现金收益，但是要找到能够受让股权的投资者并不是十分容易，在价格上有时需要做出让步。</w:t>
      </w:r>
    </w:p>
    <w:p>
      <w:pPr>
        <w:pStyle w:val="Normal21"/>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p>
    <w:p>
      <w:pPr>
        <w:pStyle w:val="Normal21"/>
        <w:jc w:val="left"/>
        <w:rPr>
          <w:rFonts w:ascii="黑体" w:eastAsia="黑体" w:hAnsi="黑体"/>
          <w:sz w:val="24"/>
          <w:szCs w:val="28"/>
        </w:rPr>
      </w:pPr>
      <w:r>
        <w:rPr>
          <w:rFonts w:ascii="黑体" w:eastAsia="黑体" w:hAnsi="黑体"/>
          <w:sz w:val="24"/>
          <w:szCs w:val="28"/>
        </w:rPr>
        <w:t>（3）企业回购。企业回购是指在企业前景不被看好时，投资方所采取的一种退出方式，即企业的管理层以现金和票据等有价证券买断创业投资机构持有的股份，或由全体员工通过基金（ESOT）来支持股份转让。企业回购股份的条款一般在签订投资协议时就已经设立，这种方式仍可以保持企业管理层的独立性，但企业进行股份回购时可能会面临很大的资金压力，企业找到适当的融资杠杆以解决资金问题是进行回购的前提条件。此种方式适用于企业家有信心且已产生现金流的成熟企业。</w:t>
      </w:r>
    </w:p>
    <w:p>
      <w:pPr>
        <w:pStyle w:val="Normal2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破产清算。破产清算是创业投资机构在迫不得已情况下所采用的一种退出方式。创业投资是一种高收益高风险的投资方式，失败的比例相当高。对于创业投资家而言，一旦意识到所投资企业已无发展前途或无法达到预期收益就果断进行破产清算，也算是一项避免更大损失的权宜之计。在美国，大约有32%的创业投资采用这种方式退出，通常这种退出方式只能收回原始投资的60%左右。</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外商投资的股份有限公司对发起人和股东有什么限制？发起人股份转让有何限制？</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以发起方式设立外商投资股份有限公司，除应符合《公司法》规定的发起人的条件外，其中至少有一个发起人应当为外国股东。另外，一般情况下，外商投资股份有限公司的中方发起人不得为自然人，但如中方自然人原属于境内内资公司的股东，因外国投资者并购境内公司的原因导致中方自然人成为中外合资企业的中方投资者的，该中方自然人的股东身份可以保留。</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（2）外商投资股份有限公司中的外国股东可以是“外国的公司、企业和其他经济组织或个人”，包括国外有限合伙制企业以及其他非公司性质的组织。</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（3）发起人股份的转让，须在外商投资股份有限公司设立登记1年后进行，并经原审批机关批准。</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有限责任公司整体变更时，是以合并会计报表净资产折股还是以母公司会计报表净资产折股？</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有限责任公司整体变更为股份有限公司时，应以母公司会计报表净资产折股。</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有限责任公司作为企业法人，是一个独立的法律主体，有限责任公司整体变更为股份有限公司，本质是法律层面上企业法人组织形式的改变。而合并报表反映的对象是由母公司和其下属子公司组成的会计主体的整体财务状况，这个会计主体仅仅是经济意义上的主体，并不是法律意义上的主体，不符合整体变更对法律主体的要求。而且，会计准则对母公司报表和合并报表编制的要求存在重大差异（如子公司长期投资核算），导致母公司会计报表净资产与合并会计报表净资产之间存在较大差异。因此，有限责任公司整体变更时，必须是以其母公司会计报表的净资产折股。</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有同业竞争的公司能申请上市吗？</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正确答案:不可以申请上市。应对存在的同业竞争进行解决后再申报资料。</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sectPr w:rsidSect="00C33305">
          <w:footerReference w:type="default" r:id="rId23"/>
          <w:type w:val="nextPage"/>
          <w:pgSz w:w="11906" w:h="16838" w:code="9"/>
          <w:pgMar w:top="1440" w:right="1800" w:bottom="1440" w:left="1800" w:header="851" w:footer="992" w:gutter="0"/>
          <w:pgNumType w:start="13"/>
          <w:cols w:space="425"/>
          <w:titlePg w:val="0"/>
          <w:docGrid w:type="lines" w:linePitch="312"/>
        </w:sect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招股说明书与招股意向书有什么不同？</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招股说明书和招股意向书内容基本相同，主要差别在于招股说明书在发行概况中直接披露了发行价格，并根据发行价格确定了发行市盈率和预计实收募股资金；招股意向书则不能确定发行价格、相应的市盈率、预计实收募股资金，但是，招股意向书增加了对询价对象等的要求和披露。</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企业选择上市地应考虑哪些因素？</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（1）是否符合公司发展战略的需要，包括产品市场、客户和国际化进度，企业与拟上市地国家（或地区）业务的关联度；</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（2）拟上市地投资者对中国及中国企业的认同度；</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（3）上市标准的差异，是否足够了解拟上市地的游戏规则并符合其要求（包括对公司治理的适应）；</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（4）一级市场的筹资能力（市盈率水平）、二级市场的流通性（市场活跃状况）、后续融资能力；</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（5）上市成本（包括初始上市成本与后续维护费用）；</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（6）上市时间；</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（7）地理位置、文化背景、法律制度等；</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（8）政府的有关政策。</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已到期但尚未换届的董事会通过的决议是否有效？</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正确答案:有效。</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发行人发行申请文件申报至证监会后，募集资金拟投资项目能否发生变更？</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中小企业板发行人发行申请文件申报至证监会后，在审核过程中变更募集资金拟投资项目，由于证监会需就募集资金投资项目是否符合国家产业政策征求国家发改委意见，如企业更换项目，需重新履行征求意见的程序。</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规范和减少关联交易的办法有哪几种？</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关联交易的处理主要可以通过调整关联企业和签署关联事务协议两种方式来进行。</w:t>
      </w:r>
    </w:p>
    <w:p>
      <w:pPr>
        <w:pStyle w:val="Normal29"/>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ab/>
      </w:r>
    </w:p>
    <w:p>
      <w:pPr>
        <w:pStyle w:val="Normal29"/>
        <w:jc w:val="left"/>
        <w:rPr>
          <w:rFonts w:ascii="黑体" w:eastAsia="黑体" w:hAnsi="黑体"/>
          <w:sz w:val="24"/>
          <w:szCs w:val="28"/>
        </w:rPr>
      </w:pPr>
      <w:r>
        <w:rPr>
          <w:rFonts w:ascii="黑体" w:eastAsia="黑体" w:hAnsi="黑体"/>
          <w:sz w:val="24"/>
          <w:szCs w:val="28"/>
        </w:rPr>
        <w:t>关联企业的调整常见的手段有：对关联企业的股权结构进行调整，以降低其关联性，以及对关联企业予以收购等等。进行调整的目的是简化企业的投资关系，减少关联企业的数量，从而达到减少关联交易的最终目的。关联事务协议应具体明确，按照市场原则来确定关联交易的价格。履行表决回避制度。</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企业如何选择中介机构？</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（1）中介机构是否具有从事证券业务的资格。在我国，会计师事务所和资产评估师事务所从事股票发行上市业务必须具有证券从业资格，证券公司须具有保荐承销业务资格。</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中介机构的执业能力、执业经验和执业质量。企业需要对中介机构的执业能力、执业经验和执业质量进行了解，选择具有较强执业能力、熟悉企业所从事行业的中介机构，以保证中介机构的执业质量。中介机构的声誉实际上是其整体实力的综合反映，良好的声誉是中介机构内在质量的可靠保证。此外，中介机构所派遣项目团队及其成员的专业水平、项目经验、敬业精神、职业道德等，也是重要考量因素。</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（3）中介机构对企业发行上市的重视程度、资源投入情况。</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（4）中介机构之间应该进行良好的合作。股票发行上市是发行人以及各中介机构“合力”的结果，中介机构之间应该能够进行良好的合作，尤其是在保荐机构与律师、会计师等之间。</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（5）费用。中介机构的费用是企业控制发行上市成本需要考虑的一个重要问题，具体收费或收费标准一般由双方协商确定。</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中小商业银行有哪些共同特征和竞争优势？</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（1）中小商业银行的共同特征</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区域性：中小商业银行多由区域性小银行发展而来。例如，12家全国性股份制银行中，招商银行曾偏居深圳蛇口，恒丰银行从山东烟台起步；城市商业银行是1995年开始，由城市信用合作社合并改组而成；农村商业银行则主要由农村信用合作社改制而成。规模小：截止2009年第一季度，五大行总资产占银行业金融机构总资产比例达到52.6%，12家股份制商业银行总资产占银行业金融机构总资产比例只有14.2%，而113家城市商业银行的总资产只占银行业金融机构总资产的6.5%。中小客户居多：中小商业银行的资产规模决定其目标客户主要是中小企业。以全国一百多家城商行为例，“服务地方经济、服务中小企业、服务城市居民”是政府设立城市商业银行的初衷，贷款区域集中、贷款对象集中是城商行贷款取向的共性。</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（2）中小商业银行的竞争优势</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客户发展空间大。我国经济的初级发展阶段，决定了中小企业数量大，活力强，相对成长性好。随着我国经济的发展和经济总量的不断提升，中小企业可以成为中小商业银行稳定而优质的客户。现阶段和可预见的未来，中小企业发展过程中将产生大量金融服务需求，参与其中的中小商业银行可收获与中小企业一同成长之利。机制灵活，决策效率高，管理成本低。中小商业银行大多采用一级法人制度，结构简洁，机制灵活，决策层少，对市场反应迅速，这一特点切合了中小企业的金融服务需求，有利于把握商机，创造价值。</w:t>
      </w:r>
    </w:p>
    <w:p>
      <w:pPr>
        <w:pStyle w:val="Normal31"/>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b/>
      </w:r>
    </w:p>
    <w:p>
      <w:pPr>
        <w:pStyle w:val="Normal31"/>
        <w:jc w:val="left"/>
        <w:rPr>
          <w:rFonts w:ascii="黑体" w:eastAsia="黑体" w:hAnsi="黑体"/>
          <w:sz w:val="24"/>
          <w:szCs w:val="28"/>
        </w:rPr>
      </w:pPr>
      <w:r>
        <w:rPr>
          <w:rFonts w:ascii="黑体" w:eastAsia="黑体" w:hAnsi="黑体"/>
          <w:sz w:val="24"/>
          <w:szCs w:val="28"/>
        </w:rPr>
        <w:t>拥有地缘性优势。中小商业银行的业务范围具有一定地域性，其设立初衷就是“三个服务”，即为本地企业、居民提供多方位、多层次的服务，对当地经济贡献颇多，因而与地方政府关系密切。中小商业银行上市，地方政府多扮演了重要推手的角色，而在本地业务开展过程中，中小商业银行往往能获得地方政府不遗余力的支持。加之中小商业银行贴近地方企业，对其经营状况、资信能力比较了解，在获取信息上具有地缘、人缘、时效三重优势。通过遴选，中小商业银行容易发现商机，同时能有效地规避风险。目前，企业的金融需求呈现个性化趋势，中小商业银行与客户距离短，容易发现企业信贷的个性特征，通过产品创新，</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可以形成自己的核心竞争力，形成稳定客源。</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人员精简，员工激励增效明显。大型国有银行，员工动则数十万，进行员工激励，一方面成本大，另一方面，覆盖不均，操作实施难度高。中小商业银行员工较少，进行员工激励成本小，而一旦实施激励则增效明显。</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什么是原始财务报表？什么是申报财务报表？</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公开发行证券的公司信息披露内容与格式准则第9号——首次公开发行股票并上市申请文件》及《公开发行证券的公司信息披露内容与格式准则第29号——首次公开发行股票并在创业板上市申请文件》要求发行人提供原始财务报表。</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成立不满三年的股份有限公司的原始财务报表是指报告期各年度提供给地方财政、税务部门的财务报表，包括：①股份有限公司设立当年及以后年度的原始财务报表及审计报告；②股份有限公司设立之前的原始财务报表，该财务报告应包括各发起人（如有多个投入经营性资产的发起人）投入股份有限公司的经营性资产原所在法人单位的原始财务报表，如果该原始财务报表已经审计，一并提供其审计报告；如果未经审计，则应注明“未经审计”。设立运行满三年的股份有限公司提供的原始财务报表是指报告期内各年度公司的原始财务报表及审计报告。</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申报财务报表是经发行人申请发行材料中提供的经注册会计师审计的三年一期会计报表。</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发行人应编制原始财务报表与申报财务报表的差异比较表，并请注册会计师对差异情况出具意见。</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什么是上市？</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正确答案:上市是指发行人发行的证券在证券交易所公开挂牌交易和流通。</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创业投资机构如何实现盈利？</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w:t>
      </w:r>
    </w:p>
    <w:p>
      <w:pPr>
        <w:pStyle w:val="Normal34"/>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ab/>
      </w:r>
    </w:p>
    <w:p>
      <w:pPr>
        <w:pStyle w:val="Normal34"/>
        <w:jc w:val="left"/>
        <w:rPr>
          <w:rFonts w:ascii="黑体" w:eastAsia="黑体" w:hAnsi="黑体"/>
          <w:sz w:val="24"/>
          <w:szCs w:val="28"/>
        </w:rPr>
      </w:pPr>
      <w:r>
        <w:rPr>
          <w:rFonts w:ascii="黑体" w:eastAsia="黑体" w:hAnsi="黑体"/>
          <w:sz w:val="24"/>
          <w:szCs w:val="28"/>
        </w:rPr>
        <w:t>创业投资一般投资于初创期或成长期的中小企业，待企业增值后收回投资并取得高额资本利得。在这个过程中，创业投资机构的专业管理人员会参与企业的规划和管理，帮助被投资企业更好的发展。创业投资公司经过2-3年甚至更长时间的投资与管理之后，只有成功退出才能实现收益。从总体来看，创业投资最重要的一个环节就是退出。没有成功的退出，创业投资公司就很难把自己的资金有效地回报给投资人，管理团队也没有办法获得相应的收益。创业投资的退出方式有IPO、出售、企业回购和清算破产等，其中IPO回报率最高，所以多数创业投资公司选择通过IPO上市来实现收益。</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被投资企业可以在境内和境外市场上市，全球的资本*市场为创业投资的退出提供了多个渠道。在境内，由深沪主板、中小企业板、创业板、股份报价转让系统所组成的多层次资本*市场将为创业投资提供更为丰富的人民币项目退出渠道。此外，境外除了美国、日本、新加坡、香港等地的资本*市场，还有不少国家和地区的资本*市场也逐渐出现了国内企业的身影。目前我国创业投资采用IPO方式退出主要集中在我国深沪交易所、纽约证券交易所、纳斯达克、新加坡交易所和香港交易所。</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对发审会的审核结果有异议，如何进行申请复议或行政诉讼？</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目前尚无该方面的具体规定。与之有关规定有：《中国证券监督管理委员会发行审核委员会办法》第二十三条“发审委会议对发行人的股票发行申请只进行一次审核。出现发审委会议审核意见与表决结果有明显差异或者发审委会议表决结果显失公正情况的，中国证监会可以进行调查，并依法做出核准或者不予核准的决定。”第三十八条“中国证监会对发审委实行问责制度。出现发审委会议审核意见与表决结果有明显差异的，中国证监会可以要求所有参会发审委委员分别作出解释和说明。”但如果公司对中国证监会依照发审委的审核意见作出的不予核准发行的决定不服的，可以依照《行政复议法》、《行政诉讼法》的规定提起行政复议或行政诉讼。</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行政复议法》第九条规定：“公民、法人或者其他组织认为具体行政行为侵犯其合法权益的，可以自知道该具体行政行为之日起六十日内提出行政复议申请；但是法律规定的申请期限超过六十日的除外”。</w:t>
      </w:r>
    </w:p>
    <w:p>
      <w:pPr>
        <w:pStyle w:val="Normal3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行政诉讼法》第三十八条规定：“公民、法人或者其他组织向行政机关申请复议的，复议机关应当在收到申请书之日起两个月内作出决定，法律、法规另有规定的除外。申请人不服复议决定的，可以在收到复议决定书之日起十五日内向人民法院提起诉讼，复议机关逾期不作决定的，申请人可以在复议期满之日起十五日内向人民法院提起诉讼。法律另有规定的除外”。</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军工企业A股上市的基本情况如何？</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从1993年飞亚达作为第一家含有军工概念的公司登陆国内证券市场始，截止2009年4月，共有53家各种军工背景企业的股票在国内A股发行上市，4家在B股发行上市，另有7家军工背景的企业在香港市场上市。53家中属核工业集团1家，航天科技集团5家，航天科工集团6家，航空一、二集团各7家，船舶工业集团3家，船舶重工集团1家，兵器工业集团10家，兵器装备集团8家，电子科技集团2家，中航技3家。</w:t>
      </w:r>
    </w:p>
    <w:p>
      <w:pPr>
        <w:pStyle w:val="Normal3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https://d.book118.com/737103164001006033</w:t>
        </w:r>
      </w:hyperlink>
    </w:p>
    <w:p>
      <w:pPr>
        <w:pStyle w:val="Normal36"/>
        <w:jc w:val="left"/>
        <w:rPr>
          <w:rFonts w:ascii="黑体" w:eastAsia="黑体" w:hAnsi="黑体"/>
          <w:sz w:val="24"/>
          <w:szCs w:val="28"/>
        </w:rPr>
      </w:pPr>
    </w:p>
    <w:sectPr w:rsidSect="00C33305">
      <w:footerReference w:type="default" r:id="rId28"/>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1.png" /><Relationship Id="rId16" Type="http://schemas.openxmlformats.org/officeDocument/2006/relationships/image" Target="media/image2.png"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hyperlink" Target="https://d.book118.com/737103164001006033" TargetMode="External" /><Relationship Id="rId28" Type="http://schemas.openxmlformats.org/officeDocument/2006/relationships/footer" Target="footer17.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