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35" w:history="1">
        <w:r>
          <w:rPr>
            <w:rFonts w:ascii="仿宋" w:eastAsia="仿宋" w:hAnsi="仿宋" w:cs="仿宋" w:hint="eastAsia"/>
            <w:lang w:eastAsia="zh-CN"/>
          </w:rPr>
          <w:t>前言</w:t>
        </w:r>
        <w:r>
          <w:tab/>
        </w:r>
        <w:r>
          <w:fldChar w:fldCharType="begin"/>
        </w:r>
        <w:r>
          <w:instrText xml:space="preserve"> PAGEREF _Toc31035 \h </w:instrText>
        </w:r>
        <w:r>
          <w:fldChar w:fldCharType="separate"/>
        </w:r>
        <w:r>
          <w:t>3</w:t>
        </w:r>
        <w:r>
          <w:fldChar w:fldCharType="end"/>
        </w:r>
      </w:hyperlink>
    </w:p>
    <w:p>
      <w:pPr>
        <w:pStyle w:val="TOC1"/>
        <w:tabs>
          <w:tab w:val="right" w:leader="dot" w:pos="8306"/>
        </w:tabs>
      </w:pPr>
      <w:hyperlink w:anchor="_Toc18562" w:history="1">
        <w:r>
          <w:rPr>
            <w:rFonts w:ascii="仿宋" w:eastAsia="仿宋" w:hAnsi="仿宋" w:cs="仿宋" w:hint="eastAsia"/>
            <w:lang w:eastAsia="zh-CN"/>
          </w:rPr>
          <w:t>一、气体分析仪项目土建工程</w:t>
        </w:r>
        <w:r>
          <w:tab/>
        </w:r>
        <w:r>
          <w:fldChar w:fldCharType="begin"/>
        </w:r>
        <w:r>
          <w:instrText xml:space="preserve"> PAGEREF _Toc18562 \h </w:instrText>
        </w:r>
        <w:r>
          <w:fldChar w:fldCharType="separate"/>
        </w:r>
        <w:r>
          <w:t>3</w:t>
        </w:r>
        <w:r>
          <w:fldChar w:fldCharType="end"/>
        </w:r>
      </w:hyperlink>
    </w:p>
    <w:p>
      <w:pPr>
        <w:pStyle w:val="TOC2"/>
        <w:tabs>
          <w:tab w:val="right" w:leader="dot" w:pos="8306"/>
        </w:tabs>
      </w:pPr>
      <w:hyperlink w:anchor="_Toc22110" w:history="1">
        <w:r>
          <w:rPr>
            <w:rFonts w:ascii="仿宋" w:eastAsia="仿宋" w:hAnsi="仿宋" w:cs="仿宋" w:hint="eastAsia"/>
            <w:lang w:eastAsia="zh-CN"/>
          </w:rPr>
          <w:t>(一)、建筑工程设计原则</w:t>
        </w:r>
        <w:r>
          <w:tab/>
        </w:r>
        <w:r>
          <w:fldChar w:fldCharType="begin"/>
        </w:r>
        <w:r>
          <w:instrText xml:space="preserve"> PAGEREF _Toc22110 \h </w:instrText>
        </w:r>
        <w:r>
          <w:fldChar w:fldCharType="separate"/>
        </w:r>
        <w:r>
          <w:t>3</w:t>
        </w:r>
        <w:r>
          <w:fldChar w:fldCharType="end"/>
        </w:r>
      </w:hyperlink>
    </w:p>
    <w:p>
      <w:pPr>
        <w:pStyle w:val="TOC2"/>
        <w:tabs>
          <w:tab w:val="right" w:leader="dot" w:pos="8306"/>
        </w:tabs>
      </w:pPr>
      <w:hyperlink w:anchor="_Toc11809" w:history="1">
        <w:r>
          <w:rPr>
            <w:rFonts w:ascii="仿宋" w:eastAsia="仿宋" w:hAnsi="仿宋" w:cs="仿宋" w:hint="eastAsia"/>
            <w:lang w:eastAsia="zh-CN"/>
          </w:rPr>
          <w:t>(二)、土建工程设计年限及安全等级</w:t>
        </w:r>
        <w:r>
          <w:tab/>
        </w:r>
        <w:r>
          <w:fldChar w:fldCharType="begin"/>
        </w:r>
        <w:r>
          <w:instrText xml:space="preserve"> PAGEREF _Toc11809 \h </w:instrText>
        </w:r>
        <w:r>
          <w:fldChar w:fldCharType="separate"/>
        </w:r>
        <w:r>
          <w:t>4</w:t>
        </w:r>
        <w:r>
          <w:fldChar w:fldCharType="end"/>
        </w:r>
      </w:hyperlink>
    </w:p>
    <w:p>
      <w:pPr>
        <w:pStyle w:val="TOC2"/>
        <w:tabs>
          <w:tab w:val="right" w:leader="dot" w:pos="8306"/>
        </w:tabs>
      </w:pPr>
      <w:hyperlink w:anchor="_Toc1407" w:history="1">
        <w:r>
          <w:rPr>
            <w:rFonts w:ascii="仿宋" w:eastAsia="仿宋" w:hAnsi="仿宋" w:cs="仿宋" w:hint="eastAsia"/>
            <w:lang w:eastAsia="zh-CN"/>
          </w:rPr>
          <w:t>(三)、建筑工程设计总体要求</w:t>
        </w:r>
        <w:r>
          <w:tab/>
        </w:r>
        <w:r>
          <w:fldChar w:fldCharType="begin"/>
        </w:r>
        <w:r>
          <w:instrText xml:space="preserve"> PAGEREF _Toc1407 \h </w:instrText>
        </w:r>
        <w:r>
          <w:fldChar w:fldCharType="separate"/>
        </w:r>
        <w:r>
          <w:t>5</w:t>
        </w:r>
        <w:r>
          <w:fldChar w:fldCharType="end"/>
        </w:r>
      </w:hyperlink>
    </w:p>
    <w:p>
      <w:pPr>
        <w:pStyle w:val="TOC2"/>
        <w:tabs>
          <w:tab w:val="right" w:leader="dot" w:pos="8306"/>
        </w:tabs>
      </w:pPr>
      <w:hyperlink w:anchor="_Toc31590" w:history="1">
        <w:r>
          <w:rPr>
            <w:rFonts w:ascii="仿宋" w:eastAsia="仿宋" w:hAnsi="仿宋" w:cs="仿宋" w:hint="eastAsia"/>
            <w:lang w:eastAsia="zh-CN"/>
          </w:rPr>
          <w:t>(四)、土建工程建设指标</w:t>
        </w:r>
        <w:r>
          <w:tab/>
        </w:r>
        <w:r>
          <w:fldChar w:fldCharType="begin"/>
        </w:r>
        <w:r>
          <w:instrText xml:space="preserve"> PAGEREF _Toc31590 \h </w:instrText>
        </w:r>
        <w:r>
          <w:fldChar w:fldCharType="separate"/>
        </w:r>
        <w:r>
          <w:t>6</w:t>
        </w:r>
        <w:r>
          <w:fldChar w:fldCharType="end"/>
        </w:r>
      </w:hyperlink>
    </w:p>
    <w:p>
      <w:pPr>
        <w:pStyle w:val="TOC1"/>
        <w:tabs>
          <w:tab w:val="right" w:leader="dot" w:pos="8306"/>
        </w:tabs>
      </w:pPr>
      <w:hyperlink w:anchor="_Toc7646" w:history="1">
        <w:r>
          <w:rPr>
            <w:rFonts w:ascii="仿宋" w:eastAsia="仿宋" w:hAnsi="仿宋" w:cs="仿宋" w:hint="eastAsia"/>
            <w:lang w:eastAsia="zh-CN"/>
          </w:rPr>
          <w:t>二、气体分析仪项目绩效评估</w:t>
        </w:r>
        <w:r>
          <w:tab/>
        </w:r>
        <w:r>
          <w:fldChar w:fldCharType="begin"/>
        </w:r>
        <w:r>
          <w:instrText xml:space="preserve"> PAGEREF _Toc7646 \h </w:instrText>
        </w:r>
        <w:r>
          <w:fldChar w:fldCharType="separate"/>
        </w:r>
        <w:r>
          <w:t>6</w:t>
        </w:r>
        <w:r>
          <w:fldChar w:fldCharType="end"/>
        </w:r>
      </w:hyperlink>
    </w:p>
    <w:p>
      <w:pPr>
        <w:pStyle w:val="TOC2"/>
        <w:tabs>
          <w:tab w:val="right" w:leader="dot" w:pos="8306"/>
        </w:tabs>
      </w:pPr>
      <w:hyperlink w:anchor="_Toc345" w:history="1">
        <w:r>
          <w:rPr>
            <w:rFonts w:ascii="仿宋" w:eastAsia="仿宋" w:hAnsi="仿宋" w:cs="仿宋" w:hint="eastAsia"/>
            <w:lang w:eastAsia="zh-CN"/>
          </w:rPr>
          <w:t>(一)、绩效评估指标</w:t>
        </w:r>
        <w:r>
          <w:tab/>
        </w:r>
        <w:r>
          <w:fldChar w:fldCharType="begin"/>
        </w:r>
        <w:r>
          <w:instrText xml:space="preserve"> PAGEREF _Toc345 \h </w:instrText>
        </w:r>
        <w:r>
          <w:fldChar w:fldCharType="separate"/>
        </w:r>
        <w:r>
          <w:t>6</w:t>
        </w:r>
        <w:r>
          <w:fldChar w:fldCharType="end"/>
        </w:r>
      </w:hyperlink>
    </w:p>
    <w:p>
      <w:pPr>
        <w:pStyle w:val="TOC2"/>
        <w:tabs>
          <w:tab w:val="right" w:leader="dot" w:pos="8306"/>
        </w:tabs>
      </w:pPr>
      <w:hyperlink w:anchor="_Toc12274" w:history="1">
        <w:r>
          <w:rPr>
            <w:rFonts w:ascii="仿宋" w:eastAsia="仿宋" w:hAnsi="仿宋" w:cs="仿宋" w:hint="eastAsia"/>
            <w:lang w:eastAsia="zh-CN"/>
          </w:rPr>
          <w:t>(二)、绩效评估方法</w:t>
        </w:r>
        <w:r>
          <w:tab/>
        </w:r>
        <w:r>
          <w:fldChar w:fldCharType="begin"/>
        </w:r>
        <w:r>
          <w:instrText xml:space="preserve"> PAGEREF _Toc12274 \h </w:instrText>
        </w:r>
        <w:r>
          <w:fldChar w:fldCharType="separate"/>
        </w:r>
        <w:r>
          <w:t>7</w:t>
        </w:r>
        <w:r>
          <w:fldChar w:fldCharType="end"/>
        </w:r>
      </w:hyperlink>
    </w:p>
    <w:p>
      <w:pPr>
        <w:pStyle w:val="TOC2"/>
        <w:tabs>
          <w:tab w:val="right" w:leader="dot" w:pos="8306"/>
        </w:tabs>
      </w:pPr>
      <w:hyperlink w:anchor="_Toc11262" w:history="1">
        <w:r>
          <w:rPr>
            <w:rFonts w:ascii="仿宋" w:eastAsia="仿宋" w:hAnsi="仿宋" w:cs="仿宋" w:hint="eastAsia"/>
            <w:lang w:eastAsia="zh-CN"/>
          </w:rPr>
          <w:t>(三)、绩效评估周期</w:t>
        </w:r>
        <w:r>
          <w:tab/>
        </w:r>
        <w:r>
          <w:fldChar w:fldCharType="begin"/>
        </w:r>
        <w:r>
          <w:instrText xml:space="preserve"> PAGEREF _Toc11262 \h </w:instrText>
        </w:r>
        <w:r>
          <w:fldChar w:fldCharType="separate"/>
        </w:r>
        <w:r>
          <w:t>8</w:t>
        </w:r>
        <w:r>
          <w:fldChar w:fldCharType="end"/>
        </w:r>
      </w:hyperlink>
    </w:p>
    <w:p>
      <w:pPr>
        <w:pStyle w:val="TOC1"/>
        <w:tabs>
          <w:tab w:val="right" w:leader="dot" w:pos="8306"/>
        </w:tabs>
      </w:pPr>
      <w:hyperlink w:anchor="_Toc10112" w:history="1">
        <w:r>
          <w:rPr>
            <w:rFonts w:ascii="仿宋" w:eastAsia="仿宋" w:hAnsi="仿宋" w:cs="仿宋" w:hint="eastAsia"/>
            <w:lang w:eastAsia="zh-CN"/>
          </w:rPr>
          <w:t>三、气体分析仪项目文档管理</w:t>
        </w:r>
        <w:r>
          <w:tab/>
        </w:r>
        <w:r>
          <w:fldChar w:fldCharType="begin"/>
        </w:r>
        <w:r>
          <w:instrText xml:space="preserve"> PAGEREF _Toc10112 \h </w:instrText>
        </w:r>
        <w:r>
          <w:fldChar w:fldCharType="separate"/>
        </w:r>
        <w:r>
          <w:t>9</w:t>
        </w:r>
        <w:r>
          <w:fldChar w:fldCharType="end"/>
        </w:r>
      </w:hyperlink>
    </w:p>
    <w:p>
      <w:pPr>
        <w:pStyle w:val="TOC2"/>
        <w:tabs>
          <w:tab w:val="right" w:leader="dot" w:pos="8306"/>
        </w:tabs>
      </w:pPr>
      <w:hyperlink w:anchor="_Toc4211" w:history="1">
        <w:r>
          <w:rPr>
            <w:rFonts w:ascii="仿宋" w:eastAsia="仿宋" w:hAnsi="仿宋" w:cs="仿宋" w:hint="eastAsia"/>
            <w:lang w:eastAsia="zh-CN"/>
          </w:rPr>
          <w:t>(一)、文档编制与审查</w:t>
        </w:r>
        <w:r>
          <w:tab/>
        </w:r>
        <w:r>
          <w:fldChar w:fldCharType="begin"/>
        </w:r>
        <w:r>
          <w:instrText xml:space="preserve"> PAGEREF _Toc4211 \h </w:instrText>
        </w:r>
        <w:r>
          <w:fldChar w:fldCharType="separate"/>
        </w:r>
        <w:r>
          <w:t>9</w:t>
        </w:r>
        <w:r>
          <w:fldChar w:fldCharType="end"/>
        </w:r>
      </w:hyperlink>
    </w:p>
    <w:p>
      <w:pPr>
        <w:pStyle w:val="TOC2"/>
        <w:tabs>
          <w:tab w:val="right" w:leader="dot" w:pos="8306"/>
        </w:tabs>
      </w:pPr>
      <w:hyperlink w:anchor="_Toc993" w:history="1">
        <w:r>
          <w:rPr>
            <w:rFonts w:ascii="仿宋" w:eastAsia="仿宋" w:hAnsi="仿宋" w:cs="仿宋" w:hint="eastAsia"/>
            <w:lang w:eastAsia="zh-CN"/>
          </w:rPr>
          <w:t>(二)、文档发布与分发</w:t>
        </w:r>
        <w:r>
          <w:tab/>
        </w:r>
        <w:r>
          <w:fldChar w:fldCharType="begin"/>
        </w:r>
        <w:r>
          <w:instrText xml:space="preserve"> PAGEREF _Toc993 \h </w:instrText>
        </w:r>
        <w:r>
          <w:fldChar w:fldCharType="separate"/>
        </w:r>
        <w:r>
          <w:t>11</w:t>
        </w:r>
        <w:r>
          <w:fldChar w:fldCharType="end"/>
        </w:r>
      </w:hyperlink>
    </w:p>
    <w:p>
      <w:pPr>
        <w:pStyle w:val="TOC2"/>
        <w:tabs>
          <w:tab w:val="right" w:leader="dot" w:pos="8306"/>
        </w:tabs>
      </w:pPr>
      <w:hyperlink w:anchor="_Toc7348" w:history="1">
        <w:r>
          <w:rPr>
            <w:rFonts w:ascii="仿宋" w:eastAsia="仿宋" w:hAnsi="仿宋" w:cs="仿宋" w:hint="eastAsia"/>
            <w:lang w:eastAsia="zh-CN"/>
          </w:rPr>
          <w:t>(三)、文档存档与归档</w:t>
        </w:r>
        <w:r>
          <w:tab/>
        </w:r>
        <w:r>
          <w:fldChar w:fldCharType="begin"/>
        </w:r>
        <w:r>
          <w:instrText xml:space="preserve"> PAGEREF _Toc7348 \h </w:instrText>
        </w:r>
        <w:r>
          <w:fldChar w:fldCharType="separate"/>
        </w:r>
        <w:r>
          <w:t>12</w:t>
        </w:r>
        <w:r>
          <w:fldChar w:fldCharType="end"/>
        </w:r>
      </w:hyperlink>
    </w:p>
    <w:p>
      <w:pPr>
        <w:pStyle w:val="TOC1"/>
        <w:tabs>
          <w:tab w:val="right" w:leader="dot" w:pos="8306"/>
        </w:tabs>
      </w:pPr>
      <w:hyperlink w:anchor="_Toc16152" w:history="1">
        <w:r>
          <w:rPr>
            <w:rFonts w:ascii="仿宋" w:eastAsia="仿宋" w:hAnsi="仿宋" w:cs="仿宋" w:hint="eastAsia"/>
            <w:lang w:eastAsia="zh-CN"/>
          </w:rPr>
          <w:t>四、气体分析仪项目可持续发展</w:t>
        </w:r>
        <w:r>
          <w:tab/>
        </w:r>
        <w:r>
          <w:fldChar w:fldCharType="begin"/>
        </w:r>
        <w:r>
          <w:instrText xml:space="preserve"> PAGEREF _Toc16152 \h </w:instrText>
        </w:r>
        <w:r>
          <w:fldChar w:fldCharType="separate"/>
        </w:r>
        <w:r>
          <w:t>13</w:t>
        </w:r>
        <w:r>
          <w:fldChar w:fldCharType="end"/>
        </w:r>
      </w:hyperlink>
    </w:p>
    <w:p>
      <w:pPr>
        <w:pStyle w:val="TOC2"/>
        <w:tabs>
          <w:tab w:val="right" w:leader="dot" w:pos="8306"/>
        </w:tabs>
      </w:pPr>
      <w:hyperlink w:anchor="_Toc32455" w:history="1">
        <w:r>
          <w:rPr>
            <w:rFonts w:ascii="仿宋" w:eastAsia="仿宋" w:hAnsi="仿宋" w:cs="仿宋" w:hint="eastAsia"/>
            <w:lang w:eastAsia="zh-CN"/>
          </w:rPr>
          <w:t>(一)、可持续战略与实践</w:t>
        </w:r>
        <w:r>
          <w:tab/>
        </w:r>
        <w:r>
          <w:fldChar w:fldCharType="begin"/>
        </w:r>
        <w:r>
          <w:instrText xml:space="preserve"> PAGEREF _Toc32455 \h </w:instrText>
        </w:r>
        <w:r>
          <w:fldChar w:fldCharType="separate"/>
        </w:r>
        <w:r>
          <w:t>13</w:t>
        </w:r>
        <w:r>
          <w:fldChar w:fldCharType="end"/>
        </w:r>
      </w:hyperlink>
    </w:p>
    <w:p>
      <w:pPr>
        <w:pStyle w:val="TOC2"/>
        <w:tabs>
          <w:tab w:val="right" w:leader="dot" w:pos="8306"/>
        </w:tabs>
      </w:pPr>
      <w:hyperlink w:anchor="_Toc17115" w:history="1">
        <w:r>
          <w:rPr>
            <w:rFonts w:ascii="仿宋" w:eastAsia="仿宋" w:hAnsi="仿宋" w:cs="仿宋" w:hint="eastAsia"/>
            <w:lang w:eastAsia="zh-CN"/>
          </w:rPr>
          <w:t>(二)、环保与社会责任</w:t>
        </w:r>
        <w:r>
          <w:tab/>
        </w:r>
        <w:r>
          <w:fldChar w:fldCharType="begin"/>
        </w:r>
        <w:r>
          <w:instrText xml:space="preserve"> PAGEREF _Toc17115 \h </w:instrText>
        </w:r>
        <w:r>
          <w:fldChar w:fldCharType="separate"/>
        </w:r>
        <w:r>
          <w:t>13</w:t>
        </w:r>
        <w:r>
          <w:fldChar w:fldCharType="end"/>
        </w:r>
      </w:hyperlink>
    </w:p>
    <w:p>
      <w:pPr>
        <w:pStyle w:val="TOC1"/>
        <w:tabs>
          <w:tab w:val="right" w:leader="dot" w:pos="8306"/>
        </w:tabs>
      </w:pPr>
      <w:hyperlink w:anchor="_Toc17961" w:history="1">
        <w:r>
          <w:rPr>
            <w:rFonts w:ascii="仿宋" w:eastAsia="仿宋" w:hAnsi="仿宋" w:cs="仿宋" w:hint="eastAsia"/>
            <w:lang w:eastAsia="zh-CN"/>
          </w:rPr>
          <w:t>五、产品规划分析</w:t>
        </w:r>
        <w:r>
          <w:tab/>
        </w:r>
        <w:r>
          <w:fldChar w:fldCharType="begin"/>
        </w:r>
        <w:r>
          <w:instrText xml:space="preserve"> PAGEREF _Toc17961 \h </w:instrText>
        </w:r>
        <w:r>
          <w:fldChar w:fldCharType="separate"/>
        </w:r>
        <w:r>
          <w:t>14</w:t>
        </w:r>
        <w:r>
          <w:fldChar w:fldCharType="end"/>
        </w:r>
      </w:hyperlink>
    </w:p>
    <w:p>
      <w:pPr>
        <w:pStyle w:val="TOC2"/>
        <w:tabs>
          <w:tab w:val="right" w:leader="dot" w:pos="8306"/>
        </w:tabs>
      </w:pPr>
      <w:hyperlink w:anchor="_Toc716" w:history="1">
        <w:r>
          <w:rPr>
            <w:rFonts w:ascii="仿宋" w:eastAsia="仿宋" w:hAnsi="仿宋" w:cs="仿宋" w:hint="eastAsia"/>
            <w:lang w:eastAsia="zh-CN"/>
          </w:rPr>
          <w:t>(一)、产品规划</w:t>
        </w:r>
        <w:r>
          <w:tab/>
        </w:r>
        <w:r>
          <w:fldChar w:fldCharType="begin"/>
        </w:r>
        <w:r>
          <w:instrText xml:space="preserve"> PAGEREF _Toc716 \h </w:instrText>
        </w:r>
        <w:r>
          <w:fldChar w:fldCharType="separate"/>
        </w:r>
        <w:r>
          <w:t>14</w:t>
        </w:r>
        <w:r>
          <w:fldChar w:fldCharType="end"/>
        </w:r>
      </w:hyperlink>
    </w:p>
    <w:p>
      <w:pPr>
        <w:pStyle w:val="TOC2"/>
        <w:tabs>
          <w:tab w:val="right" w:leader="dot" w:pos="8306"/>
        </w:tabs>
      </w:pPr>
      <w:hyperlink w:anchor="_Toc6571" w:history="1">
        <w:r>
          <w:rPr>
            <w:rFonts w:ascii="仿宋" w:eastAsia="仿宋" w:hAnsi="仿宋" w:cs="仿宋" w:hint="eastAsia"/>
            <w:lang w:eastAsia="zh-CN"/>
          </w:rPr>
          <w:t>(二)、建设规模</w:t>
        </w:r>
        <w:r>
          <w:tab/>
        </w:r>
        <w:r>
          <w:fldChar w:fldCharType="begin"/>
        </w:r>
        <w:r>
          <w:instrText xml:space="preserve"> PAGEREF _Toc6571 \h </w:instrText>
        </w:r>
        <w:r>
          <w:fldChar w:fldCharType="separate"/>
        </w:r>
        <w:r>
          <w:t>15</w:t>
        </w:r>
        <w:r>
          <w:fldChar w:fldCharType="end"/>
        </w:r>
      </w:hyperlink>
    </w:p>
    <w:p>
      <w:pPr>
        <w:pStyle w:val="TOC1"/>
        <w:tabs>
          <w:tab w:val="right" w:leader="dot" w:pos="8306"/>
        </w:tabs>
      </w:pPr>
      <w:hyperlink w:anchor="_Toc19814" w:history="1">
        <w:r>
          <w:rPr>
            <w:rFonts w:ascii="仿宋" w:eastAsia="仿宋" w:hAnsi="仿宋" w:cs="仿宋" w:hint="eastAsia"/>
            <w:lang w:eastAsia="zh-CN"/>
          </w:rPr>
          <w:t>六、工艺说明</w:t>
        </w:r>
        <w:r>
          <w:tab/>
        </w:r>
        <w:r>
          <w:fldChar w:fldCharType="begin"/>
        </w:r>
        <w:r>
          <w:instrText xml:space="preserve"> PAGEREF _Toc19814 \h </w:instrText>
        </w:r>
        <w:r>
          <w:fldChar w:fldCharType="separate"/>
        </w:r>
        <w:r>
          <w:t>16</w:t>
        </w:r>
        <w:r>
          <w:fldChar w:fldCharType="end"/>
        </w:r>
      </w:hyperlink>
    </w:p>
    <w:p>
      <w:pPr>
        <w:pStyle w:val="TOC2"/>
        <w:tabs>
          <w:tab w:val="right" w:leader="dot" w:pos="8306"/>
        </w:tabs>
      </w:pPr>
      <w:hyperlink w:anchor="_Toc27935" w:history="1">
        <w:r>
          <w:rPr>
            <w:rFonts w:ascii="仿宋" w:eastAsia="仿宋" w:hAnsi="仿宋" w:cs="仿宋" w:hint="eastAsia"/>
            <w:lang w:eastAsia="zh-CN"/>
          </w:rPr>
          <w:t>(一)、技术管理特点</w:t>
        </w:r>
        <w:r>
          <w:tab/>
        </w:r>
        <w:r>
          <w:fldChar w:fldCharType="begin"/>
        </w:r>
        <w:r>
          <w:instrText xml:space="preserve"> PAGEREF _Toc27935 \h </w:instrText>
        </w:r>
        <w:r>
          <w:fldChar w:fldCharType="separate"/>
        </w:r>
        <w:r>
          <w:t>16</w:t>
        </w:r>
        <w:r>
          <w:fldChar w:fldCharType="end"/>
        </w:r>
      </w:hyperlink>
    </w:p>
    <w:p>
      <w:pPr>
        <w:pStyle w:val="TOC2"/>
        <w:tabs>
          <w:tab w:val="right" w:leader="dot" w:pos="8306"/>
        </w:tabs>
      </w:pPr>
      <w:hyperlink w:anchor="_Toc12654" w:history="1">
        <w:r>
          <w:rPr>
            <w:rFonts w:ascii="仿宋" w:eastAsia="仿宋" w:hAnsi="仿宋" w:cs="仿宋" w:hint="eastAsia"/>
            <w:lang w:eastAsia="zh-CN"/>
          </w:rPr>
          <w:t>(二)、气体分析仪项目工艺技术设计方案</w:t>
        </w:r>
        <w:r>
          <w:tab/>
        </w:r>
        <w:r>
          <w:fldChar w:fldCharType="begin"/>
        </w:r>
        <w:r>
          <w:instrText xml:space="preserve"> PAGEREF _Toc12654 \h </w:instrText>
        </w:r>
        <w:r>
          <w:fldChar w:fldCharType="separate"/>
        </w:r>
        <w:r>
          <w:t>17</w:t>
        </w:r>
        <w:r>
          <w:fldChar w:fldCharType="end"/>
        </w:r>
      </w:hyperlink>
    </w:p>
    <w:p>
      <w:pPr>
        <w:pStyle w:val="TOC2"/>
        <w:tabs>
          <w:tab w:val="right" w:leader="dot" w:pos="8306"/>
        </w:tabs>
      </w:pPr>
      <w:hyperlink w:anchor="_Toc15746" w:history="1">
        <w:r>
          <w:rPr>
            <w:rFonts w:ascii="仿宋" w:eastAsia="仿宋" w:hAnsi="仿宋" w:cs="仿宋" w:hint="eastAsia"/>
            <w:lang w:eastAsia="zh-CN"/>
          </w:rPr>
          <w:t>(三)、设备选型方案</w:t>
        </w:r>
        <w:r>
          <w:tab/>
        </w:r>
        <w:r>
          <w:fldChar w:fldCharType="begin"/>
        </w:r>
        <w:r>
          <w:instrText xml:space="preserve"> PAGEREF _Toc15746 \h </w:instrText>
        </w:r>
        <w:r>
          <w:fldChar w:fldCharType="separate"/>
        </w:r>
        <w:r>
          <w:t>19</w:t>
        </w:r>
        <w:r>
          <w:fldChar w:fldCharType="end"/>
        </w:r>
      </w:hyperlink>
    </w:p>
    <w:p>
      <w:pPr>
        <w:pStyle w:val="TOC1"/>
        <w:tabs>
          <w:tab w:val="right" w:leader="dot" w:pos="8306"/>
        </w:tabs>
      </w:pPr>
      <w:hyperlink w:anchor="_Toc1008" w:history="1">
        <w:r>
          <w:rPr>
            <w:rFonts w:ascii="仿宋" w:eastAsia="仿宋" w:hAnsi="仿宋" w:cs="仿宋" w:hint="eastAsia"/>
            <w:lang w:eastAsia="zh-CN"/>
          </w:rPr>
          <w:t>七、气体分析仪项目社会影响</w:t>
        </w:r>
        <w:r>
          <w:tab/>
        </w:r>
        <w:r>
          <w:fldChar w:fldCharType="begin"/>
        </w:r>
        <w:r>
          <w:instrText xml:space="preserve"> PAGEREF _Toc1008 \h </w:instrText>
        </w:r>
        <w:r>
          <w:fldChar w:fldCharType="separate"/>
        </w:r>
        <w:r>
          <w:t>20</w:t>
        </w:r>
        <w:r>
          <w:fldChar w:fldCharType="end"/>
        </w:r>
      </w:hyperlink>
    </w:p>
    <w:p>
      <w:pPr>
        <w:pStyle w:val="TOC2"/>
        <w:tabs>
          <w:tab w:val="right" w:leader="dot" w:pos="8306"/>
        </w:tabs>
      </w:pPr>
      <w:hyperlink w:anchor="_Toc20373" w:history="1">
        <w:r>
          <w:rPr>
            <w:rFonts w:ascii="仿宋" w:eastAsia="仿宋" w:hAnsi="仿宋" w:cs="仿宋" w:hint="eastAsia"/>
            <w:lang w:eastAsia="zh-CN"/>
          </w:rPr>
          <w:t>(一)、社会责任与义务</w:t>
        </w:r>
        <w:r>
          <w:tab/>
        </w:r>
        <w:r>
          <w:fldChar w:fldCharType="begin"/>
        </w:r>
        <w:r>
          <w:instrText xml:space="preserve"> PAGEREF _Toc20373 \h </w:instrText>
        </w:r>
        <w:r>
          <w:fldChar w:fldCharType="separate"/>
        </w:r>
        <w:r>
          <w:t>20</w:t>
        </w:r>
        <w:r>
          <w:fldChar w:fldCharType="end"/>
        </w:r>
      </w:hyperlink>
    </w:p>
    <w:p>
      <w:pPr>
        <w:pStyle w:val="TOC2"/>
        <w:tabs>
          <w:tab w:val="right" w:leader="dot" w:pos="8306"/>
        </w:tabs>
      </w:pPr>
      <w:hyperlink w:anchor="_Toc13065" w:history="1">
        <w:r>
          <w:rPr>
            <w:rFonts w:ascii="仿宋" w:eastAsia="仿宋" w:hAnsi="仿宋" w:cs="仿宋" w:hint="eastAsia"/>
            <w:lang w:eastAsia="zh-CN"/>
          </w:rPr>
          <w:t>(二)、社会参与与沟通</w:t>
        </w:r>
        <w:r>
          <w:tab/>
        </w:r>
        <w:r>
          <w:fldChar w:fldCharType="begin"/>
        </w:r>
        <w:r>
          <w:instrText xml:space="preserve"> PAGEREF _Toc13065 \h </w:instrText>
        </w:r>
        <w:r>
          <w:fldChar w:fldCharType="separate"/>
        </w:r>
        <w:r>
          <w:t>21</w:t>
        </w:r>
        <w:r>
          <w:fldChar w:fldCharType="end"/>
        </w:r>
      </w:hyperlink>
    </w:p>
    <w:p>
      <w:pPr>
        <w:pStyle w:val="TOC1"/>
        <w:tabs>
          <w:tab w:val="right" w:leader="dot" w:pos="8306"/>
        </w:tabs>
      </w:pPr>
      <w:hyperlink w:anchor="_Toc3062" w:history="1">
        <w:r>
          <w:rPr>
            <w:rFonts w:ascii="仿宋" w:eastAsia="仿宋" w:hAnsi="仿宋" w:cs="仿宋" w:hint="eastAsia"/>
            <w:lang w:eastAsia="zh-CN"/>
          </w:rPr>
          <w:t>八、气体分析仪项目经营效益</w:t>
        </w:r>
        <w:r>
          <w:tab/>
        </w:r>
        <w:r>
          <w:fldChar w:fldCharType="begin"/>
        </w:r>
        <w:r>
          <w:instrText xml:space="preserve"> PAGEREF _Toc3062 \h </w:instrText>
        </w:r>
        <w:r>
          <w:fldChar w:fldCharType="separate"/>
        </w:r>
        <w:r>
          <w:t>22</w:t>
        </w:r>
        <w:r>
          <w:fldChar w:fldCharType="end"/>
        </w:r>
      </w:hyperlink>
    </w:p>
    <w:p>
      <w:pPr>
        <w:pStyle w:val="TOC2"/>
        <w:tabs>
          <w:tab w:val="right" w:leader="dot" w:pos="8306"/>
        </w:tabs>
      </w:pPr>
      <w:hyperlink w:anchor="_Toc13320" w:history="1">
        <w:r>
          <w:rPr>
            <w:rFonts w:ascii="仿宋" w:eastAsia="仿宋" w:hAnsi="仿宋" w:cs="仿宋" w:hint="eastAsia"/>
            <w:lang w:eastAsia="zh-CN"/>
          </w:rPr>
          <w:t>(一)、经济评价财务测算</w:t>
        </w:r>
        <w:r>
          <w:tab/>
        </w:r>
        <w:r>
          <w:fldChar w:fldCharType="begin"/>
        </w:r>
        <w:r>
          <w:instrText xml:space="preserve"> PAGEREF _Toc13320 \h </w:instrText>
        </w:r>
        <w:r>
          <w:fldChar w:fldCharType="separate"/>
        </w:r>
        <w:r>
          <w:t>22</w:t>
        </w:r>
        <w:r>
          <w:fldChar w:fldCharType="end"/>
        </w:r>
      </w:hyperlink>
    </w:p>
    <w:p>
      <w:pPr>
        <w:pStyle w:val="TOC2"/>
        <w:tabs>
          <w:tab w:val="right" w:leader="dot" w:pos="8306"/>
        </w:tabs>
      </w:pPr>
      <w:hyperlink w:anchor="_Toc11571" w:history="1">
        <w:r>
          <w:rPr>
            <w:rFonts w:ascii="仿宋" w:eastAsia="仿宋" w:hAnsi="仿宋" w:cs="仿宋" w:hint="eastAsia"/>
            <w:lang w:eastAsia="zh-CN"/>
          </w:rPr>
          <w:t>(二)、气体分析仪项目盈利能力分析</w:t>
        </w:r>
        <w:r>
          <w:tab/>
        </w:r>
        <w:r>
          <w:fldChar w:fldCharType="begin"/>
        </w:r>
        <w:r>
          <w:instrText xml:space="preserve"> PAGEREF _Toc11571 \h </w:instrText>
        </w:r>
        <w:r>
          <w:fldChar w:fldCharType="separate"/>
        </w:r>
        <w:r>
          <w:t>23</w:t>
        </w:r>
        <w:r>
          <w:fldChar w:fldCharType="end"/>
        </w:r>
      </w:hyperlink>
    </w:p>
    <w:p>
      <w:pPr>
        <w:pStyle w:val="TOC1"/>
        <w:tabs>
          <w:tab w:val="right" w:leader="dot" w:pos="8306"/>
        </w:tabs>
      </w:pPr>
      <w:hyperlink w:anchor="_Toc4025" w:history="1">
        <w:r>
          <w:rPr>
            <w:rFonts w:ascii="仿宋" w:eastAsia="仿宋" w:hAnsi="仿宋" w:cs="仿宋" w:hint="eastAsia"/>
            <w:lang w:eastAsia="zh-CN"/>
          </w:rPr>
          <w:t>九、生产安全保护</w:t>
        </w:r>
        <w:r>
          <w:tab/>
        </w:r>
        <w:r>
          <w:fldChar w:fldCharType="begin"/>
        </w:r>
        <w:r>
          <w:instrText xml:space="preserve"> PAGEREF _Toc4025 \h </w:instrText>
        </w:r>
        <w:r>
          <w:fldChar w:fldCharType="separate"/>
        </w:r>
        <w:r>
          <w:t>24</w:t>
        </w:r>
        <w:r>
          <w:fldChar w:fldCharType="end"/>
        </w:r>
      </w:hyperlink>
    </w:p>
    <w:p>
      <w:pPr>
        <w:pStyle w:val="TOC2"/>
        <w:tabs>
          <w:tab w:val="right" w:leader="dot" w:pos="8306"/>
        </w:tabs>
      </w:pPr>
      <w:hyperlink w:anchor="_Toc22401" w:history="1">
        <w:r>
          <w:rPr>
            <w:rFonts w:ascii="仿宋" w:eastAsia="仿宋" w:hAnsi="仿宋" w:cs="仿宋" w:hint="eastAsia"/>
            <w:lang w:eastAsia="zh-CN"/>
          </w:rPr>
          <w:t>(一)、消防安全</w:t>
        </w:r>
        <w:r>
          <w:tab/>
        </w:r>
        <w:r>
          <w:fldChar w:fldCharType="begin"/>
        </w:r>
        <w:r>
          <w:instrText xml:space="preserve"> PAGEREF _Toc22401 \h </w:instrText>
        </w:r>
        <w:r>
          <w:fldChar w:fldCharType="separate"/>
        </w:r>
        <w:r>
          <w:t>24</w:t>
        </w:r>
        <w:r>
          <w:fldChar w:fldCharType="end"/>
        </w:r>
      </w:hyperlink>
    </w:p>
    <w:p>
      <w:pPr>
        <w:pStyle w:val="TOC2"/>
        <w:tabs>
          <w:tab w:val="right" w:leader="dot" w:pos="8306"/>
        </w:tabs>
      </w:pPr>
      <w:hyperlink w:anchor="_Toc26062" w:history="1">
        <w:r>
          <w:rPr>
            <w:rFonts w:ascii="仿宋" w:eastAsia="仿宋" w:hAnsi="仿宋" w:cs="仿宋" w:hint="eastAsia"/>
            <w:lang w:eastAsia="zh-CN"/>
          </w:rPr>
          <w:t>(二)、防火防爆总图布置措施</w:t>
        </w:r>
        <w:r>
          <w:tab/>
        </w:r>
        <w:r>
          <w:fldChar w:fldCharType="begin"/>
        </w:r>
        <w:r>
          <w:instrText xml:space="preserve"> PAGEREF _Toc26062 \h </w:instrText>
        </w:r>
        <w:r>
          <w:fldChar w:fldCharType="separate"/>
        </w:r>
        <w:r>
          <w:t>25</w:t>
        </w:r>
        <w:r>
          <w:fldChar w:fldCharType="end"/>
        </w:r>
      </w:hyperlink>
    </w:p>
    <w:p>
      <w:pPr>
        <w:pStyle w:val="TOC2"/>
        <w:tabs>
          <w:tab w:val="right" w:leader="dot" w:pos="8306"/>
        </w:tabs>
      </w:pPr>
      <w:hyperlink w:anchor="_Toc12009" w:history="1">
        <w:r>
          <w:rPr>
            <w:rFonts w:ascii="仿宋" w:eastAsia="仿宋" w:hAnsi="仿宋" w:cs="仿宋" w:hint="eastAsia"/>
            <w:lang w:eastAsia="zh-CN"/>
          </w:rPr>
          <w:t>(三)、自然灾害防范措施</w:t>
        </w:r>
        <w:r>
          <w:tab/>
        </w:r>
        <w:r>
          <w:fldChar w:fldCharType="begin"/>
        </w:r>
        <w:r>
          <w:instrText xml:space="preserve"> PAGEREF _Toc12009 \h </w:instrText>
        </w:r>
        <w:r>
          <w:fldChar w:fldCharType="separate"/>
        </w:r>
        <w:r>
          <w:t>26</w:t>
        </w:r>
        <w:r>
          <w:fldChar w:fldCharType="end"/>
        </w:r>
      </w:hyperlink>
    </w:p>
    <w:p>
      <w:pPr>
        <w:pStyle w:val="TOC2"/>
        <w:tabs>
          <w:tab w:val="right" w:leader="dot" w:pos="8306"/>
        </w:tabs>
      </w:pPr>
      <w:hyperlink w:anchor="_Toc18624" w:history="1">
        <w:r>
          <w:rPr>
            <w:rFonts w:ascii="仿宋" w:eastAsia="仿宋" w:hAnsi="仿宋" w:cs="仿宋" w:hint="eastAsia"/>
            <w:lang w:eastAsia="zh-CN"/>
          </w:rPr>
          <w:t>(四)、安全色及安全标志使用要求</w:t>
        </w:r>
        <w:r>
          <w:tab/>
        </w:r>
        <w:r>
          <w:fldChar w:fldCharType="begin"/>
        </w:r>
        <w:r>
          <w:instrText xml:space="preserve"> PAGEREF _Toc18624 \h </w:instrText>
        </w:r>
        <w:r>
          <w:fldChar w:fldCharType="separate"/>
        </w:r>
        <w:r>
          <w:t>27</w:t>
        </w:r>
        <w:r>
          <w:fldChar w:fldCharType="end"/>
        </w:r>
      </w:hyperlink>
    </w:p>
    <w:p>
      <w:pPr>
        <w:pStyle w:val="TOC2"/>
        <w:tabs>
          <w:tab w:val="right" w:leader="dot" w:pos="8306"/>
        </w:tabs>
      </w:pPr>
      <w:hyperlink w:anchor="_Toc26674" w:history="1">
        <w:r>
          <w:rPr>
            <w:rFonts w:ascii="仿宋" w:eastAsia="仿宋" w:hAnsi="仿宋" w:cs="仿宋" w:hint="eastAsia"/>
            <w:lang w:eastAsia="zh-CN"/>
          </w:rPr>
          <w:t>(五)、防尘防毒措施</w:t>
        </w:r>
        <w:r>
          <w:tab/>
        </w:r>
        <w:r>
          <w:fldChar w:fldCharType="begin"/>
        </w:r>
        <w:r>
          <w:instrText xml:space="preserve"> PAGEREF _Toc26674 \h </w:instrText>
        </w:r>
        <w:r>
          <w:fldChar w:fldCharType="separate"/>
        </w:r>
        <w:r>
          <w:t>28</w:t>
        </w:r>
        <w:r>
          <w:fldChar w:fldCharType="end"/>
        </w:r>
      </w:hyperlink>
    </w:p>
    <w:p>
      <w:pPr>
        <w:pStyle w:val="TOC2"/>
        <w:tabs>
          <w:tab w:val="right" w:leader="dot" w:pos="8306"/>
        </w:tabs>
      </w:pPr>
      <w:hyperlink w:anchor="_Toc7592" w:history="1">
        <w:r>
          <w:rPr>
            <w:rFonts w:ascii="仿宋" w:eastAsia="仿宋" w:hAnsi="仿宋" w:cs="仿宋" w:hint="eastAsia"/>
            <w:lang w:eastAsia="zh-CN"/>
          </w:rPr>
          <w:t>(六)、防静电、触电防护及防雷措施</w:t>
        </w:r>
        <w:r>
          <w:tab/>
        </w:r>
        <w:r>
          <w:fldChar w:fldCharType="begin"/>
        </w:r>
        <w:r>
          <w:instrText xml:space="preserve"> PAGEREF _Toc7592 \h </w:instrText>
        </w:r>
        <w:r>
          <w:fldChar w:fldCharType="separate"/>
        </w:r>
        <w:r>
          <w:t>29</w:t>
        </w:r>
        <w:r>
          <w:fldChar w:fldCharType="end"/>
        </w:r>
      </w:hyperlink>
    </w:p>
    <w:p>
      <w:pPr>
        <w:pStyle w:val="TOC2"/>
        <w:tabs>
          <w:tab w:val="right" w:leader="dot" w:pos="8306"/>
        </w:tabs>
      </w:pPr>
      <w:hyperlink w:anchor="_Toc29140" w:history="1">
        <w:r>
          <w:rPr>
            <w:rFonts w:ascii="仿宋" w:eastAsia="仿宋" w:hAnsi="仿宋" w:cs="仿宋" w:hint="eastAsia"/>
            <w:lang w:eastAsia="zh-CN"/>
          </w:rPr>
          <w:t>(七)、机械设备安全保障措施</w:t>
        </w:r>
        <w:r>
          <w:tab/>
        </w:r>
        <w:r>
          <w:fldChar w:fldCharType="begin"/>
        </w:r>
        <w:r>
          <w:instrText xml:space="preserve"> PAGEREF _Toc29140 \h </w:instrText>
        </w:r>
        <w:r>
          <w:fldChar w:fldCharType="separate"/>
        </w:r>
        <w:r>
          <w:t>30</w:t>
        </w:r>
        <w:r>
          <w:fldChar w:fldCharType="end"/>
        </w:r>
      </w:hyperlink>
    </w:p>
    <w:p>
      <w:pPr>
        <w:pStyle w:val="TOC1"/>
        <w:tabs>
          <w:tab w:val="right" w:leader="dot" w:pos="8306"/>
        </w:tabs>
      </w:pPr>
      <w:hyperlink w:anchor="_Toc18391" w:history="1">
        <w:r>
          <w:rPr>
            <w:rFonts w:ascii="仿宋" w:eastAsia="仿宋" w:hAnsi="仿宋" w:cs="仿宋" w:hint="eastAsia"/>
            <w:lang w:eastAsia="zh-CN"/>
          </w:rPr>
          <w:t>十、气体分析仪项目环境影响分析</w:t>
        </w:r>
        <w:r>
          <w:tab/>
        </w:r>
        <w:r>
          <w:fldChar w:fldCharType="begin"/>
        </w:r>
        <w:r>
          <w:instrText xml:space="preserve"> PAGEREF _Toc18391 \h </w:instrText>
        </w:r>
        <w:r>
          <w:fldChar w:fldCharType="separate"/>
        </w:r>
        <w:r>
          <w:t>32</w:t>
        </w:r>
        <w:r>
          <w:fldChar w:fldCharType="end"/>
        </w:r>
      </w:hyperlink>
    </w:p>
    <w:p>
      <w:pPr>
        <w:pStyle w:val="TOC2"/>
        <w:tabs>
          <w:tab w:val="right" w:leader="dot" w:pos="8306"/>
        </w:tabs>
      </w:pPr>
      <w:hyperlink w:anchor="_Toc32174" w:history="1">
        <w:r>
          <w:rPr>
            <w:rFonts w:ascii="仿宋" w:eastAsia="仿宋" w:hAnsi="仿宋" w:cs="仿宋" w:hint="eastAsia"/>
            <w:lang w:eastAsia="zh-CN"/>
          </w:rPr>
          <w:t>(一)、建设区域环境质量现状</w:t>
        </w:r>
        <w:r>
          <w:tab/>
        </w:r>
        <w:r>
          <w:fldChar w:fldCharType="begin"/>
        </w:r>
        <w:r>
          <w:instrText xml:space="preserve"> PAGEREF _Toc32174 \h </w:instrText>
        </w:r>
        <w:r>
          <w:fldChar w:fldCharType="separate"/>
        </w:r>
        <w:r>
          <w:t>32</w:t>
        </w:r>
        <w:r>
          <w:fldChar w:fldCharType="end"/>
        </w:r>
      </w:hyperlink>
    </w:p>
    <w:p>
      <w:pPr>
        <w:pStyle w:val="TOC2"/>
        <w:tabs>
          <w:tab w:val="right" w:leader="dot" w:pos="8306"/>
        </w:tabs>
      </w:pPr>
      <w:hyperlink w:anchor="_Toc26167" w:history="1">
        <w:r>
          <w:rPr>
            <w:rFonts w:ascii="仿宋" w:eastAsia="仿宋" w:hAnsi="仿宋" w:cs="仿宋" w:hint="eastAsia"/>
            <w:lang w:eastAsia="zh-CN"/>
          </w:rPr>
          <w:t>(二)、建设期环境保护</w:t>
        </w:r>
        <w:r>
          <w:tab/>
        </w:r>
        <w:r>
          <w:fldChar w:fldCharType="begin"/>
        </w:r>
        <w:r>
          <w:instrText xml:space="preserve"> PAGEREF _Toc26167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9" w:history="1">
        <w:r>
          <w:rPr>
            <w:rFonts w:ascii="仿宋" w:eastAsia="仿宋" w:hAnsi="仿宋" w:cs="仿宋" w:hint="eastAsia"/>
            <w:lang w:eastAsia="zh-CN"/>
          </w:rPr>
          <w:t>(三)、运营期环境保护</w:t>
        </w:r>
        <w:r>
          <w:tab/>
        </w:r>
        <w:r>
          <w:fldChar w:fldCharType="begin"/>
        </w:r>
        <w:r>
          <w:instrText xml:space="preserve"> PAGEREF _Toc14689 \h </w:instrText>
        </w:r>
        <w:r>
          <w:fldChar w:fldCharType="separate"/>
        </w:r>
        <w:r>
          <w:t>34</w:t>
        </w:r>
        <w:r>
          <w:fldChar w:fldCharType="end"/>
        </w:r>
      </w:hyperlink>
    </w:p>
    <w:p>
      <w:pPr>
        <w:pStyle w:val="TOC2"/>
        <w:tabs>
          <w:tab w:val="right" w:leader="dot" w:pos="8306"/>
        </w:tabs>
      </w:pPr>
      <w:hyperlink w:anchor="_Toc22722" w:history="1">
        <w:r>
          <w:rPr>
            <w:rFonts w:ascii="仿宋" w:eastAsia="仿宋" w:hAnsi="仿宋" w:cs="仿宋" w:hint="eastAsia"/>
            <w:lang w:eastAsia="zh-CN"/>
          </w:rPr>
          <w:t>(四)、气体分析仪项目建设对区域经济的影响</w:t>
        </w:r>
        <w:r>
          <w:tab/>
        </w:r>
        <w:r>
          <w:fldChar w:fldCharType="begin"/>
        </w:r>
        <w:r>
          <w:instrText xml:space="preserve"> PAGEREF _Toc22722 \h </w:instrText>
        </w:r>
        <w:r>
          <w:fldChar w:fldCharType="separate"/>
        </w:r>
        <w:r>
          <w:t>36</w:t>
        </w:r>
        <w:r>
          <w:fldChar w:fldCharType="end"/>
        </w:r>
      </w:hyperlink>
    </w:p>
    <w:p>
      <w:pPr>
        <w:pStyle w:val="TOC2"/>
        <w:tabs>
          <w:tab w:val="right" w:leader="dot" w:pos="8306"/>
        </w:tabs>
      </w:pPr>
      <w:hyperlink w:anchor="_Toc12917" w:history="1">
        <w:r>
          <w:rPr>
            <w:rFonts w:ascii="仿宋" w:eastAsia="仿宋" w:hAnsi="仿宋" w:cs="仿宋" w:hint="eastAsia"/>
            <w:lang w:eastAsia="zh-CN"/>
          </w:rPr>
          <w:t>(五)、废弃物处理</w:t>
        </w:r>
        <w:r>
          <w:tab/>
        </w:r>
        <w:r>
          <w:fldChar w:fldCharType="begin"/>
        </w:r>
        <w:r>
          <w:instrText xml:space="preserve"> PAGEREF _Toc12917 \h </w:instrText>
        </w:r>
        <w:r>
          <w:fldChar w:fldCharType="separate"/>
        </w:r>
        <w:r>
          <w:t>38</w:t>
        </w:r>
        <w:r>
          <w:fldChar w:fldCharType="end"/>
        </w:r>
      </w:hyperlink>
    </w:p>
    <w:p>
      <w:pPr>
        <w:pStyle w:val="TOC2"/>
        <w:tabs>
          <w:tab w:val="right" w:leader="dot" w:pos="8306"/>
        </w:tabs>
      </w:pPr>
      <w:hyperlink w:anchor="_Toc13962" w:history="1">
        <w:r>
          <w:rPr>
            <w:rFonts w:ascii="仿宋" w:eastAsia="仿宋" w:hAnsi="仿宋" w:cs="仿宋" w:hint="eastAsia"/>
            <w:lang w:eastAsia="zh-CN"/>
          </w:rPr>
          <w:t>(六)、特殊环境影响分析</w:t>
        </w:r>
        <w:r>
          <w:tab/>
        </w:r>
        <w:r>
          <w:fldChar w:fldCharType="begin"/>
        </w:r>
        <w:r>
          <w:instrText xml:space="preserve"> PAGEREF _Toc13962 \h </w:instrText>
        </w:r>
        <w:r>
          <w:fldChar w:fldCharType="separate"/>
        </w:r>
        <w:r>
          <w:t>39</w:t>
        </w:r>
        <w:r>
          <w:fldChar w:fldCharType="end"/>
        </w:r>
      </w:hyperlink>
    </w:p>
    <w:p>
      <w:pPr>
        <w:pStyle w:val="TOC2"/>
        <w:tabs>
          <w:tab w:val="right" w:leader="dot" w:pos="8306"/>
        </w:tabs>
      </w:pPr>
      <w:hyperlink w:anchor="_Toc3252" w:history="1">
        <w:r>
          <w:rPr>
            <w:rFonts w:ascii="仿宋" w:eastAsia="仿宋" w:hAnsi="仿宋" w:cs="仿宋" w:hint="eastAsia"/>
            <w:lang w:eastAsia="zh-CN"/>
          </w:rPr>
          <w:t>(七)、清洁生产</w:t>
        </w:r>
        <w:r>
          <w:tab/>
        </w:r>
        <w:r>
          <w:fldChar w:fldCharType="begin"/>
        </w:r>
        <w:r>
          <w:instrText xml:space="preserve"> PAGEREF _Toc3252 \h </w:instrText>
        </w:r>
        <w:r>
          <w:fldChar w:fldCharType="separate"/>
        </w:r>
        <w:r>
          <w:t>40</w:t>
        </w:r>
        <w:r>
          <w:fldChar w:fldCharType="end"/>
        </w:r>
      </w:hyperlink>
    </w:p>
    <w:p>
      <w:pPr>
        <w:pStyle w:val="TOC2"/>
        <w:tabs>
          <w:tab w:val="right" w:leader="dot" w:pos="8306"/>
        </w:tabs>
      </w:pPr>
      <w:hyperlink w:anchor="_Toc24871" w:history="1">
        <w:r>
          <w:rPr>
            <w:rFonts w:ascii="仿宋" w:eastAsia="仿宋" w:hAnsi="仿宋" w:cs="仿宋" w:hint="eastAsia"/>
            <w:lang w:eastAsia="zh-CN"/>
          </w:rPr>
          <w:t>(八)、环境保护综合评价</w:t>
        </w:r>
        <w:r>
          <w:tab/>
        </w:r>
        <w:r>
          <w:fldChar w:fldCharType="begin"/>
        </w:r>
        <w:r>
          <w:instrText xml:space="preserve"> PAGEREF _Toc24871 \h </w:instrText>
        </w:r>
        <w:r>
          <w:fldChar w:fldCharType="separate"/>
        </w:r>
        <w:r>
          <w:t>41</w:t>
        </w:r>
        <w:r>
          <w:fldChar w:fldCharType="end"/>
        </w:r>
      </w:hyperlink>
    </w:p>
    <w:p>
      <w:pPr>
        <w:pStyle w:val="TOC1"/>
        <w:tabs>
          <w:tab w:val="right" w:leader="dot" w:pos="8306"/>
        </w:tabs>
      </w:pPr>
      <w:hyperlink w:anchor="_Toc9318" w:history="1">
        <w:r>
          <w:rPr>
            <w:rFonts w:ascii="仿宋" w:eastAsia="仿宋" w:hAnsi="仿宋" w:cs="仿宋" w:hint="eastAsia"/>
            <w:lang w:eastAsia="zh-CN"/>
          </w:rPr>
          <w:t>十一、气体分析仪项目计划安排</w:t>
        </w:r>
        <w:r>
          <w:tab/>
        </w:r>
        <w:r>
          <w:fldChar w:fldCharType="begin"/>
        </w:r>
        <w:r>
          <w:instrText xml:space="preserve"> PAGEREF _Toc9318 \h </w:instrText>
        </w:r>
        <w:r>
          <w:fldChar w:fldCharType="separate"/>
        </w:r>
        <w:r>
          <w:t>42</w:t>
        </w:r>
        <w:r>
          <w:fldChar w:fldCharType="end"/>
        </w:r>
      </w:hyperlink>
    </w:p>
    <w:p>
      <w:pPr>
        <w:pStyle w:val="TOC2"/>
        <w:tabs>
          <w:tab w:val="right" w:leader="dot" w:pos="8306"/>
        </w:tabs>
      </w:pPr>
      <w:hyperlink w:anchor="_Toc2193" w:history="1">
        <w:r>
          <w:rPr>
            <w:rFonts w:ascii="仿宋" w:eastAsia="仿宋" w:hAnsi="仿宋" w:cs="仿宋" w:hint="eastAsia"/>
            <w:lang w:eastAsia="zh-CN"/>
          </w:rPr>
          <w:t>(一)、建设周期</w:t>
        </w:r>
        <w:r>
          <w:tab/>
        </w:r>
        <w:r>
          <w:fldChar w:fldCharType="begin"/>
        </w:r>
        <w:r>
          <w:instrText xml:space="preserve"> PAGEREF _Toc2193 \h </w:instrText>
        </w:r>
        <w:r>
          <w:fldChar w:fldCharType="separate"/>
        </w:r>
        <w:r>
          <w:t>42</w:t>
        </w:r>
        <w:r>
          <w:fldChar w:fldCharType="end"/>
        </w:r>
      </w:hyperlink>
    </w:p>
    <w:p>
      <w:pPr>
        <w:pStyle w:val="TOC2"/>
        <w:tabs>
          <w:tab w:val="right" w:leader="dot" w:pos="8306"/>
        </w:tabs>
      </w:pPr>
      <w:hyperlink w:anchor="_Toc17227" w:history="1">
        <w:r>
          <w:rPr>
            <w:rFonts w:ascii="仿宋" w:eastAsia="仿宋" w:hAnsi="仿宋" w:cs="仿宋" w:hint="eastAsia"/>
            <w:lang w:eastAsia="zh-CN"/>
          </w:rPr>
          <w:t>(二)、建设进度</w:t>
        </w:r>
        <w:r>
          <w:tab/>
        </w:r>
        <w:r>
          <w:fldChar w:fldCharType="begin"/>
        </w:r>
        <w:r>
          <w:instrText xml:space="preserve"> PAGEREF _Toc17227 \h </w:instrText>
        </w:r>
        <w:r>
          <w:fldChar w:fldCharType="separate"/>
        </w:r>
        <w:r>
          <w:t>43</w:t>
        </w:r>
        <w:r>
          <w:fldChar w:fldCharType="end"/>
        </w:r>
      </w:hyperlink>
    </w:p>
    <w:p>
      <w:pPr>
        <w:pStyle w:val="TOC2"/>
        <w:tabs>
          <w:tab w:val="right" w:leader="dot" w:pos="8306"/>
        </w:tabs>
      </w:pPr>
      <w:hyperlink w:anchor="_Toc19104" w:history="1">
        <w:r>
          <w:rPr>
            <w:rFonts w:ascii="仿宋" w:eastAsia="仿宋" w:hAnsi="仿宋" w:cs="仿宋" w:hint="eastAsia"/>
            <w:lang w:eastAsia="zh-CN"/>
          </w:rPr>
          <w:t>(三)、进度安排注意事项</w:t>
        </w:r>
        <w:r>
          <w:tab/>
        </w:r>
        <w:r>
          <w:fldChar w:fldCharType="begin"/>
        </w:r>
        <w:r>
          <w:instrText xml:space="preserve"> PAGEREF _Toc19104 \h </w:instrText>
        </w:r>
        <w:r>
          <w:fldChar w:fldCharType="separate"/>
        </w:r>
        <w:r>
          <w:t>44</w:t>
        </w:r>
        <w:r>
          <w:fldChar w:fldCharType="end"/>
        </w:r>
      </w:hyperlink>
    </w:p>
    <w:p>
      <w:pPr>
        <w:pStyle w:val="TOC2"/>
        <w:tabs>
          <w:tab w:val="right" w:leader="dot" w:pos="8306"/>
        </w:tabs>
      </w:pPr>
      <w:hyperlink w:anchor="_Toc1670" w:history="1">
        <w:r>
          <w:rPr>
            <w:rFonts w:ascii="仿宋" w:eastAsia="仿宋" w:hAnsi="仿宋" w:cs="仿宋" w:hint="eastAsia"/>
            <w:lang w:eastAsia="zh-CN"/>
          </w:rPr>
          <w:t>(四)、人力资源配置</w:t>
        </w:r>
        <w:r>
          <w:tab/>
        </w:r>
        <w:r>
          <w:fldChar w:fldCharType="begin"/>
        </w:r>
        <w:r>
          <w:instrText xml:space="preserve"> PAGEREF _Toc1670 \h </w:instrText>
        </w:r>
        <w:r>
          <w:fldChar w:fldCharType="separate"/>
        </w:r>
        <w:r>
          <w:t>46</w:t>
        </w:r>
        <w:r>
          <w:fldChar w:fldCharType="end"/>
        </w:r>
      </w:hyperlink>
    </w:p>
    <w:p>
      <w:pPr>
        <w:pStyle w:val="TOC1"/>
        <w:tabs>
          <w:tab w:val="right" w:leader="dot" w:pos="8306"/>
        </w:tabs>
      </w:pPr>
      <w:hyperlink w:anchor="_Toc13268" w:history="1">
        <w:r>
          <w:rPr>
            <w:rFonts w:ascii="仿宋" w:eastAsia="仿宋" w:hAnsi="仿宋" w:cs="仿宋" w:hint="eastAsia"/>
            <w:lang w:eastAsia="zh-CN"/>
          </w:rPr>
          <w:t>十二、气体分析仪项目技术管理</w:t>
        </w:r>
        <w:r>
          <w:tab/>
        </w:r>
        <w:r>
          <w:fldChar w:fldCharType="begin"/>
        </w:r>
        <w:r>
          <w:instrText xml:space="preserve"> PAGEREF _Toc13268 \h </w:instrText>
        </w:r>
        <w:r>
          <w:fldChar w:fldCharType="separate"/>
        </w:r>
        <w:r>
          <w:t>46</w:t>
        </w:r>
        <w:r>
          <w:fldChar w:fldCharType="end"/>
        </w:r>
      </w:hyperlink>
    </w:p>
    <w:p>
      <w:pPr>
        <w:pStyle w:val="TOC2"/>
        <w:tabs>
          <w:tab w:val="right" w:leader="dot" w:pos="8306"/>
        </w:tabs>
      </w:pPr>
      <w:hyperlink w:anchor="_Toc17630" w:history="1">
        <w:r>
          <w:rPr>
            <w:rFonts w:ascii="仿宋" w:eastAsia="仿宋" w:hAnsi="仿宋" w:cs="仿宋" w:hint="eastAsia"/>
            <w:lang w:eastAsia="zh-CN"/>
          </w:rPr>
          <w:t>(一)、技术方案选用方向</w:t>
        </w:r>
        <w:r>
          <w:tab/>
        </w:r>
        <w:r>
          <w:fldChar w:fldCharType="begin"/>
        </w:r>
        <w:r>
          <w:instrText xml:space="preserve"> PAGEREF _Toc17630 \h </w:instrText>
        </w:r>
        <w:r>
          <w:fldChar w:fldCharType="separate"/>
        </w:r>
        <w:r>
          <w:t>46</w:t>
        </w:r>
        <w:r>
          <w:fldChar w:fldCharType="end"/>
        </w:r>
      </w:hyperlink>
    </w:p>
    <w:p>
      <w:pPr>
        <w:pStyle w:val="TOC2"/>
        <w:tabs>
          <w:tab w:val="right" w:leader="dot" w:pos="8306"/>
        </w:tabs>
      </w:pPr>
      <w:hyperlink w:anchor="_Toc21263" w:history="1">
        <w:r>
          <w:rPr>
            <w:rFonts w:ascii="仿宋" w:eastAsia="仿宋" w:hAnsi="仿宋" w:cs="仿宋" w:hint="eastAsia"/>
            <w:lang w:eastAsia="zh-CN"/>
          </w:rPr>
          <w:t>(二)、工艺技术方案选用原则</w:t>
        </w:r>
        <w:r>
          <w:tab/>
        </w:r>
        <w:r>
          <w:fldChar w:fldCharType="begin"/>
        </w:r>
        <w:r>
          <w:instrText xml:space="preserve"> PAGEREF _Toc21263 \h </w:instrText>
        </w:r>
        <w:r>
          <w:fldChar w:fldCharType="separate"/>
        </w:r>
        <w:r>
          <w:t>48</w:t>
        </w:r>
        <w:r>
          <w:fldChar w:fldCharType="end"/>
        </w:r>
      </w:hyperlink>
    </w:p>
    <w:p>
      <w:pPr>
        <w:pStyle w:val="TOC2"/>
        <w:tabs>
          <w:tab w:val="right" w:leader="dot" w:pos="8306"/>
        </w:tabs>
      </w:pPr>
      <w:hyperlink w:anchor="_Toc32765" w:history="1">
        <w:r>
          <w:rPr>
            <w:rFonts w:ascii="仿宋" w:eastAsia="仿宋" w:hAnsi="仿宋" w:cs="仿宋" w:hint="eastAsia"/>
            <w:lang w:eastAsia="zh-CN"/>
          </w:rPr>
          <w:t>(三)、工艺技术方案要求</w:t>
        </w:r>
        <w:r>
          <w:tab/>
        </w:r>
        <w:r>
          <w:fldChar w:fldCharType="begin"/>
        </w:r>
        <w:r>
          <w:instrText xml:space="preserve"> PAGEREF _Toc32765 \h </w:instrText>
        </w:r>
        <w:r>
          <w:fldChar w:fldCharType="separate"/>
        </w:r>
        <w:r>
          <w:t>50</w:t>
        </w:r>
        <w:r>
          <w:fldChar w:fldCharType="end"/>
        </w:r>
      </w:hyperlink>
    </w:p>
    <w:p>
      <w:pPr>
        <w:pStyle w:val="TOC1"/>
        <w:tabs>
          <w:tab w:val="right" w:leader="dot" w:pos="8306"/>
        </w:tabs>
      </w:pPr>
      <w:hyperlink w:anchor="_Toc24676" w:history="1">
        <w:r>
          <w:rPr>
            <w:rFonts w:ascii="仿宋" w:eastAsia="仿宋" w:hAnsi="仿宋" w:cs="仿宋" w:hint="eastAsia"/>
            <w:lang w:eastAsia="zh-CN"/>
          </w:rPr>
          <w:t>十三、利益相关者分析与沟通计划</w:t>
        </w:r>
        <w:r>
          <w:tab/>
        </w:r>
        <w:r>
          <w:fldChar w:fldCharType="begin"/>
        </w:r>
        <w:r>
          <w:instrText xml:space="preserve"> PAGEREF _Toc24676 \h </w:instrText>
        </w:r>
        <w:r>
          <w:fldChar w:fldCharType="separate"/>
        </w:r>
        <w:r>
          <w:t>53</w:t>
        </w:r>
        <w:r>
          <w:fldChar w:fldCharType="end"/>
        </w:r>
      </w:hyperlink>
    </w:p>
    <w:p>
      <w:pPr>
        <w:pStyle w:val="TOC2"/>
        <w:tabs>
          <w:tab w:val="right" w:leader="dot" w:pos="8306"/>
        </w:tabs>
      </w:pPr>
      <w:hyperlink w:anchor="_Toc138" w:history="1">
        <w:r>
          <w:rPr>
            <w:rFonts w:ascii="仿宋" w:eastAsia="仿宋" w:hAnsi="仿宋" w:cs="仿宋" w:hint="eastAsia"/>
            <w:lang w:eastAsia="zh-CN"/>
          </w:rPr>
          <w:t>(一)、利益相关者分析</w:t>
        </w:r>
        <w:r>
          <w:tab/>
        </w:r>
        <w:r>
          <w:fldChar w:fldCharType="begin"/>
        </w:r>
        <w:r>
          <w:instrText xml:space="preserve"> PAGEREF _Toc138 \h </w:instrText>
        </w:r>
        <w:r>
          <w:fldChar w:fldCharType="separate"/>
        </w:r>
        <w:r>
          <w:t>53</w:t>
        </w:r>
        <w:r>
          <w:fldChar w:fldCharType="end"/>
        </w:r>
      </w:hyperlink>
    </w:p>
    <w:p>
      <w:pPr>
        <w:pStyle w:val="TOC2"/>
        <w:tabs>
          <w:tab w:val="right" w:leader="dot" w:pos="8306"/>
        </w:tabs>
      </w:pPr>
      <w:hyperlink w:anchor="_Toc14130" w:history="1">
        <w:r>
          <w:rPr>
            <w:rFonts w:ascii="仿宋" w:eastAsia="仿宋" w:hAnsi="仿宋" w:cs="仿宋" w:hint="eastAsia"/>
            <w:lang w:eastAsia="zh-CN"/>
          </w:rPr>
          <w:t>(二)、沟通计划</w:t>
        </w:r>
        <w:r>
          <w:tab/>
        </w:r>
        <w:r>
          <w:fldChar w:fldCharType="begin"/>
        </w:r>
        <w:r>
          <w:instrText xml:space="preserve"> PAGEREF _Toc14130 \h </w:instrText>
        </w:r>
        <w:r>
          <w:fldChar w:fldCharType="separate"/>
        </w:r>
        <w:r>
          <w:t>54</w:t>
        </w:r>
        <w:r>
          <w:fldChar w:fldCharType="end"/>
        </w:r>
      </w:hyperlink>
    </w:p>
    <w:p>
      <w:pPr>
        <w:pStyle w:val="TOC1"/>
        <w:tabs>
          <w:tab w:val="right" w:leader="dot" w:pos="8306"/>
        </w:tabs>
      </w:pPr>
      <w:hyperlink w:anchor="_Toc31841" w:history="1">
        <w:r>
          <w:rPr>
            <w:rFonts w:ascii="仿宋" w:eastAsia="仿宋" w:hAnsi="仿宋" w:cs="仿宋" w:hint="eastAsia"/>
            <w:lang w:eastAsia="zh-CN"/>
          </w:rPr>
          <w:t>十四、风险识别与分类</w:t>
        </w:r>
        <w:r>
          <w:tab/>
        </w:r>
        <w:r>
          <w:fldChar w:fldCharType="begin"/>
        </w:r>
        <w:r>
          <w:instrText xml:space="preserve"> PAGEREF _Toc31841 \h </w:instrText>
        </w:r>
        <w:r>
          <w:fldChar w:fldCharType="separate"/>
        </w:r>
        <w:r>
          <w:t>55</w:t>
        </w:r>
        <w:r>
          <w:fldChar w:fldCharType="end"/>
        </w:r>
      </w:hyperlink>
    </w:p>
    <w:p>
      <w:pPr>
        <w:pStyle w:val="TOC2"/>
        <w:tabs>
          <w:tab w:val="right" w:leader="dot" w:pos="8306"/>
        </w:tabs>
      </w:pPr>
      <w:hyperlink w:anchor="_Toc9746" w:history="1">
        <w:r>
          <w:rPr>
            <w:rFonts w:ascii="仿宋" w:eastAsia="仿宋" w:hAnsi="仿宋" w:cs="仿宋" w:hint="eastAsia"/>
            <w:lang w:eastAsia="zh-CN"/>
          </w:rPr>
          <w:t>(一)、风险识别</w:t>
        </w:r>
        <w:r>
          <w:tab/>
        </w:r>
        <w:r>
          <w:fldChar w:fldCharType="begin"/>
        </w:r>
        <w:r>
          <w:instrText xml:space="preserve"> PAGEREF _Toc9746 \h </w:instrText>
        </w:r>
        <w:r>
          <w:fldChar w:fldCharType="separate"/>
        </w:r>
        <w:r>
          <w:t>55</w:t>
        </w:r>
        <w:r>
          <w:fldChar w:fldCharType="end"/>
        </w:r>
      </w:hyperlink>
    </w:p>
    <w:p>
      <w:pPr>
        <w:pStyle w:val="TOC2"/>
        <w:tabs>
          <w:tab w:val="right" w:leader="dot" w:pos="8306"/>
        </w:tabs>
      </w:pPr>
      <w:hyperlink w:anchor="_Toc24367" w:history="1">
        <w:r>
          <w:rPr>
            <w:rFonts w:ascii="仿宋" w:eastAsia="仿宋" w:hAnsi="仿宋" w:cs="仿宋" w:hint="eastAsia"/>
            <w:lang w:eastAsia="zh-CN"/>
          </w:rPr>
          <w:t>(二)、风险分类</w:t>
        </w:r>
        <w:r>
          <w:tab/>
        </w:r>
        <w:r>
          <w:fldChar w:fldCharType="begin"/>
        </w:r>
        <w:r>
          <w:instrText xml:space="preserve"> PAGEREF _Toc24367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62"/>
      <w:r>
        <w:rPr>
          <w:rFonts w:ascii="仿宋" w:eastAsia="仿宋" w:hAnsi="仿宋" w:cs="仿宋" w:hint="eastAsia"/>
          <w:sz w:val="28"/>
          <w:lang w:eastAsia="zh-CN"/>
        </w:rPr>
        <w:t>一、气体分析仪项目土建工程</w:t>
      </w:r>
      <w:bookmarkEnd w:id="2"/>
    </w:p>
    <w:p>
      <w:pPr>
        <w:pStyle w:val="Heading2"/>
        <w:rPr>
          <w:rFonts w:ascii="仿宋" w:eastAsia="仿宋" w:hAnsi="仿宋" w:cs="仿宋" w:hint="eastAsia"/>
          <w:lang w:eastAsia="zh-CN"/>
        </w:rPr>
      </w:pPr>
      <w:bookmarkStart w:id="3" w:name="_Toc221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在气体分析仪项目的建筑工程设计中，我们将秉承一系列重要的设计原则，以确保气体分析仪项目建筑在功能、美观、可持续性等方面达到最佳效果。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首要原则是确保建筑的功能性得到最大化的发挥。我们将充分理解气体分析仪项目的实际需求，合理布局各个功能区域，保证建筑在满足业务需求的同时，提供高效的工作环境。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在建筑设计中，我们将综合考虑建设和运营成本。通过精细的经济效益分析，确保设计方案在高效利用资源的同时，对气体分析仪项目的长期盈利能力有积极的贡献。</w:t>
      </w:r>
    </w:p>
    <w:p>
      <w:pPr>
        <w:pStyle w:val="Heading2"/>
        <w:ind w:firstLine="560" w:firstLineChars="200"/>
        <w:rPr>
          <w:rFonts w:ascii="仿宋" w:eastAsia="仿宋" w:hAnsi="仿宋" w:cs="仿宋" w:hint="eastAsia"/>
          <w:sz w:val="28"/>
          <w:lang w:eastAsia="zh-CN"/>
        </w:rPr>
      </w:pPr>
      <w:bookmarkStart w:id="4" w:name="_Toc118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分析仪项目的土建工程设计中，我们将精准设定设计年限，结合气体分析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体分析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气体分析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体分析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体分析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5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本期工程气体分析仪项目预计总建筑面积XXX平方米，其中：计容建筑面积XXX平方米，计划建筑工程投资XX万元，占气体分析仪项目总投资的XX%。</w:t>
      </w:r>
    </w:p>
    <w:p>
      <w:pPr>
        <w:pStyle w:val="Heading1"/>
        <w:ind w:firstLine="560" w:firstLineChars="200"/>
        <w:rPr>
          <w:rFonts w:ascii="仿宋" w:eastAsia="仿宋" w:hAnsi="仿宋" w:cs="仿宋" w:hint="eastAsia"/>
          <w:sz w:val="28"/>
          <w:lang w:eastAsia="zh-CN"/>
        </w:rPr>
      </w:pPr>
      <w:bookmarkStart w:id="7" w:name="_Toc7646"/>
      <w:r>
        <w:rPr>
          <w:rFonts w:ascii="仿宋" w:eastAsia="仿宋" w:hAnsi="仿宋" w:cs="仿宋" w:hint="eastAsia"/>
          <w:sz w:val="28"/>
          <w:lang w:eastAsia="zh-CN"/>
        </w:rPr>
        <w:t>二、气体分析仪项目绩效评估</w:t>
      </w:r>
      <w:bookmarkEnd w:id="7"/>
    </w:p>
    <w:p>
      <w:pPr>
        <w:pStyle w:val="Heading2"/>
        <w:rPr>
          <w:rFonts w:ascii="仿宋" w:eastAsia="仿宋" w:hAnsi="仿宋" w:cs="仿宋" w:hint="eastAsia"/>
          <w:lang w:eastAsia="zh-CN"/>
        </w:rPr>
      </w:pPr>
      <w:bookmarkStart w:id="8" w:name="_Toc345"/>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气体分析仪项目中，我们设计了一套全面的绩效评估指标，以确保气体分析仪项目的可控和成功交付。这些指标跨足气体分析仪项目目标、成本、进度和质量等多个维度，为我们提供了全面洞察气体分析仪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目标达成率是我们关注的首要指标。我们设定了明确的目标，并通过定期监测和评估，迅速发现并应对潜在的目标偏差。这为气体分析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成本绩效是另一个核心关注点。通过实际成本与预算成本的对比分析，我们深入了解成本差异的原因，及时调整资源分配，保持气体分析仪项目在经济效益方面的合理水平。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进度作为关键的绩效指标之一，得到了精心的关注。我们制定了详细的气体分析仪项目进度计划，并设立了进度符合度指标，确保实际进度与计划进度保持一致。这使我们能够快速发现和解决潜在的进度问题，保持气体分析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体分析仪项目绩效的不可或缺的一环。我们引入了一系列的质量标准和客户满意度指标，以确保气体分析仪项目交付的成果在质量上达到或超越预期水平。通过持续监测这些指标，我们努力提升气体分析仪项目整体质量水平，为气体分析仪项目的成功交付提供有力保障。通过这些科学且全面的绩效评估，我们能够更好地引导气体分析仪项目的持续改进，确保气体分析仪项目目标的顺利达成。</w:t>
      </w:r>
    </w:p>
    <w:p>
      <w:pPr>
        <w:pStyle w:val="Heading2"/>
        <w:ind w:firstLine="560" w:firstLineChars="200"/>
        <w:rPr>
          <w:rFonts w:ascii="仿宋" w:eastAsia="仿宋" w:hAnsi="仿宋" w:cs="仿宋" w:hint="eastAsia"/>
          <w:sz w:val="28"/>
          <w:lang w:eastAsia="zh-CN"/>
        </w:rPr>
      </w:pPr>
      <w:bookmarkStart w:id="9" w:name="_Toc12274"/>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绩效评估是气体分析仪项目中的关键环节，为确保气体分析仪项目达到预期目标，我们采用了多层次、多维度的绩效评估方法。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体分析仪项目的战略目标对齐，确保每个决策和行动都与气体分析仪项目整体目标保持一致。团队会定期召开战略对齐会议，审视当前工作与气体分析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体分析仪项目进度、质量、成本和风险等方面。这些指标通过数据收集和分析，为气体分析仪项目管理团队提供了客观的评估依据。例如，我们通过气体分析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绩效评估不仅仅停留在气体分析仪项目内部，还考虑了气体分析仪项目对外部环境的影响。我们定期进行干系人满意度调查，以了解各利益相关方对气体分析仪项目的期望和满意度，并及时做出调整。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这种多层次、多角度的绩效评估方法，使得我们能够全面了解气体分析仪项目的运行状态，及时做出调整，确保气体分析仪项目在不断变化的环境中保持稳健前行。</w:t>
      </w:r>
    </w:p>
    <w:p>
      <w:pPr>
        <w:pStyle w:val="Heading2"/>
        <w:ind w:firstLine="560" w:firstLineChars="200"/>
        <w:rPr>
          <w:rFonts w:ascii="仿宋" w:eastAsia="仿宋" w:hAnsi="仿宋" w:cs="仿宋" w:hint="eastAsia"/>
          <w:sz w:val="28"/>
          <w:lang w:eastAsia="zh-CN"/>
        </w:rPr>
      </w:pPr>
      <w:bookmarkStart w:id="10" w:name="_Toc1126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为了确保气体分析仪项目的有效管理和不断优化，我们采用了精心设计的绩效评估周期。这个周期旨在实现灵活、实时和全面的评估，以适应气体分析仪项目执行中的各种挑战。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体分析仪项目的不同需求，分为短期、中期和长期。短期评估关注每个迭代或工作周期，以及时发现和解决当前任务中的问题。中期评估涵盖几个迭代，深入了解整体气体分析仪项目的趋势和性能。长期评估则着眼于整个气体分析仪项目阶段，确保气体分析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气体分析仪项目管理工具和协作平台，团队成员能够随时更新和分享气体分析仪项目数据。这种实时性的反馈机制使我们能够及时察觉潜在问题，快速调整，保持气体分析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体分析仪项目的决策制定密不可分。每个周期的气体分析仪项目回顾会议成为集体总结经验、识别问题深层次原因并找到创新解决方案的平台。这种定期的反思与调整机制使气体分析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0112"/>
      <w:r>
        <w:rPr>
          <w:rFonts w:ascii="仿宋" w:eastAsia="仿宋" w:hAnsi="仿宋" w:cs="仿宋" w:hint="eastAsia"/>
          <w:sz w:val="28"/>
          <w:lang w:eastAsia="zh-CN"/>
        </w:rPr>
        <w:t>三、气体分析仪项目文档管理</w:t>
      </w:r>
      <w:bookmarkEnd w:id="11"/>
    </w:p>
    <w:p>
      <w:pPr>
        <w:pStyle w:val="Heading2"/>
        <w:rPr>
          <w:rFonts w:ascii="仿宋" w:eastAsia="仿宋" w:hAnsi="仿宋" w:cs="仿宋" w:hint="eastAsia"/>
          <w:lang w:eastAsia="zh-CN"/>
        </w:rPr>
      </w:pPr>
      <w:bookmarkStart w:id="12" w:name="_Toc421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气体分析仪项目高度重视文档的质量和准确性，以支持气体分析仪项目的各项活动和决策。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文档的编制始于气体分析仪项目计划的初期，我们制定了详细的文档编制计划，明确了每个文档的内容、格式和编写责任人。在气体分析仪项目启动阶段，我们首先编制了气体分析仪项目章程，明确定义了气体分析仪项目的目标、范围、风险等关键要素。随后，气体分析仪项目团队根据计划陆续编制了需求文档、设计文档、测试文档等各类文档，确保气体分析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体分析仪项目管理中的重要环节，旨在确保气体分析仪项目文档符合质量标准和气体分析仪项目需求。在气体分析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体分析仪项目相关利益方和专业领域的专家对文档进行独立审查。这有助于获取更全面、客观的反馈，确保气体分析仪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气体分析仪项目在文档编制与审查方面建立了严格的管理机制，通过规范的流程和多维度的审查，确保气体分析仪项目文档的质量、准确性和可靠性，为气体分析仪项目的顺利推进提供了有力支持。</w:t>
      </w:r>
    </w:p>
    <w:p>
      <w:pPr>
        <w:pStyle w:val="Heading2"/>
        <w:ind w:firstLine="560" w:firstLineChars="200"/>
        <w:rPr>
          <w:rFonts w:ascii="仿宋" w:eastAsia="仿宋" w:hAnsi="仿宋" w:cs="仿宋" w:hint="eastAsia"/>
          <w:sz w:val="28"/>
          <w:lang w:eastAsia="zh-CN"/>
        </w:rPr>
      </w:pPr>
      <w:bookmarkStart w:id="13" w:name="_Toc99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在气体分析仪项目中，我们致力于优化文档发布与分发过程，以确保信息的高效传递和团队间协作的顺畅进行。以下是我们采取的关键优化策略：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我们通过多渠道发布文档，包括电子邮件、气体分析仪项目管理平台、内部网站等，以满足不同团队成员的偏好和需求。多渠道发布确保了信息的全面覆盖。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我们采用了精细的权限控制，确保只有授权人员可以访问敏感信息。这种安全措施保护了气体分析仪项目文档的机密性，防止了未经授权的信息泄露。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34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文档存档与归档是气体分析仪项目生命周期中一个至关重要的环节，直接关系到气体分析仪项目信息的长期保存和历史记录的完整性。在气体分析仪项目中，我们实施了一系列有效的文档存档与归档管理策略：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6152"/>
      <w:r>
        <w:rPr>
          <w:rFonts w:ascii="仿宋" w:eastAsia="仿宋" w:hAnsi="仿宋" w:cs="仿宋" w:hint="eastAsia"/>
          <w:sz w:val="28"/>
          <w:lang w:eastAsia="zh-CN"/>
        </w:rPr>
        <w:t>四、气体分析仪项目可持续发展</w:t>
      </w:r>
      <w:bookmarkEnd w:id="15"/>
    </w:p>
    <w:p>
      <w:pPr>
        <w:pStyle w:val="Heading2"/>
        <w:rPr>
          <w:rFonts w:ascii="仿宋" w:eastAsia="仿宋" w:hAnsi="仿宋" w:cs="仿宋" w:hint="eastAsia"/>
          <w:lang w:eastAsia="zh-CN"/>
        </w:rPr>
      </w:pPr>
      <w:bookmarkStart w:id="16" w:name="_Toc3245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分析仪项目中，气体分析仪项目团队着眼于未来，明确了可持续发展的战略方向。制定的具体可持续发展目标包括降低资源使用、采用环保技术、最大化社会效益等。这一步骤不仅有助于气体分析仪项目在环保和社会责任方面达到最高标准，也为未来提供了明确的指引，确保气体分析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可持续实践的融入气体分析仪项目管理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气体分析仪项目管理周期。从气体分析仪项目规划开始，气体分析仪项目团队就考虑了环境和社会的因素。在执行阶段，气体分析仪项目团队积极推动绿色技术的应用，优化资源利用。此外，关注员工的社会责任，通过培训和沟通活动提高员工对可持续发展的认知，使他们能够在日常工作中践行可持续实践。这些举措不仅为气体分析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711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扎根于气体分析仪项目的可持续发展理念，我们深信环保与社会责任是气体分析仪项目成功的关键支柱。在气体分析仪项目的每一步，我们都致力于通过创新和实践，履行对环境和社会的坚定责任。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团队通过引入先进的环保技术、建立高效的废物处理系统以及推动能源节约措施，积极履行环保责任。定期的环保监测和评估确保气体分析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不仅致力于自身可持续发展，还注重对社会的回馈。通过支持社区气体分析仪项目、参与慈善事业、提供培训机会等方式，气体分析仪项目积极履行社会责任。与当地社区建立积极互动，关注员工的工作与生活平衡，以及员工的身心健康，是气体分析仪项目在社会责任层面的关键举措。这样的实践不仅增强了气体分析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796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71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气体分析仪项目的主要产品是XXXX，预计年产值为XXX万元。这一产品在市场中占据着重要的地位，其广泛的应用范围使得该气体分析仪项目的市场前景非常广阔。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体分析仪项目的xxx产品作为重要的原材料之一，将在多个领域发挥关键作用。其在建筑、交通、能源等方面的广泛应用将为整个产业链提供强大的支持，形成产业协同效应。气体分析仪项目的年产值XXX万XXX万XXX万万元不仅反映了其在市场上的巨大潜力，更预示着它对国民经济的积极贡献。这种关联度高、涉及面广的产业关系，使得该气体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657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总征地面积为XXXX平方米，相当于约XX.XX亩，其中净用地面积为XXXX平方米，红线范围内相当于约XX.XX亩。这一用地规模充分考虑了气体分析仪项目的建设需求，保障了气体分析仪项目在合适的空间内得以充分发展。气体分析仪项目规划的总建筑面积为XXXX平方米，其中主体工程建设占XXXX平方米，计容建筑面积达XXXX平方米。预计建筑工程的投资将达到XXXX万元，为气体分析仪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计划购置的设备共计XXXX台（套），设备购置费用为XXXX万元。这一设备购置计划充分考虑到气体分析仪项目的生产需求和技术要求，确保了气体分析仪项目在生产运营中具备先进的技术装备和高效的生产能力。设备的合理配置将为气体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计划总投资为XXXX万元，预计年实现营业收入为XXXX万元。这一产能规模的设定旨在确保气体分析仪项目能够在投资与回报之间取得平衡，实现长期可持续的发展。气体分析仪项目的总投资充分考虑到各个方面的需求，包括用地建设、设备购置等多个环节，以确保气体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19814"/>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27935"/>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气体分析仪项目的技术管理特点体现在其创新导向。通过引入最先进的技术趋势和解决方案，气体分析仪项目致力于提升科技含量、提高质量和效率水平。这意味着我们将采用最新的工具和方法，确保气体分析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https://d.book118.com/737111016063006035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3C1122"/>
    <w:rsid w:val="043C11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1101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2024-01-28T17:28:00Z</dcterms:created>
  <dcterms:modified xsi:type="dcterms:W3CDTF">2024-01-28T17:28:49Z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DE69108B53CB47678BA480B14917D15C_11</vt:lpwstr>
  </property>
  <property fmtid="{D5CDD505-2E9C-101B-9397-08002B2CF9AE}" pid="3" name="KSOProductBuildVer">
    <vt:lpwstr>2052-12.1.0.16120</vt:lpwstr>
  </property>
</Properties>
</file>