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54" w:lineRule="auto"/>
        <w:rPr>
          <w:rFonts w:ascii="Arial"/>
          <w:sz w:val="21"/>
        </w:rPr>
      </w:pPr>
    </w:p>
    <w:p>
      <w:pPr>
        <w:spacing w:before="97" w:line="220" w:lineRule="auto"/>
        <w:ind w:left="2964"/>
        <w:outlineLvl w:val="0"/>
        <w:rPr>
          <w:rFonts w:ascii="SimHei" w:eastAsia="SimHei" w:hAnsi="SimHei" w:cs="SimHei"/>
          <w:sz w:val="30"/>
          <w:szCs w:val="30"/>
        </w:rPr>
      </w:pPr>
      <w:r>
        <w:rPr>
          <w:rFonts w:ascii="SimHei" w:eastAsia="SimHei" w:hAnsi="SimHei" w:cs="SimHei"/>
          <w:b/>
          <w:bCs/>
          <w:spacing w:val="4"/>
          <w:sz w:val="30"/>
          <w:szCs w:val="30"/>
        </w:rPr>
        <w:t>粉尘浓度测量仪检定规程</w:t>
      </w:r>
    </w:p>
    <w:p>
      <w:pPr>
        <w:spacing w:line="454" w:lineRule="auto"/>
        <w:rPr>
          <w:rFonts w:ascii="Arial"/>
          <w:sz w:val="21"/>
        </w:rPr>
      </w:pPr>
    </w:p>
    <w:p>
      <w:pPr>
        <w:spacing w:before="78" w:line="223" w:lineRule="auto"/>
        <w:ind w:left="3"/>
        <w:rPr>
          <w:rFonts w:ascii="SimHei" w:eastAsia="SimHei" w:hAnsi="SimHei" w:cs="SimHei"/>
          <w:sz w:val="24"/>
          <w:szCs w:val="24"/>
        </w:rPr>
      </w:pPr>
      <w:r>
        <w:rPr>
          <w:rFonts w:ascii="SimHei" w:eastAsia="SimHei" w:hAnsi="SimHei" w:cs="SimHei"/>
          <w:b/>
          <w:bCs/>
          <w:spacing w:val="-9"/>
          <w:sz w:val="24"/>
          <w:szCs w:val="24"/>
        </w:rPr>
        <w:t>1</w:t>
      </w:r>
      <w:r>
        <w:rPr>
          <w:rFonts w:ascii="SimHei" w:eastAsia="SimHei" w:hAnsi="SimHei" w:cs="SimHei"/>
          <w:spacing w:val="-9"/>
          <w:sz w:val="24"/>
          <w:szCs w:val="24"/>
        </w:rPr>
        <w:t xml:space="preserve">  </w:t>
      </w:r>
      <w:r>
        <w:rPr>
          <w:rFonts w:ascii="SimHei" w:eastAsia="SimHei" w:hAnsi="SimHei" w:cs="SimHei"/>
          <w:b/>
          <w:bCs/>
          <w:spacing w:val="-9"/>
          <w:sz w:val="24"/>
          <w:szCs w:val="24"/>
        </w:rPr>
        <w:t>范围</w:t>
      </w:r>
    </w:p>
    <w:p>
      <w:pPr>
        <w:pStyle w:val="BodyText"/>
        <w:spacing w:before="262" w:line="256" w:lineRule="auto"/>
        <w:ind w:right="103" w:firstLine="480"/>
      </w:pPr>
      <w:r>
        <w:rPr>
          <w:spacing w:val="7"/>
        </w:rPr>
        <w:t>本规程适用于粉尘浓度测量仪(以下简称粉尘仪)的首次检定、后续检定及使用中</w:t>
      </w:r>
      <w:r>
        <w:rPr>
          <w:spacing w:val="13"/>
        </w:rPr>
        <w:t xml:space="preserve"> </w:t>
      </w:r>
      <w:r>
        <w:rPr>
          <w:spacing w:val="-10"/>
        </w:rPr>
        <w:t>检查。</w:t>
      </w:r>
    </w:p>
    <w:p>
      <w:pPr>
        <w:spacing w:before="239" w:line="221" w:lineRule="auto"/>
        <w:ind w:left="3"/>
        <w:rPr>
          <w:rFonts w:ascii="SimHei" w:eastAsia="SimHei" w:hAnsi="SimHei" w:cs="SimHei"/>
          <w:sz w:val="24"/>
          <w:szCs w:val="24"/>
        </w:rPr>
      </w:pPr>
      <w:r>
        <w:rPr>
          <w:rFonts w:ascii="SimHei" w:eastAsia="SimHei" w:hAnsi="SimHei" w:cs="SimHei"/>
          <w:b/>
          <w:bCs/>
          <w:spacing w:val="-7"/>
          <w:sz w:val="24"/>
          <w:szCs w:val="24"/>
        </w:rPr>
        <w:t>2</w:t>
      </w:r>
      <w:r>
        <w:rPr>
          <w:rFonts w:ascii="SimHei" w:eastAsia="SimHei" w:hAnsi="SimHei" w:cs="SimHei"/>
          <w:spacing w:val="4"/>
          <w:sz w:val="24"/>
          <w:szCs w:val="24"/>
        </w:rPr>
        <w:t xml:space="preserve">  </w:t>
      </w:r>
      <w:r>
        <w:rPr>
          <w:rFonts w:ascii="SimHei" w:eastAsia="SimHei" w:hAnsi="SimHei" w:cs="SimHei"/>
          <w:b/>
          <w:bCs/>
          <w:spacing w:val="-7"/>
          <w:sz w:val="24"/>
          <w:szCs w:val="24"/>
        </w:rPr>
        <w:t>概述</w:t>
      </w:r>
    </w:p>
    <w:p>
      <w:pPr>
        <w:pStyle w:val="BodyText"/>
        <w:spacing w:before="256" w:line="258" w:lineRule="auto"/>
        <w:ind w:right="138" w:firstLine="480"/>
        <w:jc w:val="both"/>
      </w:pPr>
      <w:r>
        <w:t>粉尘仪是用于测量悬浮在空气中颗粒物质量浓度的仪器，并</w:t>
      </w:r>
      <w:r>
        <w:rPr>
          <w:spacing w:val="-1"/>
        </w:rPr>
        <w:t>能显示浓度值或输出浓</w:t>
      </w:r>
      <w:r>
        <w:t xml:space="preserve"> </w:t>
      </w:r>
      <w:r>
        <w:t>度信号。粉尘仪的原理主要是用光散射法、β射线法及光透法等</w:t>
      </w:r>
      <w:r>
        <w:rPr>
          <w:spacing w:val="-1"/>
        </w:rPr>
        <w:t>将粉尘浓度信号转换成</w:t>
      </w:r>
      <w:r>
        <w:t xml:space="preserve"> </w:t>
      </w:r>
      <w:r>
        <w:rPr>
          <w:spacing w:val="-4"/>
        </w:rPr>
        <w:t>电信号，再通过二次仪表显示。</w:t>
      </w:r>
    </w:p>
    <w:p>
      <w:pPr>
        <w:pStyle w:val="BodyText"/>
        <w:spacing w:before="84" w:line="258" w:lineRule="auto"/>
        <w:ind w:right="10" w:firstLine="480"/>
        <w:jc w:val="both"/>
      </w:pPr>
      <w:r>
        <w:rPr>
          <w:spacing w:val="10"/>
        </w:rPr>
        <w:t>粉尘仪一般由粉尘浓度转换组件、采样头(含切割器或分离器)、抽气泵、电源、</w:t>
      </w:r>
      <w:r>
        <w:t xml:space="preserve"> </w:t>
      </w:r>
      <w:r>
        <w:t>电路等部分组成。某些粉尘仪还具有流量计、采样时间显示或设定、采样体积显示或设</w:t>
      </w:r>
      <w:r>
        <w:rPr>
          <w:spacing w:val="5"/>
        </w:rPr>
        <w:t xml:space="preserve">  </w:t>
      </w:r>
      <w:r>
        <w:rPr>
          <w:spacing w:val="-2"/>
        </w:rPr>
        <w:t>定、信号输出等结构或功能。</w:t>
      </w:r>
    </w:p>
    <w:p>
      <w:pPr>
        <w:pStyle w:val="BodyText"/>
        <w:spacing w:before="48" w:line="248" w:lineRule="auto"/>
        <w:ind w:right="559" w:firstLine="480"/>
      </w:pPr>
      <w:r>
        <w:rPr>
          <w:spacing w:val="9"/>
        </w:rPr>
        <w:t>粉尘仪按测量范围分为高浓度粉尘仪(测量范围一般</w:t>
      </w:r>
      <w:r>
        <w:rPr>
          <w:spacing w:val="8"/>
        </w:rPr>
        <w:t>为10</w:t>
      </w:r>
      <w:r>
        <w:rPr>
          <w:spacing w:val="-62"/>
        </w:rPr>
        <w:t xml:space="preserve"> </w:t>
      </w:r>
      <w:r>
        <w:rPr>
          <w:rFonts w:ascii="Times New Roman" w:eastAsia="Times New Roman" w:hAnsi="Times New Roman" w:cs="Times New Roman"/>
        </w:rPr>
        <w:t>mg</w:t>
      </w:r>
      <w:r>
        <w:rPr>
          <w:rFonts w:ascii="Times New Roman" w:eastAsia="Times New Roman" w:hAnsi="Times New Roman" w:cs="Times New Roman"/>
          <w:spacing w:val="8"/>
        </w:rPr>
        <w:t>/m³</w:t>
      </w:r>
      <w:r>
        <w:rPr>
          <w:spacing w:val="8"/>
        </w:rPr>
        <w:t>~</w:t>
      </w:r>
      <w:r>
        <w:rPr>
          <w:rFonts w:ascii="Times New Roman" w:eastAsia="Times New Roman" w:hAnsi="Times New Roman" w:cs="Times New Roman"/>
          <w:spacing w:val="8"/>
        </w:rPr>
        <w:t>1000</w:t>
      </w:r>
      <w:r>
        <w:rPr>
          <w:rFonts w:ascii="Times New Roman" w:eastAsia="Times New Roman" w:hAnsi="Times New Roman" w:cs="Times New Roman"/>
        </w:rPr>
        <w:t>mg</w:t>
      </w:r>
      <w:r>
        <w:rPr>
          <w:rFonts w:ascii="Times New Roman" w:eastAsia="Times New Roman" w:hAnsi="Times New Roman" w:cs="Times New Roman"/>
          <w:spacing w:val="8"/>
        </w:rPr>
        <w:t>/m³)</w:t>
      </w:r>
      <w:r>
        <w:rPr>
          <w:rFonts w:ascii="Times New Roman" w:eastAsia="Times New Roman" w:hAnsi="Times New Roman" w:cs="Times New Roman"/>
        </w:rPr>
        <w:t xml:space="preserve"> </w:t>
      </w:r>
      <w:r>
        <w:rPr>
          <w:spacing w:val="12"/>
        </w:rPr>
        <w:t>和低浓度粉尘仪(测量范围一般为0.1</w:t>
      </w:r>
      <w:r>
        <w:rPr>
          <w:rFonts w:ascii="Times New Roman" w:eastAsia="Times New Roman" w:hAnsi="Times New Roman" w:cs="Times New Roman"/>
        </w:rPr>
        <w:t>mg</w:t>
      </w:r>
      <w:r>
        <w:rPr>
          <w:rFonts w:ascii="Times New Roman" w:eastAsia="Times New Roman" w:hAnsi="Times New Roman" w:cs="Times New Roman"/>
          <w:spacing w:val="12"/>
        </w:rPr>
        <w:t>/m³</w:t>
      </w:r>
      <w:r>
        <w:rPr>
          <w:spacing w:val="12"/>
        </w:rPr>
        <w:t>~</w:t>
      </w:r>
      <w:r>
        <w:rPr>
          <w:rFonts w:ascii="Times New Roman" w:eastAsia="Times New Roman" w:hAnsi="Times New Roman" w:cs="Times New Roman"/>
          <w:spacing w:val="12"/>
        </w:rPr>
        <w:t xml:space="preserve">10     </w:t>
      </w:r>
      <w:r>
        <w:rPr>
          <w:rFonts w:ascii="Times New Roman" w:eastAsia="Times New Roman" w:hAnsi="Times New Roman" w:cs="Times New Roman"/>
        </w:rPr>
        <w:t>mg</w:t>
      </w:r>
      <w:r>
        <w:rPr>
          <w:rFonts w:ascii="Times New Roman" w:eastAsia="Times New Roman" w:hAnsi="Times New Roman" w:cs="Times New Roman"/>
          <w:spacing w:val="12"/>
        </w:rPr>
        <w:t>/m³)</w:t>
      </w:r>
      <w:r>
        <w:rPr>
          <w:spacing w:val="12"/>
        </w:rPr>
        <w:t>。</w:t>
      </w:r>
    </w:p>
    <w:p>
      <w:pPr>
        <w:spacing w:before="279" w:line="222" w:lineRule="auto"/>
        <w:ind w:left="2"/>
        <w:rPr>
          <w:rFonts w:ascii="SimHei" w:eastAsia="SimHei" w:hAnsi="SimHei" w:cs="SimHei"/>
          <w:sz w:val="24"/>
          <w:szCs w:val="24"/>
        </w:rPr>
      </w:pPr>
      <w:r>
        <w:rPr>
          <w:rFonts w:ascii="SimHei" w:eastAsia="SimHei" w:hAnsi="SimHei" w:cs="SimHei"/>
          <w:b/>
          <w:bCs/>
          <w:spacing w:val="-9"/>
          <w:sz w:val="24"/>
          <w:szCs w:val="24"/>
        </w:rPr>
        <w:t>3</w:t>
      </w:r>
      <w:r>
        <w:rPr>
          <w:rFonts w:ascii="SimHei" w:eastAsia="SimHei" w:hAnsi="SimHei" w:cs="SimHei"/>
          <w:spacing w:val="8"/>
          <w:sz w:val="24"/>
          <w:szCs w:val="24"/>
        </w:rPr>
        <w:t xml:space="preserve">  </w:t>
      </w:r>
      <w:r>
        <w:rPr>
          <w:rFonts w:ascii="SimHei" w:eastAsia="SimHei" w:hAnsi="SimHei" w:cs="SimHei"/>
          <w:b/>
          <w:bCs/>
          <w:spacing w:val="-9"/>
          <w:sz w:val="24"/>
          <w:szCs w:val="24"/>
        </w:rPr>
        <w:t>计量性能要求</w:t>
      </w:r>
    </w:p>
    <w:p>
      <w:pPr>
        <w:pStyle w:val="BodyText"/>
        <w:spacing w:before="255" w:line="219" w:lineRule="auto"/>
      </w:pPr>
      <w:r>
        <w:rPr>
          <w:spacing w:val="-4"/>
        </w:rPr>
        <w:t>3.1</w:t>
      </w:r>
      <w:r>
        <w:rPr>
          <w:spacing w:val="109"/>
        </w:rPr>
        <w:t xml:space="preserve"> </w:t>
      </w:r>
      <w:r>
        <w:rPr>
          <w:spacing w:val="-4"/>
        </w:rPr>
        <w:t>示值误差</w:t>
      </w:r>
    </w:p>
    <w:p>
      <w:pPr>
        <w:pStyle w:val="BodyText"/>
        <w:spacing w:before="75" w:line="219" w:lineRule="auto"/>
        <w:ind w:left="480"/>
      </w:pPr>
      <w:r>
        <w:rPr>
          <w:spacing w:val="5"/>
        </w:rPr>
        <w:t>示值误差应不超过±20%。</w:t>
      </w:r>
    </w:p>
    <w:p>
      <w:pPr>
        <w:pStyle w:val="BodyText"/>
        <w:spacing w:before="95" w:line="219" w:lineRule="auto"/>
      </w:pPr>
      <w:r>
        <w:rPr>
          <w:spacing w:val="-3"/>
        </w:rPr>
        <w:t>3.2</w:t>
      </w:r>
      <w:r>
        <w:rPr>
          <w:spacing w:val="104"/>
        </w:rPr>
        <w:t xml:space="preserve"> </w:t>
      </w:r>
      <w:r>
        <w:rPr>
          <w:spacing w:val="-3"/>
        </w:rPr>
        <w:t>示值重复性</w:t>
      </w:r>
    </w:p>
    <w:p>
      <w:pPr>
        <w:pStyle w:val="BodyText"/>
        <w:spacing w:before="65" w:line="252" w:lineRule="auto"/>
        <w:ind w:right="99" w:firstLine="480"/>
      </w:pPr>
      <w:r>
        <w:rPr>
          <w:spacing w:val="11"/>
        </w:rPr>
        <w:t>示值重复性应不大于10%。对光学原理的粉尘仪，若采用标准透</w:t>
      </w:r>
      <w:r>
        <w:rPr>
          <w:spacing w:val="10"/>
        </w:rPr>
        <w:t>光膜板测试，其</w:t>
      </w:r>
      <w:r>
        <w:t xml:space="preserve"> </w:t>
      </w:r>
      <w:r>
        <w:rPr>
          <w:spacing w:val="12"/>
        </w:rPr>
        <w:t>示值重复性应不大于2%。</w:t>
      </w:r>
    </w:p>
    <w:p>
      <w:pPr>
        <w:spacing w:before="252" w:line="222" w:lineRule="auto"/>
        <w:ind w:left="3"/>
        <w:rPr>
          <w:rFonts w:ascii="SimHei" w:eastAsia="SimHei" w:hAnsi="SimHei" w:cs="SimHei"/>
          <w:sz w:val="24"/>
          <w:szCs w:val="24"/>
        </w:rPr>
      </w:pPr>
      <w:r>
        <w:rPr>
          <w:rFonts w:ascii="SimHei" w:eastAsia="SimHei" w:hAnsi="SimHei" w:cs="SimHei"/>
          <w:b/>
          <w:bCs/>
          <w:spacing w:val="-10"/>
          <w:sz w:val="24"/>
          <w:szCs w:val="24"/>
        </w:rPr>
        <w:t>4</w:t>
      </w:r>
      <w:r>
        <w:rPr>
          <w:rFonts w:ascii="SimHei" w:eastAsia="SimHei" w:hAnsi="SimHei" w:cs="SimHei"/>
          <w:spacing w:val="13"/>
          <w:sz w:val="24"/>
          <w:szCs w:val="24"/>
        </w:rPr>
        <w:t xml:space="preserve">  </w:t>
      </w:r>
      <w:r>
        <w:rPr>
          <w:rFonts w:ascii="SimHei" w:eastAsia="SimHei" w:hAnsi="SimHei" w:cs="SimHei"/>
          <w:b/>
          <w:bCs/>
          <w:spacing w:val="-10"/>
          <w:sz w:val="24"/>
          <w:szCs w:val="24"/>
        </w:rPr>
        <w:t>通用技术要求</w:t>
      </w:r>
    </w:p>
    <w:p>
      <w:pPr>
        <w:pStyle w:val="BodyText"/>
        <w:spacing w:before="245" w:line="220" w:lineRule="auto"/>
      </w:pPr>
      <w:r>
        <w:rPr>
          <w:spacing w:val="-3"/>
        </w:rPr>
        <w:t>4.1</w:t>
      </w:r>
      <w:r>
        <w:rPr>
          <w:spacing w:val="111"/>
        </w:rPr>
        <w:t xml:space="preserve"> </w:t>
      </w:r>
      <w:r>
        <w:rPr>
          <w:spacing w:val="-3"/>
        </w:rPr>
        <w:t>外观及标志</w:t>
      </w:r>
    </w:p>
    <w:p>
      <w:pPr>
        <w:pStyle w:val="BodyText"/>
        <w:spacing w:before="85" w:line="254" w:lineRule="auto"/>
        <w:ind w:right="95"/>
      </w:pPr>
      <w:r>
        <w:rPr>
          <w:spacing w:val="4"/>
        </w:rPr>
        <w:t>4.1.1  粉尘仪的铭牌上应有产品名称、型号、出厂编号、制</w:t>
      </w:r>
      <w:r>
        <w:rPr>
          <w:spacing w:val="3"/>
        </w:rPr>
        <w:t>造日期、制造厂名，国产</w:t>
      </w:r>
      <w:r>
        <w:t xml:space="preserve"> </w:t>
      </w:r>
      <w:r>
        <w:t>粉尘仪应有制造计量器具许可证标志和编号，防爆型粉尘仪应有防爆标志和编号。</w:t>
      </w:r>
    </w:p>
    <w:p>
      <w:pPr>
        <w:pStyle w:val="BodyText"/>
        <w:spacing w:before="58" w:line="252" w:lineRule="auto"/>
        <w:ind w:right="119"/>
      </w:pPr>
      <w:r>
        <w:rPr>
          <w:spacing w:val="9"/>
        </w:rPr>
        <w:t>4.1.2  粉尘仪表面及采样头(含切割器或分离器)等部件不得有明显凹痕、裂缝、变</w:t>
      </w:r>
      <w:r>
        <w:t xml:space="preserve"> </w:t>
      </w:r>
      <w:r>
        <w:rPr>
          <w:spacing w:val="-4"/>
        </w:rPr>
        <w:t>形等影响正常工作的缺陷。</w:t>
      </w:r>
    </w:p>
    <w:p>
      <w:pPr>
        <w:pStyle w:val="BodyText"/>
        <w:spacing w:before="74" w:line="256" w:lineRule="auto"/>
        <w:ind w:right="97"/>
      </w:pPr>
      <w:r>
        <w:rPr>
          <w:spacing w:val="4"/>
        </w:rPr>
        <w:t>4.1.3  粉尘仪连接可靠，各旋钮和按键应能正常操作和</w:t>
      </w:r>
      <w:r>
        <w:rPr>
          <w:spacing w:val="3"/>
        </w:rPr>
        <w:t>控制。通电后，显示部分应清</w:t>
      </w:r>
      <w:r>
        <w:t xml:space="preserve"> </w:t>
      </w:r>
      <w:r>
        <w:rPr>
          <w:spacing w:val="4"/>
        </w:rPr>
        <w:t>晰、完整.</w:t>
      </w:r>
    </w:p>
    <w:p>
      <w:pPr>
        <w:pStyle w:val="BodyText"/>
        <w:spacing w:before="57" w:line="221" w:lineRule="auto"/>
        <w:sectPr>
          <w:headerReference w:type="default" r:id="rId4"/>
          <w:footerReference w:type="default" r:id="rId5"/>
          <w:pgSz w:w="11900" w:h="16840"/>
          <w:pgMar w:top="1770" w:right="1319" w:bottom="1039" w:left="1329" w:header="1434" w:footer="870" w:gutter="0"/>
          <w:cols w:space="708"/>
        </w:sectPr>
      </w:pPr>
      <w:r>
        <w:rPr>
          <w:spacing w:val="-3"/>
        </w:rPr>
        <w:t>4.2  绝缘电阻</w:t>
      </w:r>
    </w:p>
    <w:p>
      <w:pPr>
        <w:pStyle w:val="BodyText"/>
        <w:spacing w:before="78" w:line="212" w:lineRule="auto"/>
        <w:ind w:left="480"/>
      </w:pPr>
      <w:r>
        <w:rPr>
          <w:spacing w:val="2"/>
        </w:rPr>
        <w:t>对使用交流电源的粉尘仪，绝缘电阻应不小于</w:t>
      </w:r>
      <w:r>
        <w:rPr>
          <w:spacing w:val="1"/>
        </w:rPr>
        <w:t xml:space="preserve">20 </w:t>
      </w:r>
      <w:r>
        <w:rPr>
          <w:rFonts w:ascii="Times New Roman" w:eastAsia="Times New Roman" w:hAnsi="Times New Roman" w:cs="Times New Roman"/>
        </w:rPr>
        <w:t>MQ</w:t>
      </w:r>
      <w:r>
        <w:rPr>
          <w:spacing w:val="1"/>
        </w:rPr>
        <w:t>。</w:t>
      </w:r>
    </w:p>
    <w:p>
      <w:pPr>
        <w:pStyle w:val="BodyText"/>
        <w:spacing w:before="88" w:line="220" w:lineRule="auto"/>
      </w:pPr>
      <w:r>
        <w:rPr>
          <w:spacing w:val="-3"/>
        </w:rPr>
        <w:t>4.3</w:t>
      </w:r>
      <w:r>
        <w:rPr>
          <w:spacing w:val="111"/>
        </w:rPr>
        <w:t xml:space="preserve"> </w:t>
      </w:r>
      <w:r>
        <w:rPr>
          <w:spacing w:val="-3"/>
        </w:rPr>
        <w:t>绝缘强度</w:t>
      </w:r>
    </w:p>
    <w:p>
      <w:pPr>
        <w:pStyle w:val="BodyText"/>
        <w:spacing w:before="74" w:line="246" w:lineRule="auto"/>
        <w:ind w:right="10" w:firstLine="480"/>
      </w:pPr>
      <w:r>
        <w:rPr>
          <w:spacing w:val="7"/>
        </w:rPr>
        <w:t>对使用交流电源的粉尘仪，应能承受交流有效值为1500</w:t>
      </w:r>
      <w:r>
        <w:rPr>
          <w:rFonts w:ascii="Times New Roman" w:eastAsia="Times New Roman" w:hAnsi="Times New Roman" w:cs="Times New Roman"/>
          <w:spacing w:val="7"/>
        </w:rPr>
        <w:t>V</w:t>
      </w:r>
      <w:r>
        <w:rPr>
          <w:rFonts w:ascii="Times New Roman" w:eastAsia="Times New Roman" w:hAnsi="Times New Roman" w:cs="Times New Roman"/>
          <w:spacing w:val="-28"/>
        </w:rPr>
        <w:t xml:space="preserve"> </w:t>
      </w:r>
      <w:r>
        <w:rPr>
          <w:spacing w:val="7"/>
        </w:rPr>
        <w:t>、频率为50</w:t>
      </w:r>
      <w:r>
        <w:rPr>
          <w:rFonts w:ascii="Times New Roman" w:eastAsia="Times New Roman" w:hAnsi="Times New Roman" w:cs="Times New Roman"/>
        </w:rPr>
        <w:t>Hz</w:t>
      </w:r>
      <w:r>
        <w:rPr>
          <w:rFonts w:ascii="Times New Roman" w:eastAsia="Times New Roman" w:hAnsi="Times New Roman" w:cs="Times New Roman"/>
          <w:spacing w:val="34"/>
          <w:w w:val="101"/>
        </w:rPr>
        <w:t xml:space="preserve"> </w:t>
      </w:r>
      <w:r>
        <w:rPr>
          <w:spacing w:val="7"/>
        </w:rPr>
        <w:t>的电压，</w:t>
      </w:r>
      <w:r>
        <w:t xml:space="preserve"> </w:t>
      </w:r>
      <w:r>
        <w:rPr>
          <w:spacing w:val="6"/>
        </w:rPr>
        <w:t>泄漏电流不大于5</w:t>
      </w:r>
      <w:r>
        <w:rPr>
          <w:spacing w:val="-38"/>
        </w:rPr>
        <w:t xml:space="preserve"> </w:t>
      </w:r>
      <w:r>
        <w:rPr>
          <w:rFonts w:ascii="Times New Roman" w:eastAsia="Times New Roman" w:hAnsi="Times New Roman" w:cs="Times New Roman"/>
        </w:rPr>
        <w:t>mA</w:t>
      </w:r>
      <w:r>
        <w:rPr>
          <w:rFonts w:ascii="Times New Roman" w:eastAsia="Times New Roman" w:hAnsi="Times New Roman" w:cs="Times New Roman"/>
          <w:spacing w:val="6"/>
        </w:rPr>
        <w:t xml:space="preserve">,   </w:t>
      </w:r>
      <w:r>
        <w:rPr>
          <w:spacing w:val="6"/>
        </w:rPr>
        <w:t>持续时间1</w:t>
      </w:r>
      <w:r>
        <w:rPr>
          <w:spacing w:val="-65"/>
        </w:rPr>
        <w:t xml:space="preserve"> </w:t>
      </w:r>
      <w:r>
        <w:rPr>
          <w:rFonts w:ascii="Times New Roman" w:eastAsia="Times New Roman" w:hAnsi="Times New Roman" w:cs="Times New Roman"/>
        </w:rPr>
        <w:t>min</w:t>
      </w:r>
      <w:r>
        <w:rPr>
          <w:rFonts w:ascii="Times New Roman" w:eastAsia="Times New Roman" w:hAnsi="Times New Roman" w:cs="Times New Roman"/>
          <w:spacing w:val="6"/>
        </w:rPr>
        <w:t xml:space="preserve">,   </w:t>
      </w:r>
      <w:r>
        <w:rPr>
          <w:spacing w:val="6"/>
        </w:rPr>
        <w:t>无飞弧和击穿现象。</w:t>
      </w:r>
    </w:p>
    <w:p>
      <w:pPr>
        <w:spacing w:line="246" w:lineRule="auto"/>
        <w:sectPr>
          <w:headerReference w:type="default" r:id="rId6"/>
          <w:footerReference w:type="default" r:id="rId7"/>
          <w:type w:val="nextPage"/>
          <w:pgSz w:w="11900" w:h="16840"/>
          <w:pgMar w:top="1770" w:right="1319" w:bottom="1039" w:left="1329" w:header="1434" w:footer="870" w:gutter="0"/>
          <w:pgNumType w:start="2"/>
          <w:cols w:space="708"/>
          <w:titlePg w:val="0"/>
        </w:sectPr>
      </w:pPr>
    </w:p>
    <w:p>
      <w:pPr>
        <w:spacing w:line="287" w:lineRule="auto"/>
        <w:rPr>
          <w:rFonts w:ascii="Arial"/>
          <w:sz w:val="21"/>
        </w:rPr>
      </w:pPr>
    </w:p>
    <w:p>
      <w:pPr>
        <w:spacing w:before="78" w:line="223" w:lineRule="auto"/>
        <w:ind w:left="3"/>
        <w:rPr>
          <w:rFonts w:ascii="SimHei" w:eastAsia="SimHei" w:hAnsi="SimHei" w:cs="SimHei"/>
          <w:sz w:val="24"/>
          <w:szCs w:val="24"/>
        </w:rPr>
      </w:pPr>
      <w:r>
        <w:rPr>
          <w:rFonts w:ascii="SimHei" w:eastAsia="SimHei" w:hAnsi="SimHei" w:cs="SimHei"/>
          <w:b/>
          <w:bCs/>
          <w:spacing w:val="-5"/>
          <w:sz w:val="24"/>
          <w:szCs w:val="24"/>
        </w:rPr>
        <w:t>5</w:t>
      </w:r>
      <w:r>
        <w:rPr>
          <w:rFonts w:ascii="SimHei" w:eastAsia="SimHei" w:hAnsi="SimHei" w:cs="SimHei"/>
          <w:spacing w:val="107"/>
          <w:sz w:val="24"/>
          <w:szCs w:val="24"/>
        </w:rPr>
        <w:t xml:space="preserve"> </w:t>
      </w:r>
      <w:r>
        <w:rPr>
          <w:rFonts w:ascii="SimHei" w:eastAsia="SimHei" w:hAnsi="SimHei" w:cs="SimHei"/>
          <w:b/>
          <w:bCs/>
          <w:spacing w:val="-5"/>
          <w:sz w:val="24"/>
          <w:szCs w:val="24"/>
        </w:rPr>
        <w:t>计量器具控制</w:t>
      </w:r>
    </w:p>
    <w:p>
      <w:pPr>
        <w:pStyle w:val="BodyText"/>
        <w:spacing w:before="282" w:line="219" w:lineRule="auto"/>
        <w:ind w:left="490"/>
      </w:pPr>
      <w:r>
        <w:rPr>
          <w:spacing w:val="-2"/>
        </w:rPr>
        <w:t>计量器具控制包括：首次检定、后续检定和使用中检查。</w:t>
      </w:r>
    </w:p>
    <w:p>
      <w:pPr>
        <w:pStyle w:val="BodyText"/>
        <w:spacing w:before="55" w:line="219" w:lineRule="auto"/>
      </w:pPr>
      <w:r>
        <w:rPr>
          <w:spacing w:val="-3"/>
        </w:rPr>
        <w:t>5.1</w:t>
      </w:r>
      <w:r>
        <w:rPr>
          <w:spacing w:val="14"/>
        </w:rPr>
        <w:t xml:space="preserve">  </w:t>
      </w:r>
      <w:r>
        <w:rPr>
          <w:spacing w:val="-3"/>
        </w:rPr>
        <w:t>检定环境条件</w:t>
      </w:r>
    </w:p>
    <w:p>
      <w:pPr>
        <w:pStyle w:val="BodyText"/>
        <w:spacing w:before="70" w:line="246" w:lineRule="auto"/>
        <w:ind w:right="150" w:firstLine="490"/>
      </w:pPr>
      <w:r>
        <w:rPr>
          <w:spacing w:val="15"/>
        </w:rPr>
        <w:t>温度为(15～30)℃,相对湿度不大于85%</w:t>
      </w:r>
      <w:r>
        <w:rPr>
          <w:spacing w:val="14"/>
        </w:rPr>
        <w:t>;粉尘仪应在此条件下稳定后，方可进</w:t>
      </w:r>
      <w:r>
        <w:t xml:space="preserve"> </w:t>
      </w:r>
      <w:r>
        <w:rPr>
          <w:spacing w:val="-2"/>
        </w:rPr>
        <w:t>行检定。</w:t>
      </w:r>
    </w:p>
    <w:p>
      <w:pPr>
        <w:pStyle w:val="BodyText"/>
        <w:spacing w:before="95" w:line="219" w:lineRule="auto"/>
      </w:pPr>
      <w:r>
        <w:rPr>
          <w:spacing w:val="-4"/>
        </w:rPr>
        <w:t>5.2</w:t>
      </w:r>
      <w:r>
        <w:rPr>
          <w:spacing w:val="119"/>
        </w:rPr>
        <w:t xml:space="preserve"> </w:t>
      </w:r>
      <w:r>
        <w:rPr>
          <w:spacing w:val="-4"/>
        </w:rPr>
        <w:t>检定设备</w:t>
      </w:r>
    </w:p>
    <w:p>
      <w:pPr>
        <w:pStyle w:val="BodyText"/>
        <w:spacing w:before="75" w:line="219" w:lineRule="auto"/>
      </w:pPr>
      <w:r>
        <w:rPr>
          <w:spacing w:val="-2"/>
        </w:rPr>
        <w:t>5.2.1</w:t>
      </w:r>
      <w:r>
        <w:rPr>
          <w:spacing w:val="47"/>
        </w:rPr>
        <w:t xml:space="preserve">  </w:t>
      </w:r>
      <w:r>
        <w:rPr>
          <w:spacing w:val="-2"/>
        </w:rPr>
        <w:t>高浓度粉尘仪检定设备</w:t>
      </w:r>
    </w:p>
    <w:p>
      <w:pPr>
        <w:pStyle w:val="BodyText"/>
        <w:spacing w:before="75" w:line="219" w:lineRule="auto"/>
      </w:pPr>
      <w:hyperlink r:id="rId8" w:history="1">
        <w:r>
          <w:rPr>
            <w:spacing w:val="-2"/>
          </w:rPr>
          <w:t>5.2.1.1</w:t>
        </w:r>
      </w:hyperlink>
      <w:r>
        <w:rPr>
          <w:spacing w:val="106"/>
        </w:rPr>
        <w:t xml:space="preserve"> </w:t>
      </w:r>
      <w:r>
        <w:rPr>
          <w:spacing w:val="-2"/>
        </w:rPr>
        <w:t>高浓度粉尘发生装置</w:t>
      </w:r>
    </w:p>
    <w:p>
      <w:pPr>
        <w:pStyle w:val="BodyText"/>
        <w:spacing w:before="57" w:line="265" w:lineRule="auto"/>
        <w:ind w:right="130" w:firstLine="490"/>
        <w:jc w:val="both"/>
      </w:pPr>
      <w:r>
        <w:rPr>
          <w:spacing w:val="4"/>
        </w:rPr>
        <w:t>当被检粉尘仪的测量上限大于10</w:t>
      </w:r>
      <w:r>
        <w:rPr>
          <w:rFonts w:ascii="Times New Roman" w:eastAsia="Times New Roman" w:hAnsi="Times New Roman" w:cs="Times New Roman"/>
        </w:rPr>
        <w:t>mg</w:t>
      </w:r>
      <w:r>
        <w:rPr>
          <w:rFonts w:ascii="Times New Roman" w:eastAsia="Times New Roman" w:hAnsi="Times New Roman" w:cs="Times New Roman"/>
          <w:spacing w:val="4"/>
        </w:rPr>
        <w:t>/m³</w:t>
      </w:r>
      <w:r>
        <w:rPr>
          <w:rFonts w:ascii="Times New Roman" w:eastAsia="Times New Roman" w:hAnsi="Times New Roman" w:cs="Times New Roman"/>
          <w:spacing w:val="25"/>
          <w:w w:val="101"/>
        </w:rPr>
        <w:t xml:space="preserve">  </w:t>
      </w:r>
      <w:r>
        <w:rPr>
          <w:spacing w:val="4"/>
        </w:rPr>
        <w:t>时，应使</w:t>
      </w:r>
      <w:r>
        <w:rPr>
          <w:spacing w:val="3"/>
        </w:rPr>
        <w:t>用高浓度粉尘发生装置，其浓度</w:t>
      </w:r>
      <w:r>
        <w:t xml:space="preserve"> </w:t>
      </w:r>
      <w:r>
        <w:rPr>
          <w:spacing w:val="11"/>
        </w:rPr>
        <w:t>发生范围为(10～1000)</w:t>
      </w:r>
      <w:r>
        <w:rPr>
          <w:rFonts w:ascii="Times New Roman" w:eastAsia="Times New Roman" w:hAnsi="Times New Roman" w:cs="Times New Roman"/>
        </w:rPr>
        <w:t>mg</w:t>
      </w:r>
      <w:r>
        <w:rPr>
          <w:rFonts w:ascii="Times New Roman" w:eastAsia="Times New Roman" w:hAnsi="Times New Roman" w:cs="Times New Roman"/>
          <w:spacing w:val="11"/>
        </w:rPr>
        <w:t xml:space="preserve">/m³;    </w:t>
      </w:r>
      <w:r>
        <w:rPr>
          <w:spacing w:val="11"/>
        </w:rPr>
        <w:t>使用的粉尘为干燥煤尘、滑石粉或其他适宜的粉尘</w:t>
      </w:r>
      <w:r>
        <w:rPr>
          <w:spacing w:val="15"/>
        </w:rPr>
        <w:t xml:space="preserve"> </w:t>
      </w:r>
      <w:r>
        <w:t>粒子；测试段中标准采样装置采样口和受检粉尘仪采样口两个</w:t>
      </w:r>
      <w:r>
        <w:rPr>
          <w:spacing w:val="-1"/>
        </w:rPr>
        <w:t>采样点三次相同测量平均</w:t>
      </w:r>
      <w:r>
        <w:t xml:space="preserve"> </w:t>
      </w:r>
      <w:r>
        <w:rPr>
          <w:spacing w:val="33"/>
        </w:rPr>
        <w:t>值的偏差应不大于5%;中心点稳定性(连续相同测量6次)实</w:t>
      </w:r>
      <w:r>
        <w:rPr>
          <w:spacing w:val="32"/>
        </w:rPr>
        <w:t>验标准偏差应不大</w:t>
      </w:r>
      <w:r>
        <w:t xml:space="preserve"> </w:t>
      </w:r>
      <w:r>
        <w:rPr>
          <w:spacing w:val="-8"/>
        </w:rPr>
        <w:t>于</w:t>
      </w:r>
      <w:r>
        <w:rPr>
          <w:spacing w:val="-50"/>
        </w:rPr>
        <w:t xml:space="preserve"> </w:t>
      </w:r>
      <w:r>
        <w:rPr>
          <w:spacing w:val="-8"/>
        </w:rPr>
        <w:t>5</w:t>
      </w:r>
      <w:r>
        <w:rPr>
          <w:spacing w:val="-61"/>
        </w:rPr>
        <w:t xml:space="preserve"> </w:t>
      </w:r>
      <w:r>
        <w:rPr>
          <w:spacing w:val="-8"/>
        </w:rPr>
        <w:t>%</w:t>
      </w:r>
      <w:r>
        <w:rPr>
          <w:spacing w:val="-64"/>
        </w:rPr>
        <w:t xml:space="preserve"> </w:t>
      </w:r>
      <w:r>
        <w:rPr>
          <w:spacing w:val="-8"/>
        </w:rPr>
        <w:t>。</w:t>
      </w:r>
    </w:p>
    <w:p>
      <w:pPr>
        <w:pStyle w:val="BodyText"/>
        <w:spacing w:before="95" w:line="219" w:lineRule="auto"/>
      </w:pPr>
      <w:hyperlink r:id="rId9" w:history="1">
        <w:r>
          <w:rPr>
            <w:spacing w:val="-2"/>
          </w:rPr>
          <w:t>5.2.1.2</w:t>
        </w:r>
      </w:hyperlink>
      <w:r>
        <w:rPr>
          <w:spacing w:val="-2"/>
        </w:rPr>
        <w:t xml:space="preserve">  标准采样装置</w:t>
      </w:r>
    </w:p>
    <w:p>
      <w:pPr>
        <w:pStyle w:val="BodyText"/>
        <w:spacing w:before="67" w:line="219" w:lineRule="auto"/>
        <w:ind w:left="490"/>
      </w:pPr>
      <w:r>
        <w:rPr>
          <w:spacing w:val="-9"/>
        </w:rPr>
        <w:t>技术要求如下：</w:t>
      </w:r>
    </w:p>
    <w:p>
      <w:pPr>
        <w:pStyle w:val="BodyText"/>
        <w:spacing w:before="103" w:line="253" w:lineRule="auto"/>
        <w:ind w:right="40" w:firstLine="490"/>
        <w:jc w:val="both"/>
      </w:pPr>
      <w:r>
        <w:rPr>
          <w:spacing w:val="13"/>
        </w:rPr>
        <w:t>应采用滑片式等脉动较小的泵作为气源；气源流量应不小于粉尘仪</w:t>
      </w:r>
      <w:r>
        <w:rPr>
          <w:spacing w:val="12"/>
        </w:rPr>
        <w:t>使用流量的</w:t>
      </w:r>
      <w:r>
        <w:t xml:space="preserve">  </w:t>
      </w:r>
      <w:r>
        <w:rPr>
          <w:spacing w:val="5"/>
        </w:rPr>
        <w:t>2倍；气路中设有流量缓冲装置，其缓冲体积不小于粉尘仪10</w:t>
      </w:r>
      <w:r>
        <w:rPr>
          <w:spacing w:val="-48"/>
        </w:rPr>
        <w:t xml:space="preserve"> </w:t>
      </w:r>
      <w:r>
        <w:rPr>
          <w:rFonts w:ascii="Times New Roman" w:eastAsia="Times New Roman" w:hAnsi="Times New Roman" w:cs="Times New Roman"/>
          <w:spacing w:val="5"/>
        </w:rPr>
        <w:t>s</w:t>
      </w:r>
      <w:r>
        <w:rPr>
          <w:rFonts w:ascii="Times New Roman" w:eastAsia="Times New Roman" w:hAnsi="Times New Roman" w:cs="Times New Roman"/>
          <w:spacing w:val="28"/>
        </w:rPr>
        <w:t xml:space="preserve"> </w:t>
      </w:r>
      <w:r>
        <w:rPr>
          <w:spacing w:val="5"/>
        </w:rPr>
        <w:t>时间的额定采样体积；</w:t>
      </w:r>
      <w:r>
        <w:t xml:space="preserve"> </w:t>
      </w:r>
      <w:r>
        <w:rPr>
          <w:spacing w:val="5"/>
        </w:rPr>
        <w:t>流量计准确度等级为1.0级。</w:t>
      </w:r>
    </w:p>
    <w:p>
      <w:pPr>
        <w:pStyle w:val="BodyText"/>
        <w:spacing w:before="79" w:line="212" w:lineRule="auto"/>
      </w:pPr>
      <w:hyperlink r:id="rId10" w:history="1">
        <w:r>
          <w:rPr>
            <w:spacing w:val="5"/>
          </w:rPr>
          <w:t>5.2.1.3</w:t>
        </w:r>
      </w:hyperlink>
      <w:r>
        <w:rPr>
          <w:spacing w:val="5"/>
        </w:rPr>
        <w:t xml:space="preserve">  气压计：测量范围(86～105)</w:t>
      </w:r>
      <w:r>
        <w:rPr>
          <w:rFonts w:ascii="Times New Roman" w:eastAsia="Times New Roman" w:hAnsi="Times New Roman" w:cs="Times New Roman"/>
        </w:rPr>
        <w:t>kPa</w:t>
      </w:r>
      <w:r>
        <w:rPr>
          <w:rFonts w:ascii="Times New Roman" w:eastAsia="Times New Roman" w:hAnsi="Times New Roman" w:cs="Times New Roman"/>
          <w:spacing w:val="5"/>
        </w:rPr>
        <w:t xml:space="preserve">,   </w:t>
      </w:r>
      <w:r>
        <w:rPr>
          <w:spacing w:val="5"/>
        </w:rPr>
        <w:t xml:space="preserve">允许误差限为±200 </w:t>
      </w:r>
      <w:r>
        <w:rPr>
          <w:rFonts w:ascii="Times New Roman" w:eastAsia="Times New Roman" w:hAnsi="Times New Roman" w:cs="Times New Roman"/>
        </w:rPr>
        <w:t>Pa</w:t>
      </w:r>
      <w:r>
        <w:rPr>
          <w:spacing w:val="5"/>
        </w:rPr>
        <w:t>。</w:t>
      </w:r>
    </w:p>
    <w:p>
      <w:pPr>
        <w:pStyle w:val="BodyText"/>
        <w:spacing w:before="81" w:line="219" w:lineRule="auto"/>
      </w:pPr>
      <w:hyperlink r:id="rId11" w:history="1">
        <w:r>
          <w:rPr>
            <w:spacing w:val="6"/>
          </w:rPr>
          <w:t>5.2.1.4</w:t>
        </w:r>
      </w:hyperlink>
      <w:r>
        <w:rPr>
          <w:spacing w:val="6"/>
        </w:rPr>
        <w:t xml:space="preserve">  秒表：分度值0.01s。</w:t>
      </w:r>
    </w:p>
    <w:p>
      <w:pPr>
        <w:pStyle w:val="BodyText"/>
        <w:spacing w:before="81" w:line="216" w:lineRule="auto"/>
      </w:pPr>
      <w:hyperlink r:id="rId12" w:history="1">
        <w:r>
          <w:rPr>
            <w:spacing w:val="13"/>
          </w:rPr>
          <w:t>5.2.1.5</w:t>
        </w:r>
      </w:hyperlink>
      <w:r>
        <w:rPr>
          <w:spacing w:val="13"/>
        </w:rPr>
        <w:t xml:space="preserve">  温度计：测量范围(0～50)℃,分度值0.1℃。</w:t>
      </w:r>
    </w:p>
    <w:p>
      <w:pPr>
        <w:pStyle w:val="BodyText"/>
        <w:spacing w:before="65" w:line="212" w:lineRule="auto"/>
      </w:pPr>
      <w:hyperlink r:id="rId13" w:history="1">
        <w:r>
          <w:rPr>
            <w:spacing w:val="7"/>
          </w:rPr>
          <w:t>5.2.1.6</w:t>
        </w:r>
      </w:hyperlink>
      <w:r>
        <w:rPr>
          <w:spacing w:val="7"/>
        </w:rPr>
        <w:t xml:space="preserve">  天平：分度值为0.1</w:t>
      </w:r>
      <w:r>
        <w:rPr>
          <w:rFonts w:ascii="Times New Roman" w:eastAsia="Times New Roman" w:hAnsi="Times New Roman" w:cs="Times New Roman"/>
        </w:rPr>
        <w:t>mg</w:t>
      </w:r>
      <w:r>
        <w:rPr>
          <w:spacing w:val="7"/>
        </w:rPr>
        <w:t>。</w:t>
      </w:r>
    </w:p>
    <w:p>
      <w:pPr>
        <w:pStyle w:val="BodyText"/>
        <w:spacing w:before="97" w:line="212" w:lineRule="auto"/>
      </w:pPr>
      <w:hyperlink r:id="rId14" w:history="1">
        <w:r>
          <w:rPr>
            <w:spacing w:val="6"/>
          </w:rPr>
          <w:t>5.2.1.7</w:t>
        </w:r>
      </w:hyperlink>
      <w:r>
        <w:rPr>
          <w:spacing w:val="6"/>
        </w:rPr>
        <w:t xml:space="preserve">  绝缘电阻表：输出电压500</w:t>
      </w:r>
      <w:r>
        <w:rPr>
          <w:spacing w:val="-62"/>
        </w:rPr>
        <w:t xml:space="preserve"> </w:t>
      </w:r>
      <w:r>
        <w:rPr>
          <w:rFonts w:ascii="Times New Roman" w:eastAsia="Times New Roman" w:hAnsi="Times New Roman" w:cs="Times New Roman"/>
          <w:spacing w:val="5"/>
        </w:rPr>
        <w:t xml:space="preserve">V,   </w:t>
      </w:r>
      <w:r>
        <w:rPr>
          <w:spacing w:val="5"/>
        </w:rPr>
        <w:t>准确度级别为10级。</w:t>
      </w:r>
    </w:p>
    <w:p>
      <w:pPr>
        <w:pStyle w:val="BodyText"/>
        <w:spacing w:before="94" w:line="212" w:lineRule="auto"/>
      </w:pPr>
      <w:hyperlink r:id="rId15" w:history="1">
        <w:r>
          <w:rPr>
            <w:spacing w:val="9"/>
          </w:rPr>
          <w:t>5.2.1.8</w:t>
        </w:r>
      </w:hyperlink>
      <w:r>
        <w:rPr>
          <w:spacing w:val="9"/>
        </w:rPr>
        <w:t xml:space="preserve">  耐压试验仪：交流电压(0～1500)</w:t>
      </w:r>
      <w:r>
        <w:rPr>
          <w:rFonts w:ascii="Times New Roman" w:eastAsia="Times New Roman" w:hAnsi="Times New Roman" w:cs="Times New Roman"/>
          <w:spacing w:val="9"/>
        </w:rPr>
        <w:t xml:space="preserve">V,   </w:t>
      </w:r>
      <w:r>
        <w:rPr>
          <w:spacing w:val="9"/>
        </w:rPr>
        <w:t>频率为50</w:t>
      </w:r>
      <w:r>
        <w:rPr>
          <w:rFonts w:ascii="Times New Roman" w:eastAsia="Times New Roman" w:hAnsi="Times New Roman" w:cs="Times New Roman"/>
        </w:rPr>
        <w:t>Hz</w:t>
      </w:r>
      <w:r>
        <w:rPr>
          <w:rFonts w:ascii="Times New Roman" w:eastAsia="Times New Roman" w:hAnsi="Times New Roman" w:cs="Times New Roman"/>
          <w:spacing w:val="9"/>
        </w:rPr>
        <w:t xml:space="preserve">,   </w:t>
      </w:r>
      <w:r>
        <w:rPr>
          <w:spacing w:val="9"/>
        </w:rPr>
        <w:t>准确度等级优于5级。</w:t>
      </w:r>
    </w:p>
    <w:p>
      <w:pPr>
        <w:pStyle w:val="BodyText"/>
        <w:spacing w:before="90" w:line="219" w:lineRule="auto"/>
      </w:pPr>
      <w:r>
        <w:rPr>
          <w:spacing w:val="-2"/>
        </w:rPr>
        <w:t>5.2.2</w:t>
      </w:r>
      <w:r>
        <w:rPr>
          <w:spacing w:val="121"/>
        </w:rPr>
        <w:t xml:space="preserve"> </w:t>
      </w:r>
      <w:r>
        <w:rPr>
          <w:spacing w:val="-2"/>
        </w:rPr>
        <w:t>低浓度粉尘仪检定设备</w:t>
      </w:r>
    </w:p>
    <w:p>
      <w:pPr>
        <w:pStyle w:val="BodyText"/>
        <w:spacing w:before="55" w:line="219" w:lineRule="auto"/>
      </w:pPr>
      <w:hyperlink r:id="rId16" w:history="1">
        <w:r>
          <w:rPr>
            <w:spacing w:val="-1"/>
          </w:rPr>
          <w:t>5.2.2.1</w:t>
        </w:r>
      </w:hyperlink>
      <w:r>
        <w:rPr>
          <w:spacing w:val="-1"/>
        </w:rPr>
        <w:t xml:space="preserve">  低浓度粉尘发生装置</w:t>
      </w:r>
    </w:p>
    <w:p>
      <w:pPr>
        <w:pStyle w:val="BodyText"/>
        <w:spacing w:before="66" w:line="270" w:lineRule="auto"/>
        <w:ind w:right="39" w:firstLine="490"/>
        <w:sectPr>
          <w:headerReference w:type="default" r:id="rId17"/>
          <w:footerReference w:type="default" r:id="rId18"/>
          <w:pgSz w:w="11900" w:h="16840"/>
          <w:pgMar w:top="1770" w:right="1390" w:bottom="1092" w:left="1259" w:header="1459" w:footer="933" w:gutter="0"/>
          <w:pgNumType w:start="3"/>
          <w:cols w:space="708"/>
        </w:sectPr>
      </w:pPr>
      <w:r>
        <w:rPr>
          <w:spacing w:val="4"/>
        </w:rPr>
        <w:t>当被检粉尘仪的测量上限小于或等于10</w:t>
      </w:r>
      <w:r>
        <w:rPr>
          <w:rFonts w:ascii="Times New Roman" w:eastAsia="Times New Roman" w:hAnsi="Times New Roman" w:cs="Times New Roman"/>
        </w:rPr>
        <w:t>mg</w:t>
      </w:r>
      <w:r>
        <w:rPr>
          <w:rFonts w:ascii="Times New Roman" w:eastAsia="Times New Roman" w:hAnsi="Times New Roman" w:cs="Times New Roman"/>
          <w:spacing w:val="4"/>
        </w:rPr>
        <w:t>/</w:t>
      </w:r>
      <w:r>
        <w:rPr>
          <w:rFonts w:ascii="Times New Roman" w:eastAsia="Times New Roman" w:hAnsi="Times New Roman" w:cs="Times New Roman"/>
          <w:spacing w:val="3"/>
        </w:rPr>
        <w:t>m³</w:t>
      </w:r>
      <w:r>
        <w:rPr>
          <w:rFonts w:ascii="Times New Roman" w:eastAsia="Times New Roman" w:hAnsi="Times New Roman" w:cs="Times New Roman"/>
          <w:spacing w:val="25"/>
          <w:w w:val="101"/>
        </w:rPr>
        <w:t xml:space="preserve">  </w:t>
      </w:r>
      <w:r>
        <w:rPr>
          <w:spacing w:val="3"/>
        </w:rPr>
        <w:t>时，应使用低浓度粉尘发生装置或</w:t>
      </w:r>
      <w:r>
        <w:t xml:space="preserve">  </w:t>
      </w:r>
      <w:r>
        <w:rPr>
          <w:spacing w:val="11"/>
        </w:rPr>
        <w:t>标准粒子发生装置，其浓度发生范围为(0.1～10)</w:t>
      </w:r>
      <w:r>
        <w:rPr>
          <w:rFonts w:ascii="Times New Roman" w:eastAsia="Times New Roman" w:hAnsi="Times New Roman" w:cs="Times New Roman"/>
        </w:rPr>
        <w:t>mg</w:t>
      </w:r>
      <w:r>
        <w:rPr>
          <w:rFonts w:ascii="Times New Roman" w:eastAsia="Times New Roman" w:hAnsi="Times New Roman" w:cs="Times New Roman"/>
          <w:spacing w:val="11"/>
        </w:rPr>
        <w:t xml:space="preserve">/m³; </w:t>
      </w:r>
      <w:r>
        <w:rPr>
          <w:rFonts w:ascii="Times New Roman" w:eastAsia="Times New Roman" w:hAnsi="Times New Roman" w:cs="Times New Roman"/>
          <w:spacing w:val="10"/>
        </w:rPr>
        <w:t xml:space="preserve">   </w:t>
      </w:r>
      <w:r>
        <w:rPr>
          <w:spacing w:val="10"/>
        </w:rPr>
        <w:t>使用的粉尘为干燥煤尘、</w:t>
      </w:r>
      <w:r>
        <w:t xml:space="preserve"> </w:t>
      </w:r>
      <w:r>
        <w:t>滑石粉、单分散相聚苯乙烯粒子、其他粒径小于或等于被检粉尘</w:t>
      </w:r>
      <w:r>
        <w:rPr>
          <w:spacing w:val="-1"/>
        </w:rPr>
        <w:t xml:space="preserve">仪切割粒径的适宜的粒 </w:t>
      </w:r>
      <w:r>
        <w:t>子；测试段中参考粉尘仪采样口和受检测量仪采样口两个采</w:t>
      </w:r>
      <w:r>
        <w:rPr>
          <w:spacing w:val="-1"/>
        </w:rPr>
        <w:t>样点三次相同测量平均值的</w:t>
      </w:r>
      <w:r>
        <w:t xml:space="preserve">  </w:t>
      </w:r>
      <w:r>
        <w:rPr>
          <w:spacing w:val="21"/>
        </w:rPr>
        <w:t>偏差应不大于5%;中心点稳定性(连续相同测量6次)实验标准偏差应不大于5%。</w:t>
      </w:r>
    </w:p>
    <w:p>
      <w:pPr>
        <w:pStyle w:val="BodyText"/>
        <w:spacing w:before="85" w:line="219" w:lineRule="auto"/>
      </w:pPr>
      <w:hyperlink r:id="rId19" w:history="1">
        <w:r>
          <w:t>5.2.2.2</w:t>
        </w:r>
      </w:hyperlink>
      <w:r>
        <w:t xml:space="preserve">  参考粉尘仪的技术要求</w:t>
      </w:r>
    </w:p>
    <w:p>
      <w:pPr>
        <w:pStyle w:val="BodyText"/>
        <w:spacing w:before="66" w:line="260" w:lineRule="auto"/>
        <w:ind w:right="128" w:firstLine="490"/>
      </w:pPr>
      <w:r>
        <w:rPr>
          <w:spacing w:val="9"/>
        </w:rPr>
        <w:t>参考粉尘仪：测量范围为(0.1～10)</w:t>
      </w:r>
      <w:r>
        <w:t>mg</w:t>
      </w:r>
      <w:r>
        <w:rPr>
          <w:spacing w:val="9"/>
        </w:rPr>
        <w:t>/m³、</w:t>
      </w:r>
      <w:r>
        <w:rPr>
          <w:spacing w:val="1"/>
        </w:rPr>
        <w:t xml:space="preserve">  </w:t>
      </w:r>
      <w:r>
        <w:rPr>
          <w:spacing w:val="9"/>
        </w:rPr>
        <w:t>最大允许误差不超过±5%</w:t>
      </w:r>
      <w:r>
        <w:rPr>
          <w:spacing w:val="8"/>
        </w:rPr>
        <w:t>,示值重</w:t>
      </w:r>
      <w:r>
        <w:rPr>
          <w:spacing w:val="1"/>
        </w:rPr>
        <w:t xml:space="preserve"> </w:t>
      </w:r>
      <w:r>
        <w:rPr>
          <w:spacing w:val="15"/>
        </w:rPr>
        <w:t>复性不大于3%(用尘箱试验);对光学原理的粉尘仪，若采用标准透光膜板测试，其</w:t>
      </w:r>
      <w:r>
        <w:rPr>
          <w:spacing w:val="9"/>
        </w:rPr>
        <w:t xml:space="preserve"> </w:t>
      </w:r>
      <w:r>
        <w:rPr>
          <w:spacing w:val="10"/>
        </w:rPr>
        <w:t>示值重复性应不大于1%。</w:t>
      </w:r>
    </w:p>
    <w:p>
      <w:pPr>
        <w:pStyle w:val="BodyText"/>
        <w:spacing w:before="93" w:line="219" w:lineRule="auto"/>
      </w:pPr>
      <w:hyperlink r:id="rId20" w:history="1">
        <w:r>
          <w:rPr>
            <w:spacing w:val="4"/>
          </w:rPr>
          <w:t>5.2.2.3</w:t>
        </w:r>
      </w:hyperlink>
      <w:r>
        <w:rPr>
          <w:spacing w:val="4"/>
        </w:rPr>
        <w:t xml:space="preserve">  参考粉尘仪的溯源周期不得超过1年，</w:t>
      </w:r>
      <w:r>
        <w:rPr>
          <w:spacing w:val="3"/>
        </w:rPr>
        <w:t>溯源方法应符合附录A 的规定。</w:t>
      </w:r>
    </w:p>
    <w:p>
      <w:pPr>
        <w:pStyle w:val="BodyText"/>
        <w:spacing w:before="67" w:line="219" w:lineRule="auto"/>
      </w:pPr>
      <w:hyperlink r:id="rId21" w:history="1">
        <w:r>
          <w:rPr>
            <w:spacing w:val="2"/>
          </w:rPr>
          <w:t>5.2.2.4</w:t>
        </w:r>
      </w:hyperlink>
      <w:r>
        <w:rPr>
          <w:spacing w:val="2"/>
        </w:rPr>
        <w:t xml:space="preserve">  其他辅助检定设备：要求同</w:t>
      </w:r>
      <w:hyperlink r:id="rId10" w:history="1">
        <w:r>
          <w:rPr>
            <w:spacing w:val="2"/>
          </w:rPr>
          <w:t>5.2.1.3</w:t>
        </w:r>
      </w:hyperlink>
      <w:r>
        <w:rPr>
          <w:spacing w:val="2"/>
        </w:rPr>
        <w:t>～</w:t>
      </w:r>
      <w:hyperlink r:id="rId15" w:history="1">
        <w:r>
          <w:rPr>
            <w:spacing w:val="2"/>
          </w:rPr>
          <w:t>5.2.1</w:t>
        </w:r>
        <w:r>
          <w:rPr>
            <w:spacing w:val="1"/>
          </w:rPr>
          <w:t>.8</w:t>
        </w:r>
      </w:hyperlink>
      <w:r>
        <w:rPr>
          <w:spacing w:val="1"/>
        </w:rPr>
        <w:t>。</w:t>
      </w:r>
    </w:p>
    <w:p>
      <w:pPr>
        <w:spacing w:line="219" w:lineRule="auto"/>
        <w:sectPr>
          <w:headerReference w:type="default" r:id="rId22"/>
          <w:footerReference w:type="default" r:id="rId23"/>
          <w:type w:val="nextPage"/>
          <w:pgSz w:w="11900" w:h="16840"/>
          <w:pgMar w:top="1770" w:right="1390" w:bottom="1092" w:left="1259" w:header="1459" w:footer="933" w:gutter="0"/>
          <w:pgNumType w:start="4"/>
          <w:cols w:space="708"/>
          <w:titlePg w:val="0"/>
        </w:sectPr>
      </w:pPr>
    </w:p>
    <w:p>
      <w:pPr>
        <w:pStyle w:val="BodyText"/>
        <w:spacing w:before="229" w:line="219" w:lineRule="auto"/>
        <w:rPr>
          <w:sz w:val="23"/>
          <w:szCs w:val="23"/>
        </w:rPr>
      </w:pPr>
      <w:r>
        <w:rPr>
          <w:spacing w:val="7"/>
          <w:sz w:val="23"/>
          <w:szCs w:val="23"/>
        </w:rPr>
        <w:t>5.3</w:t>
      </w:r>
      <w:r>
        <w:rPr>
          <w:spacing w:val="113"/>
          <w:sz w:val="23"/>
          <w:szCs w:val="23"/>
        </w:rPr>
        <w:t xml:space="preserve"> </w:t>
      </w:r>
      <w:r>
        <w:rPr>
          <w:spacing w:val="7"/>
          <w:sz w:val="23"/>
          <w:szCs w:val="23"/>
        </w:rPr>
        <w:t>检定项目</w:t>
      </w:r>
    </w:p>
    <w:p>
      <w:pPr>
        <w:pStyle w:val="BodyText"/>
        <w:spacing w:before="117" w:line="219" w:lineRule="auto"/>
        <w:ind w:left="469"/>
        <w:rPr>
          <w:sz w:val="23"/>
          <w:szCs w:val="23"/>
        </w:rPr>
      </w:pPr>
      <w:r>
        <w:rPr>
          <w:spacing w:val="12"/>
          <w:sz w:val="23"/>
          <w:szCs w:val="23"/>
        </w:rPr>
        <w:t>粉尘仪首次检定、后续检定和使用中检查项目如表1所示。</w:t>
      </w:r>
    </w:p>
    <w:p>
      <w:pPr>
        <w:spacing w:before="100" w:line="220" w:lineRule="auto"/>
        <w:ind w:left="1903"/>
        <w:rPr>
          <w:rFonts w:ascii="SimHei" w:eastAsia="SimHei" w:hAnsi="SimHei" w:cs="SimHei"/>
          <w:sz w:val="23"/>
          <w:szCs w:val="23"/>
        </w:rPr>
      </w:pPr>
      <w:r>
        <w:rPr>
          <w:rFonts w:ascii="SimHei" w:eastAsia="SimHei" w:hAnsi="SimHei" w:cs="SimHei"/>
          <w:b/>
          <w:bCs/>
          <w:spacing w:val="-20"/>
          <w:sz w:val="23"/>
          <w:szCs w:val="23"/>
        </w:rPr>
        <w:t>表1</w:t>
      </w:r>
      <w:r>
        <w:rPr>
          <w:rFonts w:ascii="SimHei" w:eastAsia="SimHei" w:hAnsi="SimHei" w:cs="SimHei"/>
          <w:spacing w:val="81"/>
          <w:sz w:val="23"/>
          <w:szCs w:val="23"/>
        </w:rPr>
        <w:t xml:space="preserve"> </w:t>
      </w:r>
      <w:r>
        <w:rPr>
          <w:rFonts w:ascii="SimHei" w:eastAsia="SimHei" w:hAnsi="SimHei" w:cs="SimHei"/>
          <w:b/>
          <w:bCs/>
          <w:spacing w:val="-20"/>
          <w:sz w:val="23"/>
          <w:szCs w:val="23"/>
        </w:rPr>
        <w:t>粉尘仪首次检定、后续检定和使用中检查项目一览表</w:t>
      </w:r>
    </w:p>
    <w:p>
      <w:pPr>
        <w:spacing w:line="127" w:lineRule="exact"/>
      </w:pPr>
    </w:p>
    <w:tbl>
      <w:tblPr>
        <w:tblStyle w:val="TableNormal0"/>
        <w:tblW w:w="913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44"/>
        <w:gridCol w:w="1868"/>
        <w:gridCol w:w="1887"/>
        <w:gridCol w:w="1878"/>
        <w:gridCol w:w="2662"/>
      </w:tblGrid>
      <w:tr>
        <w:tblPrEx>
          <w:tblW w:w="913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33"/>
        </w:trPr>
        <w:tc>
          <w:tcPr>
            <w:tcW w:w="844" w:type="dxa"/>
            <w:vAlign w:val="top"/>
          </w:tcPr>
          <w:p>
            <w:pPr>
              <w:spacing w:line="245" w:lineRule="auto"/>
              <w:rPr>
                <w:rFonts w:ascii="Arial"/>
                <w:sz w:val="21"/>
              </w:rPr>
            </w:pPr>
          </w:p>
          <w:p>
            <w:pPr>
              <w:pStyle w:val="TableText"/>
              <w:spacing w:before="68" w:line="221" w:lineRule="auto"/>
              <w:ind w:left="204"/>
            </w:pPr>
            <w:r>
              <w:rPr>
                <w:spacing w:val="6"/>
              </w:rPr>
              <w:t>序号</w:t>
            </w:r>
          </w:p>
        </w:tc>
        <w:tc>
          <w:tcPr>
            <w:tcW w:w="1868" w:type="dxa"/>
            <w:vAlign w:val="top"/>
          </w:tcPr>
          <w:p>
            <w:pPr>
              <w:spacing w:line="244" w:lineRule="auto"/>
              <w:rPr>
                <w:rFonts w:ascii="Arial"/>
                <w:sz w:val="21"/>
              </w:rPr>
            </w:pPr>
          </w:p>
          <w:p>
            <w:pPr>
              <w:pStyle w:val="TableText"/>
              <w:spacing w:before="68" w:line="219" w:lineRule="auto"/>
              <w:ind w:left="530"/>
            </w:pPr>
            <w:r>
              <w:rPr>
                <w:spacing w:val="10"/>
              </w:rPr>
              <w:t>检定项目</w:t>
            </w:r>
          </w:p>
        </w:tc>
        <w:tc>
          <w:tcPr>
            <w:tcW w:w="1887" w:type="dxa"/>
            <w:vAlign w:val="top"/>
          </w:tcPr>
          <w:p>
            <w:pPr>
              <w:pStyle w:val="TableText"/>
              <w:spacing w:before="133" w:line="370" w:lineRule="exact"/>
              <w:ind w:left="722"/>
            </w:pPr>
            <w:r>
              <w:rPr>
                <w:spacing w:val="-3"/>
                <w:position w:val="12"/>
              </w:rPr>
              <w:t>首次</w:t>
            </w:r>
          </w:p>
          <w:p>
            <w:pPr>
              <w:pStyle w:val="TableText"/>
              <w:spacing w:line="219" w:lineRule="auto"/>
              <w:ind w:left="722"/>
            </w:pPr>
            <w:r>
              <w:rPr>
                <w:spacing w:val="6"/>
              </w:rPr>
              <w:t>检定</w:t>
            </w:r>
          </w:p>
        </w:tc>
        <w:tc>
          <w:tcPr>
            <w:tcW w:w="1878" w:type="dxa"/>
            <w:vAlign w:val="top"/>
          </w:tcPr>
          <w:p>
            <w:pPr>
              <w:pStyle w:val="TableText"/>
              <w:spacing w:before="144" w:line="359" w:lineRule="exact"/>
              <w:ind w:left="726"/>
            </w:pPr>
            <w:r>
              <w:rPr>
                <w:spacing w:val="5"/>
                <w:position w:val="11"/>
              </w:rPr>
              <w:t>后续</w:t>
            </w:r>
          </w:p>
          <w:p>
            <w:pPr>
              <w:pStyle w:val="TableText"/>
              <w:spacing w:line="219" w:lineRule="auto"/>
              <w:ind w:left="726"/>
            </w:pPr>
            <w:r>
              <w:rPr>
                <w:spacing w:val="6"/>
              </w:rPr>
              <w:t>检定</w:t>
            </w:r>
          </w:p>
        </w:tc>
        <w:tc>
          <w:tcPr>
            <w:tcW w:w="2662" w:type="dxa"/>
            <w:vAlign w:val="top"/>
          </w:tcPr>
          <w:p>
            <w:pPr>
              <w:pStyle w:val="TableText"/>
              <w:spacing w:before="143" w:line="219" w:lineRule="auto"/>
              <w:ind w:left="1007"/>
            </w:pPr>
            <w:r>
              <w:rPr>
                <w:spacing w:val="7"/>
              </w:rPr>
              <w:t>使用中</w:t>
            </w:r>
          </w:p>
          <w:p>
            <w:pPr>
              <w:pStyle w:val="TableText"/>
              <w:spacing w:before="100" w:line="219" w:lineRule="auto"/>
              <w:ind w:left="1117"/>
            </w:pPr>
            <w:r>
              <w:rPr>
                <w:spacing w:val="-3"/>
              </w:rPr>
              <w:t>检查</w:t>
            </w:r>
          </w:p>
        </w:tc>
      </w:tr>
      <w:tr>
        <w:tblPrEx>
          <w:tblW w:w="9139" w:type="dxa"/>
          <w:tblInd w:w="19" w:type="dxa"/>
          <w:tblLayout w:type="fixed"/>
        </w:tblPrEx>
        <w:trPr>
          <w:trHeight w:val="479"/>
        </w:trPr>
        <w:tc>
          <w:tcPr>
            <w:tcW w:w="844" w:type="dxa"/>
            <w:vAlign w:val="top"/>
          </w:tcPr>
          <w:p>
            <w:pPr>
              <w:pStyle w:val="TableText"/>
              <w:spacing w:before="193" w:line="184" w:lineRule="auto"/>
              <w:ind w:left="354"/>
            </w:pPr>
            <w:r>
              <w:t>1</w:t>
            </w:r>
          </w:p>
        </w:tc>
        <w:tc>
          <w:tcPr>
            <w:tcW w:w="1868" w:type="dxa"/>
            <w:vAlign w:val="top"/>
          </w:tcPr>
          <w:p>
            <w:pPr>
              <w:pStyle w:val="TableText"/>
              <w:spacing w:before="141" w:line="220" w:lineRule="auto"/>
              <w:ind w:left="110"/>
            </w:pPr>
            <w:r>
              <w:rPr>
                <w:spacing w:val="2"/>
              </w:rPr>
              <w:t>外观及标志</w:t>
            </w:r>
          </w:p>
        </w:tc>
        <w:tc>
          <w:tcPr>
            <w:tcW w:w="1887" w:type="dxa"/>
            <w:vAlign w:val="top"/>
          </w:tcPr>
          <w:p>
            <w:pPr>
              <w:pStyle w:val="TableText"/>
              <w:spacing w:before="141" w:line="221" w:lineRule="auto"/>
              <w:ind w:left="833"/>
            </w:pPr>
            <w:r>
              <w:t>十</w:t>
            </w:r>
          </w:p>
        </w:tc>
        <w:tc>
          <w:tcPr>
            <w:tcW w:w="1878" w:type="dxa"/>
            <w:vAlign w:val="top"/>
          </w:tcPr>
          <w:p>
            <w:pPr>
              <w:pStyle w:val="TableText"/>
              <w:spacing w:before="141" w:line="221" w:lineRule="auto"/>
              <w:ind w:left="825"/>
            </w:pPr>
            <w:r>
              <w:t>十</w:t>
            </w:r>
          </w:p>
        </w:tc>
        <w:tc>
          <w:tcPr>
            <w:tcW w:w="2662" w:type="dxa"/>
            <w:vAlign w:val="top"/>
          </w:tcPr>
          <w:p>
            <w:pPr>
              <w:pStyle w:val="TableText"/>
              <w:spacing w:before="141" w:line="221" w:lineRule="auto"/>
              <w:ind w:left="1218"/>
            </w:pPr>
            <w:r>
              <w:t>十</w:t>
            </w:r>
          </w:p>
        </w:tc>
      </w:tr>
      <w:tr>
        <w:tblPrEx>
          <w:tblW w:w="9139" w:type="dxa"/>
          <w:tblInd w:w="19" w:type="dxa"/>
          <w:tblLayout w:type="fixed"/>
        </w:tblPrEx>
        <w:trPr>
          <w:trHeight w:val="469"/>
        </w:trPr>
        <w:tc>
          <w:tcPr>
            <w:tcW w:w="844" w:type="dxa"/>
            <w:vAlign w:val="top"/>
          </w:tcPr>
          <w:p>
            <w:pPr>
              <w:pStyle w:val="TableText"/>
              <w:spacing w:before="185" w:line="183" w:lineRule="auto"/>
              <w:ind w:left="354"/>
            </w:pPr>
            <w:r>
              <w:t>2</w:t>
            </w:r>
          </w:p>
        </w:tc>
        <w:tc>
          <w:tcPr>
            <w:tcW w:w="1868" w:type="dxa"/>
            <w:vAlign w:val="top"/>
          </w:tcPr>
          <w:p>
            <w:pPr>
              <w:pStyle w:val="TableText"/>
              <w:spacing w:before="131" w:line="219" w:lineRule="auto"/>
              <w:ind w:left="110"/>
            </w:pPr>
            <w:r>
              <w:rPr>
                <w:spacing w:val="2"/>
              </w:rPr>
              <w:t>示值误差</w:t>
            </w:r>
          </w:p>
        </w:tc>
        <w:tc>
          <w:tcPr>
            <w:tcW w:w="1887" w:type="dxa"/>
            <w:vAlign w:val="top"/>
          </w:tcPr>
          <w:p>
            <w:pPr>
              <w:pStyle w:val="TableText"/>
              <w:spacing w:before="132" w:line="221" w:lineRule="auto"/>
              <w:ind w:left="833"/>
            </w:pPr>
            <w:r>
              <w:t>十</w:t>
            </w:r>
          </w:p>
        </w:tc>
        <w:tc>
          <w:tcPr>
            <w:tcW w:w="1878" w:type="dxa"/>
            <w:vAlign w:val="top"/>
          </w:tcPr>
          <w:p>
            <w:pPr>
              <w:pStyle w:val="TableText"/>
              <w:spacing w:before="132" w:line="221" w:lineRule="auto"/>
              <w:ind w:left="825"/>
            </w:pPr>
            <w:r>
              <w:t>十</w:t>
            </w:r>
          </w:p>
        </w:tc>
        <w:tc>
          <w:tcPr>
            <w:tcW w:w="2662" w:type="dxa"/>
            <w:vAlign w:val="top"/>
          </w:tcPr>
          <w:p>
            <w:pPr>
              <w:pStyle w:val="TableText"/>
              <w:spacing w:before="132" w:line="221" w:lineRule="auto"/>
              <w:ind w:left="1218"/>
            </w:pPr>
            <w:r>
              <w:t>十</w:t>
            </w:r>
          </w:p>
        </w:tc>
      </w:tr>
      <w:tr>
        <w:tblPrEx>
          <w:tblW w:w="9139" w:type="dxa"/>
          <w:tblInd w:w="19" w:type="dxa"/>
          <w:tblLayout w:type="fixed"/>
        </w:tblPrEx>
        <w:trPr>
          <w:trHeight w:val="489"/>
        </w:trPr>
        <w:tc>
          <w:tcPr>
            <w:tcW w:w="844" w:type="dxa"/>
            <w:vAlign w:val="top"/>
          </w:tcPr>
          <w:p>
            <w:pPr>
              <w:pStyle w:val="TableText"/>
              <w:spacing w:before="196" w:line="183" w:lineRule="auto"/>
              <w:ind w:left="354"/>
            </w:pPr>
            <w:r>
              <w:t>3</w:t>
            </w:r>
          </w:p>
        </w:tc>
        <w:tc>
          <w:tcPr>
            <w:tcW w:w="1868" w:type="dxa"/>
            <w:vAlign w:val="top"/>
          </w:tcPr>
          <w:p>
            <w:pPr>
              <w:pStyle w:val="TableText"/>
              <w:spacing w:before="142" w:line="219" w:lineRule="auto"/>
              <w:ind w:left="110"/>
            </w:pPr>
            <w:r>
              <w:rPr>
                <w:spacing w:val="-2"/>
              </w:rPr>
              <w:t>示值重复性</w:t>
            </w:r>
          </w:p>
        </w:tc>
        <w:tc>
          <w:tcPr>
            <w:tcW w:w="1887" w:type="dxa"/>
            <w:vAlign w:val="top"/>
          </w:tcPr>
          <w:p>
            <w:pPr>
              <w:pStyle w:val="TableText"/>
              <w:spacing w:before="143" w:line="221" w:lineRule="auto"/>
              <w:ind w:left="833"/>
            </w:pPr>
            <w:r>
              <w:t>十</w:t>
            </w:r>
          </w:p>
        </w:tc>
        <w:tc>
          <w:tcPr>
            <w:tcW w:w="1878" w:type="dxa"/>
            <w:vAlign w:val="top"/>
          </w:tcPr>
          <w:p>
            <w:pPr>
              <w:pStyle w:val="TableText"/>
              <w:spacing w:before="143" w:line="221" w:lineRule="auto"/>
              <w:ind w:left="825"/>
            </w:pPr>
            <w:r>
              <w:t>十</w:t>
            </w:r>
          </w:p>
        </w:tc>
        <w:tc>
          <w:tcPr>
            <w:tcW w:w="2662" w:type="dxa"/>
            <w:vAlign w:val="top"/>
          </w:tcPr>
          <w:p>
            <w:pPr>
              <w:rPr>
                <w:rFonts w:ascii="Arial"/>
                <w:sz w:val="21"/>
              </w:rPr>
            </w:pPr>
          </w:p>
        </w:tc>
      </w:tr>
      <w:tr>
        <w:tblPrEx>
          <w:tblW w:w="9139" w:type="dxa"/>
          <w:tblInd w:w="19" w:type="dxa"/>
          <w:tblLayout w:type="fixed"/>
        </w:tblPrEx>
        <w:trPr>
          <w:trHeight w:val="469"/>
        </w:trPr>
        <w:tc>
          <w:tcPr>
            <w:tcW w:w="844" w:type="dxa"/>
            <w:vAlign w:val="top"/>
          </w:tcPr>
          <w:p>
            <w:pPr>
              <w:pStyle w:val="TableText"/>
              <w:spacing w:before="187" w:line="183" w:lineRule="auto"/>
              <w:ind w:left="354"/>
            </w:pPr>
            <w:r>
              <w:t>4</w:t>
            </w:r>
          </w:p>
        </w:tc>
        <w:tc>
          <w:tcPr>
            <w:tcW w:w="1868" w:type="dxa"/>
            <w:vAlign w:val="top"/>
          </w:tcPr>
          <w:p>
            <w:pPr>
              <w:pStyle w:val="TableText"/>
              <w:spacing w:before="134" w:line="221" w:lineRule="auto"/>
              <w:ind w:left="110"/>
            </w:pPr>
            <w:r>
              <w:rPr>
                <w:spacing w:val="-2"/>
              </w:rPr>
              <w:t>绝缘电阻</w:t>
            </w:r>
          </w:p>
        </w:tc>
        <w:tc>
          <w:tcPr>
            <w:tcW w:w="1887" w:type="dxa"/>
            <w:vAlign w:val="top"/>
          </w:tcPr>
          <w:p>
            <w:pPr>
              <w:pStyle w:val="TableText"/>
              <w:spacing w:before="134" w:line="221" w:lineRule="auto"/>
              <w:ind w:left="833"/>
            </w:pPr>
            <w:r>
              <w:t>十</w:t>
            </w:r>
          </w:p>
        </w:tc>
        <w:tc>
          <w:tcPr>
            <w:tcW w:w="1878" w:type="dxa"/>
            <w:vAlign w:val="top"/>
          </w:tcPr>
          <w:p>
            <w:pPr>
              <w:pStyle w:val="TableText"/>
              <w:spacing w:before="154" w:line="297" w:lineRule="exact"/>
              <w:ind w:left="875"/>
            </w:pPr>
            <w:r>
              <w:rPr>
                <w:position w:val="1"/>
              </w:rPr>
              <w:t>+</w:t>
            </w:r>
          </w:p>
        </w:tc>
        <w:tc>
          <w:tcPr>
            <w:tcW w:w="2662" w:type="dxa"/>
            <w:vAlign w:val="top"/>
          </w:tcPr>
          <w:p>
            <w:pPr>
              <w:rPr>
                <w:rFonts w:ascii="Arial"/>
                <w:sz w:val="21"/>
              </w:rPr>
            </w:pPr>
          </w:p>
        </w:tc>
      </w:tr>
      <w:tr>
        <w:tblPrEx>
          <w:tblW w:w="9139" w:type="dxa"/>
          <w:tblInd w:w="19" w:type="dxa"/>
          <w:tblLayout w:type="fixed"/>
        </w:tblPrEx>
        <w:trPr>
          <w:trHeight w:val="479"/>
        </w:trPr>
        <w:tc>
          <w:tcPr>
            <w:tcW w:w="844" w:type="dxa"/>
            <w:vAlign w:val="top"/>
          </w:tcPr>
          <w:p>
            <w:pPr>
              <w:pStyle w:val="TableText"/>
              <w:spacing w:before="199" w:line="182" w:lineRule="auto"/>
              <w:ind w:left="354"/>
            </w:pPr>
            <w:r>
              <w:t>5</w:t>
            </w:r>
          </w:p>
        </w:tc>
        <w:tc>
          <w:tcPr>
            <w:tcW w:w="1868" w:type="dxa"/>
            <w:vAlign w:val="top"/>
          </w:tcPr>
          <w:p>
            <w:pPr>
              <w:pStyle w:val="TableText"/>
              <w:spacing w:before="145" w:line="220" w:lineRule="auto"/>
              <w:ind w:left="110"/>
            </w:pPr>
            <w:r>
              <w:rPr>
                <w:spacing w:val="3"/>
              </w:rPr>
              <w:t>绝缘强度</w:t>
            </w:r>
          </w:p>
        </w:tc>
        <w:tc>
          <w:tcPr>
            <w:tcW w:w="1887" w:type="dxa"/>
            <w:vAlign w:val="top"/>
          </w:tcPr>
          <w:p>
            <w:pPr>
              <w:pStyle w:val="TableText"/>
              <w:spacing w:before="145" w:line="221" w:lineRule="auto"/>
              <w:ind w:left="833"/>
            </w:pPr>
            <w:r>
              <w:t>十</w:t>
            </w:r>
          </w:p>
        </w:tc>
        <w:tc>
          <w:tcPr>
            <w:tcW w:w="1878" w:type="dxa"/>
            <w:vAlign w:val="top"/>
          </w:tcPr>
          <w:p>
            <w:pPr>
              <w:tabs>
                <w:tab w:val="left" w:pos="965"/>
              </w:tabs>
              <w:spacing w:before="48" w:line="241" w:lineRule="exact"/>
              <w:ind w:left="905"/>
              <w:rPr>
                <w:rFonts w:ascii="Arial"/>
                <w:sz w:val="21"/>
              </w:rPr>
            </w:pPr>
            <w:r>
              <w:rPr>
                <w:rFonts w:ascii="Arial" w:eastAsia="Arial" w:hAnsi="Arial" w:cs="Arial"/>
                <w:sz w:val="21"/>
                <w:szCs w:val="21"/>
                <w:u w:val="single" w:color="auto"/>
              </w:rPr>
              <w:tab/>
            </w:r>
          </w:p>
        </w:tc>
        <w:tc>
          <w:tcPr>
            <w:tcW w:w="2662" w:type="dxa"/>
            <w:vAlign w:val="top"/>
          </w:tcPr>
          <w:p>
            <w:pPr>
              <w:rPr>
                <w:rFonts w:ascii="Arial"/>
                <w:sz w:val="21"/>
              </w:rPr>
            </w:pPr>
          </w:p>
        </w:tc>
      </w:tr>
      <w:tr>
        <w:tblPrEx>
          <w:tblW w:w="9139" w:type="dxa"/>
          <w:tblInd w:w="19" w:type="dxa"/>
          <w:tblLayout w:type="fixed"/>
        </w:tblPrEx>
        <w:trPr>
          <w:trHeight w:val="1252"/>
        </w:trPr>
        <w:tc>
          <w:tcPr>
            <w:tcW w:w="9139" w:type="dxa"/>
            <w:gridSpan w:val="5"/>
            <w:vAlign w:val="top"/>
          </w:tcPr>
          <w:p>
            <w:pPr>
              <w:pStyle w:val="TableText"/>
              <w:spacing w:before="185" w:line="369" w:lineRule="exact"/>
              <w:ind w:left="934"/>
            </w:pPr>
            <w:r>
              <w:rPr>
                <w:position w:val="11"/>
              </w:rPr>
              <w:t>注：1.表中“+”为需要检定的项目，“一”为不需要检定的项目。</w:t>
            </w:r>
          </w:p>
          <w:p>
            <w:pPr>
              <w:pStyle w:val="TableText"/>
              <w:spacing w:line="218" w:lineRule="auto"/>
              <w:ind w:left="934"/>
            </w:pPr>
            <w:r>
              <w:t>2.绝缘电阻和绝缘强度两项只对使用交流电源的粉</w:t>
            </w:r>
            <w:r>
              <w:rPr>
                <w:spacing w:val="-1"/>
              </w:rPr>
              <w:t>尘采样器要求。</w:t>
            </w:r>
          </w:p>
          <w:p>
            <w:pPr>
              <w:pStyle w:val="TableText"/>
              <w:spacing w:before="112" w:line="219" w:lineRule="auto"/>
              <w:ind w:left="934"/>
            </w:pPr>
            <w:r>
              <w:rPr>
                <w:spacing w:val="-1"/>
              </w:rPr>
              <w:t>3.修理或更换主要部件后的检定，按首次检定进行。</w:t>
            </w:r>
          </w:p>
        </w:tc>
      </w:tr>
    </w:tbl>
    <w:p>
      <w:pPr>
        <w:pStyle w:val="BodyText"/>
        <w:spacing w:before="154" w:line="219" w:lineRule="auto"/>
        <w:rPr>
          <w:sz w:val="23"/>
          <w:szCs w:val="23"/>
        </w:rPr>
      </w:pPr>
      <w:r>
        <w:rPr>
          <w:spacing w:val="4"/>
          <w:sz w:val="23"/>
          <w:szCs w:val="23"/>
        </w:rPr>
        <w:t>5.4  检定方法</w:t>
      </w:r>
    </w:p>
    <w:p>
      <w:pPr>
        <w:pStyle w:val="BodyText"/>
        <w:spacing w:before="128" w:line="220" w:lineRule="auto"/>
        <w:rPr>
          <w:sz w:val="23"/>
          <w:szCs w:val="23"/>
        </w:rPr>
      </w:pPr>
      <w:r>
        <w:rPr>
          <w:spacing w:val="5"/>
          <w:sz w:val="23"/>
          <w:szCs w:val="23"/>
        </w:rPr>
        <w:t>5.4.1  外观及标志</w:t>
      </w:r>
    </w:p>
    <w:p>
      <w:pPr>
        <w:pStyle w:val="BodyText"/>
        <w:spacing w:before="105" w:line="219" w:lineRule="auto"/>
        <w:ind w:left="469"/>
        <w:rPr>
          <w:sz w:val="23"/>
          <w:szCs w:val="23"/>
        </w:rPr>
      </w:pPr>
      <w:r>
        <w:rPr>
          <w:spacing w:val="7"/>
          <w:sz w:val="23"/>
          <w:szCs w:val="23"/>
        </w:rPr>
        <w:t>粉尘仪的外观和标志用手感、目察法检查。</w:t>
      </w:r>
    </w:p>
    <w:p>
      <w:pPr>
        <w:pStyle w:val="BodyText"/>
        <w:spacing w:before="138" w:line="219" w:lineRule="auto"/>
        <w:rPr>
          <w:sz w:val="23"/>
          <w:szCs w:val="23"/>
        </w:rPr>
      </w:pPr>
      <w:r>
        <w:rPr>
          <w:spacing w:val="5"/>
          <w:sz w:val="23"/>
          <w:szCs w:val="23"/>
        </w:rPr>
        <w:t>5.4.2  示值误差</w:t>
      </w:r>
    </w:p>
    <w:p>
      <w:pPr>
        <w:pStyle w:val="BodyText"/>
        <w:spacing w:before="117" w:line="220" w:lineRule="auto"/>
        <w:rPr>
          <w:sz w:val="23"/>
          <w:szCs w:val="23"/>
        </w:rPr>
      </w:pPr>
      <w:hyperlink r:id="rId24" w:history="1">
        <w:r>
          <w:rPr>
            <w:spacing w:val="6"/>
            <w:sz w:val="23"/>
            <w:szCs w:val="23"/>
          </w:rPr>
          <w:t>5.4.2.1</w:t>
        </w:r>
      </w:hyperlink>
      <w:r>
        <w:rPr>
          <w:spacing w:val="6"/>
          <w:sz w:val="23"/>
          <w:szCs w:val="23"/>
        </w:rPr>
        <w:t xml:space="preserve">  试验前的准备及相关要求</w:t>
      </w:r>
    </w:p>
    <w:p>
      <w:pPr>
        <w:pStyle w:val="BodyText"/>
        <w:spacing w:before="98" w:line="318" w:lineRule="auto"/>
        <w:ind w:right="62" w:firstLine="469"/>
        <w:rPr>
          <w:sz w:val="23"/>
          <w:szCs w:val="23"/>
        </w:rPr>
      </w:pPr>
      <w:r>
        <w:rPr>
          <w:spacing w:val="16"/>
          <w:sz w:val="23"/>
          <w:szCs w:val="23"/>
        </w:rPr>
        <w:t xml:space="preserve">当粉尘仪的测量范围上限大于10 </w:t>
      </w:r>
      <w:r>
        <w:rPr>
          <w:sz w:val="23"/>
          <w:szCs w:val="23"/>
        </w:rPr>
        <w:t>mg</w:t>
      </w:r>
      <w:r>
        <w:rPr>
          <w:spacing w:val="16"/>
          <w:sz w:val="23"/>
          <w:szCs w:val="23"/>
        </w:rPr>
        <w:t>/m³</w:t>
      </w:r>
      <w:r>
        <w:rPr>
          <w:spacing w:val="3"/>
          <w:sz w:val="23"/>
          <w:szCs w:val="23"/>
        </w:rPr>
        <w:t xml:space="preserve">  </w:t>
      </w:r>
      <w:r>
        <w:rPr>
          <w:spacing w:val="16"/>
          <w:sz w:val="23"/>
          <w:szCs w:val="23"/>
        </w:rPr>
        <w:t>时，发尘装置应使用高浓度粉</w:t>
      </w:r>
      <w:r>
        <w:rPr>
          <w:spacing w:val="15"/>
          <w:sz w:val="23"/>
          <w:szCs w:val="23"/>
        </w:rPr>
        <w:t>尘发生装</w:t>
      </w:r>
      <w:r>
        <w:rPr>
          <w:spacing w:val="1"/>
          <w:sz w:val="23"/>
          <w:szCs w:val="23"/>
        </w:rPr>
        <w:t xml:space="preserve"> </w:t>
      </w:r>
      <w:r>
        <w:rPr>
          <w:spacing w:val="12"/>
          <w:sz w:val="23"/>
          <w:szCs w:val="23"/>
        </w:rPr>
        <w:t>置，并选用</w:t>
      </w:r>
      <w:hyperlink r:id="rId25" w:history="1">
        <w:r>
          <w:rPr>
            <w:spacing w:val="12"/>
            <w:sz w:val="23"/>
            <w:szCs w:val="23"/>
          </w:rPr>
          <w:t>5.4.2.2</w:t>
        </w:r>
      </w:hyperlink>
      <w:r>
        <w:rPr>
          <w:spacing w:val="12"/>
          <w:sz w:val="23"/>
          <w:szCs w:val="23"/>
        </w:rPr>
        <w:t xml:space="preserve">规定的方法；当被检粉尘仪的测量范围上限小于或等于10 </w:t>
      </w:r>
      <w:r>
        <w:rPr>
          <w:rFonts w:ascii="Times New Roman" w:eastAsia="Times New Roman" w:hAnsi="Times New Roman" w:cs="Times New Roman"/>
          <w:sz w:val="23"/>
          <w:szCs w:val="23"/>
        </w:rPr>
        <w:t>mg</w:t>
      </w:r>
      <w:r>
        <w:rPr>
          <w:rFonts w:ascii="Times New Roman" w:eastAsia="Times New Roman" w:hAnsi="Times New Roman" w:cs="Times New Roman"/>
          <w:spacing w:val="12"/>
          <w:sz w:val="23"/>
          <w:szCs w:val="23"/>
        </w:rPr>
        <w:t xml:space="preserve">/m³   </w:t>
      </w:r>
      <w:r>
        <w:rPr>
          <w:spacing w:val="12"/>
          <w:sz w:val="23"/>
          <w:szCs w:val="23"/>
        </w:rPr>
        <w:t>时，发尘装置应使用低浓度粉尘发生装置或标准粒子发生装置，并选用</w:t>
      </w:r>
      <w:hyperlink r:id="rId26" w:history="1">
        <w:r>
          <w:rPr>
            <w:spacing w:val="12"/>
            <w:sz w:val="23"/>
            <w:szCs w:val="23"/>
          </w:rPr>
          <w:t>5.4.2.3</w:t>
        </w:r>
      </w:hyperlink>
      <w:r>
        <w:rPr>
          <w:spacing w:val="12"/>
          <w:sz w:val="23"/>
          <w:szCs w:val="23"/>
        </w:rPr>
        <w:t>规定的</w:t>
      </w:r>
    </w:p>
    <w:p>
      <w:pPr>
        <w:pStyle w:val="BodyText"/>
        <w:spacing w:before="1" w:line="220" w:lineRule="auto"/>
        <w:rPr>
          <w:sz w:val="23"/>
          <w:szCs w:val="23"/>
        </w:rPr>
      </w:pPr>
      <w:r>
        <w:rPr>
          <w:spacing w:val="-10"/>
          <w:sz w:val="23"/>
          <w:szCs w:val="23"/>
        </w:rPr>
        <w:t>方法。</w:t>
      </w:r>
    </w:p>
    <w:p>
      <w:pPr>
        <w:pStyle w:val="BodyText"/>
        <w:spacing w:before="114" w:line="313" w:lineRule="auto"/>
        <w:ind w:right="68" w:firstLine="469"/>
        <w:rPr>
          <w:sz w:val="23"/>
          <w:szCs w:val="23"/>
        </w:rPr>
      </w:pPr>
      <w:r>
        <w:rPr>
          <w:spacing w:val="10"/>
          <w:sz w:val="23"/>
          <w:szCs w:val="23"/>
        </w:rPr>
        <w:t>对于含有总粉尘采样功能的仪器，示值误差检测采用其总粉尘采样功能；对于只能</w:t>
      </w:r>
      <w:r>
        <w:rPr>
          <w:spacing w:val="11"/>
          <w:sz w:val="23"/>
          <w:szCs w:val="23"/>
        </w:rPr>
        <w:t xml:space="preserve"> </w:t>
      </w:r>
      <w:r>
        <w:rPr>
          <w:spacing w:val="16"/>
          <w:sz w:val="23"/>
          <w:szCs w:val="23"/>
        </w:rPr>
        <w:t>测量呼吸性粉尘(或带有单一粒径切割器)的粉尘仪，标准采样装置应增加连接与被检</w:t>
      </w:r>
    </w:p>
    <w:p>
      <w:pPr>
        <w:pStyle w:val="BodyText"/>
        <w:spacing w:line="219" w:lineRule="auto"/>
        <w:rPr>
          <w:sz w:val="23"/>
          <w:szCs w:val="23"/>
        </w:rPr>
      </w:pPr>
      <w:r>
        <w:rPr>
          <w:spacing w:val="14"/>
          <w:sz w:val="23"/>
          <w:szCs w:val="23"/>
        </w:rPr>
        <w:t>粉尘仪相同的分离装置(或单一粒径切割器)。</w:t>
      </w:r>
    </w:p>
    <w:p>
      <w:pPr>
        <w:pStyle w:val="BodyText"/>
        <w:spacing w:before="116" w:line="313" w:lineRule="auto"/>
        <w:ind w:right="51" w:firstLine="469"/>
        <w:rPr>
          <w:sz w:val="23"/>
          <w:szCs w:val="23"/>
        </w:rPr>
        <w:sectPr>
          <w:headerReference w:type="default" r:id="rId27"/>
          <w:footerReference w:type="default" r:id="rId28"/>
          <w:pgSz w:w="11900" w:h="16840"/>
          <w:pgMar w:top="1740" w:right="1329" w:bottom="1042" w:left="1380" w:header="1419" w:footer="883" w:gutter="0"/>
          <w:pgNumType w:start="5"/>
          <w:cols w:space="708"/>
        </w:sectPr>
      </w:pPr>
      <w:r>
        <w:rPr>
          <w:spacing w:val="11"/>
          <w:sz w:val="23"/>
          <w:szCs w:val="23"/>
        </w:rPr>
        <w:t>粉尘仪及标准采样装置应优选放置在粉尘环境中，但其对流场</w:t>
      </w:r>
      <w:r>
        <w:rPr>
          <w:spacing w:val="10"/>
          <w:sz w:val="23"/>
          <w:szCs w:val="23"/>
        </w:rPr>
        <w:t>的阻塞面积应不超过</w:t>
      </w:r>
      <w:r>
        <w:rPr>
          <w:sz w:val="23"/>
          <w:szCs w:val="23"/>
        </w:rPr>
        <w:t xml:space="preserve"> </w:t>
      </w:r>
      <w:r>
        <w:rPr>
          <w:spacing w:val="19"/>
          <w:sz w:val="23"/>
          <w:szCs w:val="23"/>
        </w:rPr>
        <w:t>5%;若放置在粉尘环境以外，则应将采样头及滤膜放置在粉尘环境内，且采样传输管</w:t>
      </w:r>
    </w:p>
    <w:p>
      <w:pPr>
        <w:pStyle w:val="BodyText"/>
        <w:spacing w:before="1" w:line="218" w:lineRule="auto"/>
        <w:rPr>
          <w:sz w:val="23"/>
          <w:szCs w:val="23"/>
        </w:rPr>
      </w:pPr>
      <w:r>
        <w:rPr>
          <w:spacing w:val="9"/>
          <w:sz w:val="23"/>
          <w:szCs w:val="23"/>
        </w:rPr>
        <w:t>的形状、大小、材料应完全相同，保证采样粉尘的</w:t>
      </w:r>
      <w:r>
        <w:rPr>
          <w:spacing w:val="8"/>
          <w:sz w:val="23"/>
          <w:szCs w:val="23"/>
        </w:rPr>
        <w:t>传输效率相同。</w:t>
      </w:r>
    </w:p>
    <w:p>
      <w:pPr>
        <w:pStyle w:val="BodyText"/>
        <w:spacing w:before="129" w:line="256" w:lineRule="auto"/>
        <w:ind w:right="61" w:firstLine="469"/>
        <w:rPr>
          <w:sz w:val="23"/>
          <w:szCs w:val="23"/>
        </w:rPr>
      </w:pPr>
      <w:r>
        <w:rPr>
          <w:spacing w:val="10"/>
          <w:sz w:val="23"/>
          <w:szCs w:val="23"/>
        </w:rPr>
        <w:t>试验前，应按粉尘仪使用说明书的要求作好相关的准备工作，如：确定试验粉尘的</w:t>
      </w:r>
      <w:r>
        <w:rPr>
          <w:spacing w:val="17"/>
          <w:sz w:val="23"/>
          <w:szCs w:val="23"/>
        </w:rPr>
        <w:t xml:space="preserve"> </w:t>
      </w:r>
      <w:r>
        <w:rPr>
          <w:spacing w:val="-1"/>
          <w:sz w:val="23"/>
          <w:szCs w:val="23"/>
        </w:rPr>
        <w:t xml:space="preserve">粉尘系数 </w:t>
      </w:r>
      <w:r>
        <w:rPr>
          <w:rFonts w:ascii="Times New Roman" w:eastAsia="Times New Roman" w:hAnsi="Times New Roman" w:cs="Times New Roman"/>
          <w:spacing w:val="-1"/>
          <w:sz w:val="23"/>
          <w:szCs w:val="23"/>
        </w:rPr>
        <w:t xml:space="preserve">(K  </w:t>
      </w:r>
      <w:r>
        <w:rPr>
          <w:spacing w:val="-1"/>
          <w:sz w:val="23"/>
          <w:szCs w:val="23"/>
        </w:rPr>
        <w:t>值</w:t>
      </w:r>
      <w:r>
        <w:rPr>
          <w:spacing w:val="-45"/>
          <w:sz w:val="23"/>
          <w:szCs w:val="23"/>
        </w:rPr>
        <w:t xml:space="preserve"> </w:t>
      </w:r>
      <w:r>
        <w:rPr>
          <w:spacing w:val="-1"/>
          <w:sz w:val="23"/>
          <w:szCs w:val="23"/>
        </w:rPr>
        <w:t>)</w:t>
      </w:r>
      <w:r>
        <w:rPr>
          <w:spacing w:val="-44"/>
          <w:sz w:val="23"/>
          <w:szCs w:val="23"/>
        </w:rPr>
        <w:t xml:space="preserve"> </w:t>
      </w:r>
      <w:r>
        <w:rPr>
          <w:spacing w:val="-1"/>
          <w:sz w:val="23"/>
          <w:szCs w:val="23"/>
        </w:rPr>
        <w:t>等</w:t>
      </w:r>
      <w:r>
        <w:rPr>
          <w:spacing w:val="-54"/>
          <w:sz w:val="23"/>
          <w:szCs w:val="23"/>
        </w:rPr>
        <w:t xml:space="preserve"> </w:t>
      </w:r>
      <w:r>
        <w:rPr>
          <w:spacing w:val="-1"/>
          <w:sz w:val="23"/>
          <w:szCs w:val="23"/>
        </w:rPr>
        <w:t>。</w:t>
      </w:r>
    </w:p>
    <w:p>
      <w:pPr>
        <w:pStyle w:val="BodyText"/>
        <w:spacing w:before="125" w:line="407" w:lineRule="exact"/>
        <w:rPr>
          <w:sz w:val="23"/>
          <w:szCs w:val="23"/>
        </w:rPr>
      </w:pPr>
      <w:hyperlink r:id="rId25" w:history="1">
        <w:r>
          <w:rPr>
            <w:spacing w:val="11"/>
            <w:position w:val="13"/>
            <w:sz w:val="23"/>
            <w:szCs w:val="23"/>
          </w:rPr>
          <w:t>5.4.2.2</w:t>
        </w:r>
      </w:hyperlink>
      <w:r>
        <w:rPr>
          <w:spacing w:val="11"/>
          <w:position w:val="13"/>
          <w:sz w:val="23"/>
          <w:szCs w:val="23"/>
        </w:rPr>
        <w:t xml:space="preserve">  当粉尘仪的测量范围上限大于10 </w:t>
      </w:r>
      <w:r>
        <w:rPr>
          <w:rFonts w:ascii="Times New Roman" w:eastAsia="Times New Roman" w:hAnsi="Times New Roman" w:cs="Times New Roman"/>
          <w:position w:val="13"/>
          <w:sz w:val="23"/>
          <w:szCs w:val="23"/>
        </w:rPr>
        <w:t>mg</w:t>
      </w:r>
      <w:r>
        <w:rPr>
          <w:rFonts w:ascii="Times New Roman" w:eastAsia="Times New Roman" w:hAnsi="Times New Roman" w:cs="Times New Roman"/>
          <w:spacing w:val="11"/>
          <w:position w:val="13"/>
          <w:sz w:val="23"/>
          <w:szCs w:val="23"/>
        </w:rPr>
        <w:t xml:space="preserve">/m³   </w:t>
      </w:r>
      <w:r>
        <w:rPr>
          <w:spacing w:val="11"/>
          <w:position w:val="13"/>
          <w:sz w:val="23"/>
          <w:szCs w:val="23"/>
        </w:rPr>
        <w:t>时，测量示值误差的检定系统可参</w:t>
      </w:r>
    </w:p>
    <w:p>
      <w:pPr>
        <w:pStyle w:val="BodyText"/>
        <w:spacing w:line="220" w:lineRule="auto"/>
        <w:rPr>
          <w:sz w:val="23"/>
          <w:szCs w:val="23"/>
        </w:rPr>
      </w:pPr>
      <w:r>
        <w:rPr>
          <w:spacing w:val="16"/>
          <w:sz w:val="23"/>
          <w:szCs w:val="23"/>
        </w:rPr>
        <w:t>照如图1所示的装置。</w:t>
      </w:r>
    </w:p>
    <w:p>
      <w:pPr>
        <w:spacing w:line="220" w:lineRule="auto"/>
        <w:rPr>
          <w:sz w:val="23"/>
          <w:szCs w:val="23"/>
        </w:rPr>
        <w:sectPr>
          <w:headerReference w:type="default" r:id="rId29"/>
          <w:footerReference w:type="default" r:id="rId30"/>
          <w:type w:val="nextPage"/>
          <w:pgSz w:w="11900" w:h="16840"/>
          <w:pgMar w:top="1740" w:right="1329" w:bottom="1042" w:left="1380" w:header="1419" w:footer="883" w:gutter="0"/>
          <w:pgNumType w:start="6"/>
          <w:cols w:space="708"/>
          <w:titlePg w:val="0"/>
        </w:sectPr>
      </w:pPr>
    </w:p>
    <w:p>
      <w:pPr>
        <w:spacing w:before="180" w:line="2790" w:lineRule="exact"/>
        <w:ind w:firstLine="2080"/>
      </w:pPr>
      <w:r>
        <w:rPr>
          <w:position w:val="-55"/>
        </w:rPr>
        <w:drawing>
          <wp:inline distT="0" distB="0" distL="0" distR="0">
            <wp:extent cx="3232142" cy="177168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1"/>
                    <a:stretch>
                      <a:fillRect/>
                    </a:stretch>
                  </pic:blipFill>
                  <pic:spPr>
                    <a:xfrm>
                      <a:off x="0" y="0"/>
                      <a:ext cx="3232142" cy="1771682"/>
                    </a:xfrm>
                    <a:prstGeom prst="rect">
                      <a:avLst/>
                    </a:prstGeom>
                  </pic:spPr>
                </pic:pic>
              </a:graphicData>
            </a:graphic>
          </wp:inline>
        </w:drawing>
      </w:r>
    </w:p>
    <w:p>
      <w:pPr>
        <w:pStyle w:val="BodyText"/>
        <w:spacing w:before="278" w:line="219" w:lineRule="auto"/>
        <w:ind w:left="2679"/>
        <w:rPr>
          <w:sz w:val="23"/>
          <w:szCs w:val="23"/>
        </w:rPr>
      </w:pPr>
      <w:r>
        <w:rPr>
          <w:spacing w:val="-18"/>
          <w:sz w:val="23"/>
          <w:szCs w:val="23"/>
        </w:rPr>
        <w:t>图1</w:t>
      </w:r>
      <w:r>
        <w:rPr>
          <w:spacing w:val="82"/>
          <w:sz w:val="23"/>
          <w:szCs w:val="23"/>
        </w:rPr>
        <w:t xml:space="preserve"> </w:t>
      </w:r>
      <w:r>
        <w:rPr>
          <w:spacing w:val="-18"/>
          <w:sz w:val="23"/>
          <w:szCs w:val="23"/>
        </w:rPr>
        <w:t>用传输管的粉尘测量误差检定示意图</w:t>
      </w:r>
    </w:p>
    <w:p>
      <w:pPr>
        <w:pStyle w:val="BodyText"/>
        <w:spacing w:before="67" w:line="219" w:lineRule="auto"/>
        <w:ind w:left="1120"/>
      </w:pPr>
      <w:r>
        <w:rPr>
          <w:spacing w:val="-22"/>
          <w:w w:val="97"/>
        </w:rPr>
        <w:t>1—给尘装置；2—风速测量点；3—薄壁标准采样管；4—粉尘浓度监控探头</w:t>
      </w:r>
    </w:p>
    <w:p>
      <w:pPr>
        <w:pStyle w:val="BodyText"/>
        <w:spacing w:before="35" w:line="219" w:lineRule="auto"/>
        <w:ind w:left="1610"/>
      </w:pPr>
      <w:r>
        <w:rPr>
          <w:spacing w:val="-22"/>
          <w:w w:val="96"/>
        </w:rPr>
        <w:t>5—风机；6—被检粉尘仪用采样口；7—粉尘浓度检定装置测试段；</w:t>
      </w:r>
    </w:p>
    <w:p>
      <w:pPr>
        <w:pStyle w:val="BodyText"/>
        <w:spacing w:before="55" w:line="219" w:lineRule="auto"/>
        <w:ind w:left="2020"/>
      </w:pPr>
      <w:r>
        <w:rPr>
          <w:spacing w:val="-21"/>
          <w:w w:val="96"/>
        </w:rPr>
        <w:t>8—传输管；9—带滤膜的标准采样装置；10—被检粉尘仪</w:t>
      </w:r>
    </w:p>
    <w:p>
      <w:pPr>
        <w:pStyle w:val="BodyText"/>
        <w:spacing w:before="86" w:line="277" w:lineRule="auto"/>
        <w:ind w:left="39" w:right="62" w:firstLine="500"/>
        <w:jc w:val="both"/>
        <w:rPr>
          <w:sz w:val="23"/>
          <w:szCs w:val="23"/>
        </w:rPr>
      </w:pPr>
      <w:r>
        <w:rPr>
          <w:spacing w:val="28"/>
          <w:sz w:val="23"/>
          <w:szCs w:val="23"/>
        </w:rPr>
        <w:t>选取粉尘仪检测浓度范围的20%、50%、80%</w:t>
      </w:r>
      <w:r>
        <w:rPr>
          <w:spacing w:val="27"/>
          <w:sz w:val="23"/>
          <w:szCs w:val="23"/>
        </w:rPr>
        <w:t>左右的3个测量点，用标准采样装</w:t>
      </w:r>
      <w:r>
        <w:rPr>
          <w:sz w:val="23"/>
          <w:szCs w:val="23"/>
        </w:rPr>
        <w:t xml:space="preserve"> </w:t>
      </w:r>
      <w:r>
        <w:rPr>
          <w:spacing w:val="14"/>
          <w:sz w:val="23"/>
          <w:szCs w:val="23"/>
        </w:rPr>
        <w:t>置与粉尘仪在相同条件下采样；每次均匀记</w:t>
      </w:r>
      <w:r>
        <w:rPr>
          <w:spacing w:val="13"/>
          <w:sz w:val="23"/>
          <w:szCs w:val="23"/>
        </w:rPr>
        <w:t>录粉尘仪6个稳定的粉尘浓度显示值，取其</w:t>
      </w:r>
      <w:r>
        <w:rPr>
          <w:sz w:val="23"/>
          <w:szCs w:val="23"/>
        </w:rPr>
        <w:t xml:space="preserve"> </w:t>
      </w:r>
      <w:r>
        <w:rPr>
          <w:spacing w:val="15"/>
          <w:sz w:val="23"/>
          <w:szCs w:val="23"/>
        </w:rPr>
        <w:t>算数平均值作为该次粉尘仪的显示浓度值pì;</w:t>
      </w:r>
      <w:r>
        <w:rPr>
          <w:spacing w:val="62"/>
          <w:sz w:val="23"/>
          <w:szCs w:val="23"/>
        </w:rPr>
        <w:t xml:space="preserve"> </w:t>
      </w:r>
      <w:r>
        <w:rPr>
          <w:spacing w:val="15"/>
          <w:sz w:val="23"/>
          <w:szCs w:val="23"/>
        </w:rPr>
        <w:t>每次用标准采样管的采样流量、采样时</w:t>
      </w:r>
      <w:r>
        <w:rPr>
          <w:sz w:val="23"/>
          <w:szCs w:val="23"/>
        </w:rPr>
        <w:t xml:space="preserve"> </w:t>
      </w:r>
      <w:r>
        <w:rPr>
          <w:spacing w:val="22"/>
          <w:sz w:val="23"/>
          <w:szCs w:val="23"/>
        </w:rPr>
        <w:t>间、滤膜采样前后增加粉尘的质量(一般控制在1</w:t>
      </w:r>
      <w:r>
        <w:rPr>
          <w:sz w:val="23"/>
          <w:szCs w:val="23"/>
        </w:rPr>
        <w:t>mg</w:t>
      </w:r>
      <w:r>
        <w:rPr>
          <w:spacing w:val="22"/>
          <w:sz w:val="23"/>
          <w:szCs w:val="23"/>
        </w:rPr>
        <w:t>～5</w:t>
      </w:r>
      <w:r>
        <w:rPr>
          <w:sz w:val="23"/>
          <w:szCs w:val="23"/>
        </w:rPr>
        <w:t>mg</w:t>
      </w:r>
      <w:r>
        <w:rPr>
          <w:spacing w:val="22"/>
          <w:sz w:val="23"/>
          <w:szCs w:val="23"/>
        </w:rPr>
        <w:t>)   等参数按式(1)计算的</w:t>
      </w:r>
      <w:r>
        <w:rPr>
          <w:spacing w:val="8"/>
          <w:sz w:val="23"/>
          <w:szCs w:val="23"/>
        </w:rPr>
        <w:t xml:space="preserve"> </w:t>
      </w:r>
      <w:r>
        <w:rPr>
          <w:spacing w:val="16"/>
          <w:sz w:val="23"/>
          <w:szCs w:val="23"/>
        </w:rPr>
        <w:t>粉尘浓度作为标准粉尘浓度</w:t>
      </w:r>
      <w:r>
        <w:rPr>
          <w:sz w:val="23"/>
          <w:szCs w:val="23"/>
        </w:rPr>
        <w:t>pb</w:t>
      </w:r>
      <w:r>
        <w:rPr>
          <w:spacing w:val="16"/>
          <w:sz w:val="23"/>
          <w:szCs w:val="23"/>
        </w:rPr>
        <w:t>; 每个测量点重复以上操作3次，分别取3个</w:t>
      </w:r>
      <w:r>
        <w:rPr>
          <w:spacing w:val="15"/>
          <w:sz w:val="23"/>
          <w:szCs w:val="23"/>
        </w:rPr>
        <w:t>pì</w:t>
      </w:r>
      <w:r>
        <w:rPr>
          <w:spacing w:val="-38"/>
          <w:sz w:val="23"/>
          <w:szCs w:val="23"/>
        </w:rPr>
        <w:t xml:space="preserve"> </w:t>
      </w:r>
      <w:r>
        <w:rPr>
          <w:spacing w:val="15"/>
          <w:sz w:val="23"/>
          <w:szCs w:val="23"/>
        </w:rPr>
        <w:t>和</w:t>
      </w:r>
      <w:r>
        <w:rPr>
          <w:spacing w:val="-56"/>
          <w:sz w:val="23"/>
          <w:szCs w:val="23"/>
        </w:rPr>
        <w:t xml:space="preserve"> </w:t>
      </w:r>
      <w:r>
        <w:rPr>
          <w:sz w:val="23"/>
          <w:szCs w:val="23"/>
        </w:rPr>
        <w:t>pb</w:t>
      </w:r>
      <w:r>
        <w:rPr>
          <w:spacing w:val="-18"/>
          <w:sz w:val="23"/>
          <w:szCs w:val="23"/>
        </w:rPr>
        <w:t xml:space="preserve"> </w:t>
      </w:r>
      <w:r>
        <w:rPr>
          <w:spacing w:val="15"/>
          <w:sz w:val="23"/>
          <w:szCs w:val="23"/>
        </w:rPr>
        <w:t>的</w:t>
      </w:r>
      <w:r>
        <w:rPr>
          <w:sz w:val="23"/>
          <w:szCs w:val="23"/>
        </w:rPr>
        <w:t xml:space="preserve"> </w:t>
      </w:r>
      <w:r>
        <w:rPr>
          <w:spacing w:val="16"/>
          <w:sz w:val="23"/>
          <w:szCs w:val="23"/>
        </w:rPr>
        <w:t>算术平均值作为p</w:t>
      </w:r>
      <w:r>
        <w:rPr>
          <w:rFonts w:ascii="Calibri" w:eastAsia="Calibri" w:hAnsi="Calibri" w:cs="Calibri"/>
          <w:spacing w:val="16"/>
          <w:sz w:val="23"/>
          <w:szCs w:val="23"/>
        </w:rPr>
        <w:t xml:space="preserve">₁  </w:t>
      </w:r>
      <w:r>
        <w:rPr>
          <w:spacing w:val="16"/>
          <w:sz w:val="23"/>
          <w:szCs w:val="23"/>
        </w:rPr>
        <w:t>和</w:t>
      </w:r>
      <w:r>
        <w:rPr>
          <w:spacing w:val="-42"/>
          <w:sz w:val="23"/>
          <w:szCs w:val="23"/>
        </w:rPr>
        <w:t xml:space="preserve"> </w:t>
      </w:r>
      <w:r>
        <w:rPr>
          <w:sz w:val="23"/>
          <w:szCs w:val="23"/>
        </w:rPr>
        <w:t>po</w:t>
      </w:r>
      <w:r>
        <w:rPr>
          <w:spacing w:val="16"/>
          <w:sz w:val="23"/>
          <w:szCs w:val="23"/>
        </w:rPr>
        <w:t>, 再用式(2)计算该点的示值误差。</w:t>
      </w:r>
    </w:p>
    <w:p>
      <w:pPr>
        <w:spacing w:line="130" w:lineRule="exact"/>
      </w:pPr>
    </w:p>
    <w:p>
      <w:pPr>
        <w:spacing w:line="130" w:lineRule="exact"/>
        <w:sectPr>
          <w:headerReference w:type="default" r:id="rId32"/>
          <w:footerReference w:type="default" r:id="rId33"/>
          <w:pgSz w:w="11900" w:h="16840"/>
          <w:pgMar w:top="1779" w:right="1380" w:bottom="1085" w:left="1269" w:header="1517" w:footer="936" w:gutter="0"/>
          <w:pgNumType w:start="7"/>
          <w:cols w:num="1" w:space="708" w:equalWidth="0">
            <w:col w:w="9250" w:space="0"/>
          </w:cols>
        </w:sectPr>
      </w:pPr>
    </w:p>
    <w:p>
      <w:pPr>
        <w:spacing w:line="559" w:lineRule="exact"/>
        <w:ind w:firstLine="3440"/>
      </w:pPr>
      <w:r>
        <w:rPr>
          <w:position w:val="-11"/>
        </w:rPr>
        <w:drawing>
          <wp:inline distT="0" distB="0" distL="0" distR="0">
            <wp:extent cx="1473215" cy="35555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4"/>
                    <a:stretch>
                      <a:fillRect/>
                    </a:stretch>
                  </pic:blipFill>
                  <pic:spPr>
                    <a:xfrm>
                      <a:off x="0" y="0"/>
                      <a:ext cx="1473215" cy="355555"/>
                    </a:xfrm>
                    <a:prstGeom prst="rect">
                      <a:avLst/>
                    </a:prstGeom>
                  </pic:spPr>
                </pic:pic>
              </a:graphicData>
            </a:graphic>
          </wp:inline>
        </w:drawing>
      </w:r>
    </w:p>
    <w:p>
      <w:pPr>
        <w:pStyle w:val="BodyText"/>
        <w:spacing w:before="80" w:line="220" w:lineRule="auto"/>
        <w:ind w:left="520"/>
        <w:rPr>
          <w:sz w:val="23"/>
          <w:szCs w:val="23"/>
        </w:rPr>
      </w:pPr>
      <w:r>
        <w:rPr>
          <w:spacing w:val="-6"/>
          <w:sz w:val="23"/>
          <w:szCs w:val="23"/>
        </w:rPr>
        <w:t>式中：</w:t>
      </w:r>
    </w:p>
    <w:p>
      <w:pPr>
        <w:pStyle w:val="BodyText"/>
        <w:spacing w:before="118" w:line="331" w:lineRule="exact"/>
        <w:ind w:left="510"/>
        <w:rPr>
          <w:sz w:val="23"/>
          <w:szCs w:val="23"/>
        </w:rPr>
      </w:pPr>
      <w:r>
        <w:rPr>
          <w:position w:val="7"/>
          <w:sz w:val="23"/>
          <w:szCs w:val="23"/>
        </w:rPr>
        <w:t>pb</w:t>
      </w:r>
      <w:r>
        <w:rPr>
          <w:spacing w:val="1"/>
          <w:position w:val="7"/>
          <w:sz w:val="23"/>
          <w:szCs w:val="23"/>
        </w:rPr>
        <w:t>——标准粉尘质量浓度，</w:t>
      </w:r>
      <w:r>
        <w:rPr>
          <w:spacing w:val="-54"/>
          <w:position w:val="7"/>
          <w:sz w:val="23"/>
          <w:szCs w:val="23"/>
        </w:rPr>
        <w:t xml:space="preserve"> </w:t>
      </w:r>
      <w:r>
        <w:rPr>
          <w:position w:val="7"/>
          <w:sz w:val="23"/>
          <w:szCs w:val="23"/>
        </w:rPr>
        <w:t>mg</w:t>
      </w:r>
      <w:r>
        <w:rPr>
          <w:spacing w:val="1"/>
          <w:position w:val="7"/>
          <w:sz w:val="23"/>
          <w:szCs w:val="23"/>
        </w:rPr>
        <w:t>/m³;</w:t>
      </w:r>
    </w:p>
    <w:p>
      <w:pPr>
        <w:pStyle w:val="BodyText"/>
        <w:spacing w:line="212" w:lineRule="auto"/>
        <w:ind w:left="410"/>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m₁——</w:t>
      </w:r>
      <w:r>
        <w:rPr>
          <w:rFonts w:ascii="Times New Roman" w:eastAsia="Times New Roman" w:hAnsi="Times New Roman" w:cs="Times New Roman"/>
          <w:spacing w:val="55"/>
          <w:w w:val="101"/>
          <w:sz w:val="23"/>
          <w:szCs w:val="23"/>
        </w:rPr>
        <w:t xml:space="preserve"> </w:t>
      </w:r>
      <w:r>
        <w:rPr>
          <w:spacing w:val="1"/>
          <w:sz w:val="23"/>
          <w:szCs w:val="23"/>
        </w:rPr>
        <w:t>滤膜采集粉尘前的质量，</w:t>
      </w:r>
      <w:r>
        <w:rPr>
          <w:spacing w:val="-55"/>
          <w:sz w:val="23"/>
          <w:szCs w:val="23"/>
        </w:rPr>
        <w:t xml:space="preserve"> </w:t>
      </w:r>
      <w:r>
        <w:rPr>
          <w:rFonts w:ascii="Times New Roman" w:eastAsia="Times New Roman" w:hAnsi="Times New Roman" w:cs="Times New Roman"/>
          <w:sz w:val="23"/>
          <w:szCs w:val="23"/>
        </w:rPr>
        <w:t>mg</w:t>
      </w:r>
      <w:r>
        <w:rPr>
          <w:rFonts w:ascii="Times New Roman" w:eastAsia="Times New Roman" w:hAnsi="Times New Roman" w:cs="Times New Roman"/>
          <w:spacing w:val="1"/>
          <w:sz w:val="23"/>
          <w:szCs w:val="23"/>
        </w:rPr>
        <w:t>;</w:t>
      </w:r>
    </w:p>
    <w:p>
      <w:pPr>
        <w:pStyle w:val="BodyText"/>
        <w:spacing w:before="124" w:line="214" w:lineRule="auto"/>
        <w:ind w:left="420"/>
        <w:rPr>
          <w:sz w:val="23"/>
          <w:szCs w:val="23"/>
        </w:rPr>
      </w:pPr>
      <w:r>
        <w:rPr>
          <w:spacing w:val="-2"/>
          <w:sz w:val="23"/>
          <w:szCs w:val="23"/>
        </w:rPr>
        <w:t>m</w:t>
      </w:r>
      <w:r>
        <w:rPr>
          <w:rFonts w:ascii="Calibri" w:eastAsia="Calibri" w:hAnsi="Calibri" w:cs="Calibri"/>
          <w:spacing w:val="-2"/>
          <w:sz w:val="23"/>
          <w:szCs w:val="23"/>
        </w:rPr>
        <w:t>₂</w:t>
      </w:r>
      <w:r>
        <w:rPr>
          <w:spacing w:val="-2"/>
          <w:sz w:val="23"/>
          <w:szCs w:val="23"/>
        </w:rPr>
        <w:t>——</w:t>
      </w:r>
      <w:r>
        <w:rPr>
          <w:spacing w:val="42"/>
          <w:sz w:val="23"/>
          <w:szCs w:val="23"/>
        </w:rPr>
        <w:t xml:space="preserve"> </w:t>
      </w:r>
      <w:r>
        <w:rPr>
          <w:spacing w:val="-2"/>
          <w:sz w:val="23"/>
          <w:szCs w:val="23"/>
        </w:rPr>
        <w:t>滤膜采集粉尘后的质量， mg;</w:t>
      </w:r>
    </w:p>
    <w:p>
      <w:pPr>
        <w:pStyle w:val="BodyText"/>
        <w:spacing w:before="66" w:line="365" w:lineRule="exact"/>
        <w:ind w:left="450"/>
        <w:rPr>
          <w:rFonts w:ascii="Times New Roman" w:eastAsia="Times New Roman" w:hAnsi="Times New Roman" w:cs="Times New Roman"/>
          <w:sz w:val="23"/>
          <w:szCs w:val="23"/>
        </w:rPr>
      </w:pPr>
      <w:r>
        <w:rPr>
          <w:rFonts w:ascii="Times New Roman" w:eastAsia="Times New Roman" w:hAnsi="Times New Roman" w:cs="Times New Roman"/>
          <w:position w:val="10"/>
          <w:sz w:val="23"/>
          <w:szCs w:val="23"/>
        </w:rPr>
        <w:t>qv——</w:t>
      </w:r>
      <w:r>
        <w:rPr>
          <w:rFonts w:ascii="Times New Roman" w:eastAsia="Times New Roman" w:hAnsi="Times New Roman" w:cs="Times New Roman"/>
          <w:spacing w:val="35"/>
          <w:w w:val="101"/>
          <w:position w:val="10"/>
          <w:sz w:val="23"/>
          <w:szCs w:val="23"/>
        </w:rPr>
        <w:t xml:space="preserve"> </w:t>
      </w:r>
      <w:r>
        <w:rPr>
          <w:position w:val="10"/>
          <w:sz w:val="23"/>
          <w:szCs w:val="23"/>
        </w:rPr>
        <w:t>采样流量，</w:t>
      </w:r>
      <w:r>
        <w:rPr>
          <w:rFonts w:ascii="Times New Roman" w:eastAsia="Times New Roman" w:hAnsi="Times New Roman" w:cs="Times New Roman"/>
          <w:position w:val="10"/>
          <w:sz w:val="23"/>
          <w:szCs w:val="23"/>
        </w:rPr>
        <w:t>L/min;</w:t>
      </w:r>
    </w:p>
    <w:p>
      <w:pPr>
        <w:pStyle w:val="BodyText"/>
        <w:spacing w:line="218" w:lineRule="auto"/>
        <w:ind w:left="629"/>
        <w:rPr>
          <w:sz w:val="23"/>
          <w:szCs w:val="23"/>
        </w:rPr>
      </w:pPr>
      <w:r>
        <w:rPr>
          <w:rFonts w:ascii="Times New Roman" w:eastAsia="Times New Roman" w:hAnsi="Times New Roman" w:cs="Times New Roman"/>
          <w:spacing w:val="-9"/>
          <w:sz w:val="23"/>
          <w:szCs w:val="23"/>
        </w:rPr>
        <w:t>t--</w:t>
      </w:r>
      <w:r>
        <w:rPr>
          <w:rFonts w:ascii="Times New Roman" w:eastAsia="Times New Roman" w:hAnsi="Times New Roman" w:cs="Times New Roman"/>
          <w:spacing w:val="3"/>
          <w:sz w:val="23"/>
          <w:szCs w:val="23"/>
        </w:rPr>
        <w:t xml:space="preserve">      </w:t>
      </w:r>
      <w:r>
        <w:rPr>
          <w:spacing w:val="-9"/>
          <w:sz w:val="23"/>
          <w:szCs w:val="23"/>
        </w:rPr>
        <w:t>采样时间，</w:t>
      </w:r>
      <w:r>
        <w:rPr>
          <w:spacing w:val="29"/>
          <w:sz w:val="23"/>
          <w:szCs w:val="23"/>
        </w:rPr>
        <w:t xml:space="preserve"> </w:t>
      </w:r>
      <w:r>
        <w:rPr>
          <w:rFonts w:ascii="Times New Roman" w:eastAsia="Times New Roman" w:hAnsi="Times New Roman" w:cs="Times New Roman"/>
          <w:spacing w:val="-9"/>
          <w:sz w:val="23"/>
          <w:szCs w:val="23"/>
        </w:rPr>
        <w:t>min</w:t>
      </w:r>
      <w:r>
        <w:rPr>
          <w:spacing w:val="-9"/>
          <w:sz w:val="23"/>
          <w:szCs w:val="23"/>
        </w:rPr>
        <w:t>。</w:t>
      </w:r>
    </w:p>
    <w:p>
      <w:pPr>
        <w:spacing w:before="170" w:line="520" w:lineRule="exact"/>
        <w:ind w:firstLine="3540"/>
      </w:pPr>
      <w:r>
        <w:rPr>
          <w:position w:val="-10"/>
        </w:rPr>
        <w:drawing>
          <wp:inline distT="0" distB="0" distL="0" distR="0">
            <wp:extent cx="1320800" cy="33021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5"/>
                    <a:stretch>
                      <a:fillRect/>
                    </a:stretch>
                  </pic:blipFill>
                  <pic:spPr>
                    <a:xfrm>
                      <a:off x="0" y="0"/>
                      <a:ext cx="1320800" cy="330212"/>
                    </a:xfrm>
                    <a:prstGeom prst="rect">
                      <a:avLst/>
                    </a:prstGeom>
                  </pic:spPr>
                </pic:pic>
              </a:graphicData>
            </a:graphic>
          </wp:inline>
        </w:drawing>
      </w:r>
    </w:p>
    <w:p>
      <w:pPr>
        <w:pStyle w:val="BodyText"/>
        <w:spacing w:before="70" w:line="220" w:lineRule="auto"/>
        <w:ind w:left="500"/>
        <w:rPr>
          <w:sz w:val="23"/>
          <w:szCs w:val="23"/>
        </w:rPr>
      </w:pPr>
      <w:r>
        <w:rPr>
          <w:spacing w:val="-4"/>
          <w:sz w:val="23"/>
          <w:szCs w:val="23"/>
        </w:rPr>
        <w:t>式中：</w:t>
      </w:r>
    </w:p>
    <w:p>
      <w:pPr>
        <w:pStyle w:val="BodyText"/>
        <w:spacing w:before="105" w:line="219" w:lineRule="auto"/>
        <w:ind w:left="500"/>
        <w:rPr>
          <w:sz w:val="23"/>
          <w:szCs w:val="23"/>
        </w:rPr>
      </w:pPr>
      <w:r>
        <w:rPr>
          <w:spacing w:val="-5"/>
          <w:sz w:val="23"/>
          <w:szCs w:val="23"/>
        </w:rPr>
        <w:t>δ——示值误差，%;</w:t>
      </w:r>
    </w:p>
    <w:p>
      <w:pPr>
        <w:pStyle w:val="BodyText"/>
        <w:spacing w:before="89" w:line="214" w:lineRule="auto"/>
        <w:ind w:left="359"/>
        <w:rPr>
          <w:sz w:val="23"/>
          <w:szCs w:val="23"/>
        </w:rPr>
      </w:pPr>
      <w:r>
        <w:rPr>
          <w:spacing w:val="-3"/>
          <w:sz w:val="23"/>
          <w:szCs w:val="23"/>
        </w:rPr>
        <w:t>p</w:t>
      </w:r>
      <w:r>
        <w:rPr>
          <w:rFonts w:ascii="Calibri" w:eastAsia="Calibri" w:hAnsi="Calibri" w:cs="Calibri"/>
          <w:spacing w:val="-3"/>
          <w:sz w:val="23"/>
          <w:szCs w:val="23"/>
        </w:rPr>
        <w:t>₁</w:t>
      </w:r>
      <w:r>
        <w:rPr>
          <w:spacing w:val="-3"/>
          <w:sz w:val="23"/>
          <w:szCs w:val="23"/>
        </w:rPr>
        <w:t>—— 粉尘仪显示平均值， mg/m³;</w:t>
      </w:r>
    </w:p>
    <w:p>
      <w:pPr>
        <w:pStyle w:val="BodyText"/>
        <w:spacing w:before="115" w:line="184" w:lineRule="auto"/>
        <w:ind w:left="400"/>
        <w:rPr>
          <w:sz w:val="23"/>
          <w:szCs w:val="23"/>
        </w:rPr>
      </w:pPr>
      <w:r>
        <w:rPr>
          <w:sz w:val="23"/>
          <w:szCs w:val="23"/>
        </w:rPr>
        <w:t>po</w:t>
      </w:r>
      <w:r>
        <w:rPr>
          <w:spacing w:val="6"/>
          <w:sz w:val="23"/>
          <w:szCs w:val="23"/>
        </w:rPr>
        <w:t>——标准采样装置测量或参考粉尘仪显示值的平均值，</w:t>
      </w:r>
      <w:r>
        <w:rPr>
          <w:sz w:val="23"/>
          <w:szCs w:val="23"/>
        </w:rPr>
        <w:t>mg</w:t>
      </w:r>
      <w:r>
        <w:rPr>
          <w:spacing w:val="6"/>
          <w:sz w:val="23"/>
          <w:szCs w:val="23"/>
        </w:rPr>
        <w:t>/m³。</w:t>
      </w:r>
    </w:p>
    <w:p>
      <w:pPr>
        <w:spacing w:line="14" w:lineRule="auto"/>
        <w:rPr>
          <w:rFonts w:ascii="Arial"/>
          <w:sz w:val="2"/>
        </w:rPr>
      </w:pPr>
      <w:r>
        <w:rPr>
          <w:rFonts w:ascii="Arial" w:eastAsia="Arial" w:hAnsi="Arial" w:cs="Arial"/>
          <w:sz w:val="2"/>
          <w:szCs w:val="2"/>
        </w:rPr>
        <w:br w:type="column"/>
      </w:r>
    </w:p>
    <w:p>
      <w:pPr>
        <w:pStyle w:val="BodyText"/>
        <w:spacing w:before="171" w:line="222" w:lineRule="auto"/>
        <w:ind w:left="300"/>
        <w:rPr>
          <w:sz w:val="23"/>
          <w:szCs w:val="23"/>
        </w:rPr>
      </w:pPr>
      <w:r>
        <w:rPr>
          <w:spacing w:val="-11"/>
          <w:sz w:val="23"/>
          <w:szCs w:val="23"/>
        </w:rPr>
        <w:t>(1)</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75" w:line="222" w:lineRule="auto"/>
        <w:ind w:left="270"/>
        <w:rPr>
          <w:sz w:val="23"/>
          <w:szCs w:val="23"/>
        </w:rPr>
      </w:pPr>
      <w:r>
        <w:rPr>
          <w:spacing w:val="-11"/>
          <w:sz w:val="23"/>
          <w:szCs w:val="23"/>
        </w:rPr>
        <w:t>(2)</w:t>
      </w:r>
    </w:p>
    <w:p>
      <w:pPr>
        <w:spacing w:line="222" w:lineRule="auto"/>
        <w:rPr>
          <w:sz w:val="23"/>
          <w:szCs w:val="23"/>
        </w:rPr>
        <w:sectPr>
          <w:headerReference w:type="default" r:id="rId36"/>
          <w:footerReference w:type="default" r:id="rId37"/>
          <w:type w:val="continuous"/>
          <w:pgSz w:w="11900" w:h="16840"/>
          <w:pgMar w:top="1779" w:right="1380" w:bottom="1085" w:left="1269" w:header="1517" w:footer="936" w:gutter="0"/>
          <w:pgNumType w:start="8"/>
          <w:cols w:num="2" w:space="708" w:equalWidth="0">
            <w:col w:w="8430" w:space="100"/>
            <w:col w:w="720" w:space="0"/>
          </w:cols>
        </w:sectPr>
      </w:pPr>
    </w:p>
    <w:p>
      <w:pPr>
        <w:pStyle w:val="BodyText"/>
        <w:spacing w:before="127" w:line="219" w:lineRule="auto"/>
        <w:ind w:left="490"/>
        <w:rPr>
          <w:sz w:val="23"/>
          <w:szCs w:val="23"/>
        </w:rPr>
        <w:sectPr>
          <w:headerReference w:type="default" r:id="rId38"/>
          <w:footerReference w:type="default" r:id="rId39"/>
          <w:type w:val="continuous"/>
          <w:pgSz w:w="11900" w:h="16840"/>
          <w:pgMar w:top="1779" w:right="1380" w:bottom="1085" w:left="1269" w:header="1517" w:footer="936" w:gutter="0"/>
          <w:pgNumType w:start="9"/>
          <w:cols w:num="1" w:space="708" w:equalWidth="0">
            <w:col w:w="9250" w:space="0"/>
          </w:cols>
        </w:sectPr>
      </w:pPr>
      <w:r>
        <w:rPr>
          <w:spacing w:val="13"/>
          <w:sz w:val="23"/>
          <w:szCs w:val="23"/>
        </w:rPr>
        <w:t>取3个测量点中绝对值最大的示值误差作为该台粉尘仪的示值误</w:t>
      </w:r>
      <w:r>
        <w:rPr>
          <w:spacing w:val="12"/>
          <w:sz w:val="23"/>
          <w:szCs w:val="23"/>
        </w:rPr>
        <w:t>差。</w:t>
      </w:r>
    </w:p>
    <w:p>
      <w:pPr>
        <w:pStyle w:val="BodyText"/>
        <w:spacing w:before="90" w:line="214" w:lineRule="auto"/>
        <w:rPr>
          <w:sz w:val="23"/>
          <w:szCs w:val="23"/>
        </w:rPr>
      </w:pPr>
      <w:hyperlink r:id="rId26" w:history="1">
        <w:r>
          <w:rPr>
            <w:spacing w:val="12"/>
            <w:sz w:val="23"/>
            <w:szCs w:val="23"/>
          </w:rPr>
          <w:t>5.4.2.3</w:t>
        </w:r>
      </w:hyperlink>
      <w:r>
        <w:rPr>
          <w:spacing w:val="45"/>
          <w:sz w:val="23"/>
          <w:szCs w:val="23"/>
        </w:rPr>
        <w:t xml:space="preserve">  </w:t>
      </w:r>
      <w:r>
        <w:rPr>
          <w:spacing w:val="12"/>
          <w:sz w:val="23"/>
          <w:szCs w:val="23"/>
        </w:rPr>
        <w:t>当被检粉尘仪的测量范围上限小于或等于10</w:t>
      </w:r>
      <w:r>
        <w:rPr>
          <w:spacing w:val="-66"/>
          <w:sz w:val="23"/>
          <w:szCs w:val="23"/>
        </w:rPr>
        <w:t xml:space="preserve"> </w:t>
      </w:r>
      <w:r>
        <w:rPr>
          <w:sz w:val="23"/>
          <w:szCs w:val="23"/>
        </w:rPr>
        <w:t>mg</w:t>
      </w:r>
      <w:r>
        <w:rPr>
          <w:spacing w:val="12"/>
          <w:sz w:val="23"/>
          <w:szCs w:val="23"/>
        </w:rPr>
        <w:t>/m³</w:t>
      </w:r>
      <w:r>
        <w:rPr>
          <w:spacing w:val="3"/>
          <w:sz w:val="23"/>
          <w:szCs w:val="23"/>
        </w:rPr>
        <w:t xml:space="preserve">  </w:t>
      </w:r>
      <w:r>
        <w:rPr>
          <w:spacing w:val="12"/>
          <w:sz w:val="23"/>
          <w:szCs w:val="23"/>
        </w:rPr>
        <w:t>时，示值误差的检定用</w:t>
      </w:r>
    </w:p>
    <w:p>
      <w:pPr>
        <w:pStyle w:val="BodyText"/>
        <w:spacing w:before="81" w:line="219" w:lineRule="auto"/>
        <w:ind w:left="9"/>
        <w:rPr>
          <w:sz w:val="23"/>
          <w:szCs w:val="23"/>
        </w:rPr>
      </w:pPr>
      <w:r>
        <w:rPr>
          <w:spacing w:val="7"/>
          <w:sz w:val="23"/>
          <w:szCs w:val="23"/>
        </w:rPr>
        <w:t>参考粉尘仪进行参比的方法。</w:t>
      </w:r>
    </w:p>
    <w:p>
      <w:pPr>
        <w:pStyle w:val="BodyText"/>
        <w:spacing w:before="87" w:line="258" w:lineRule="auto"/>
        <w:ind w:left="470" w:right="1334" w:firstLine="9"/>
        <w:rPr>
          <w:sz w:val="23"/>
          <w:szCs w:val="23"/>
        </w:rPr>
      </w:pPr>
      <w:r>
        <w:rPr>
          <w:spacing w:val="13"/>
          <w:sz w:val="23"/>
          <w:szCs w:val="23"/>
        </w:rPr>
        <w:t>使用低浓度粉尘发生装置和参考粉尘仪检定粉尘仪的系统如图2所示。</w:t>
      </w:r>
      <w:r>
        <w:rPr>
          <w:spacing w:val="15"/>
          <w:sz w:val="23"/>
          <w:szCs w:val="23"/>
        </w:rPr>
        <w:t xml:space="preserve"> </w:t>
      </w:r>
      <w:r>
        <w:rPr>
          <w:spacing w:val="13"/>
          <w:sz w:val="23"/>
          <w:szCs w:val="23"/>
        </w:rPr>
        <w:t>使用标准粒子发生装置和参考粉尘仪检定粉</w:t>
      </w:r>
      <w:r>
        <w:rPr>
          <w:spacing w:val="12"/>
          <w:sz w:val="23"/>
          <w:szCs w:val="23"/>
        </w:rPr>
        <w:t>尘仪的系统如图3所示。</w:t>
      </w:r>
    </w:p>
    <w:p>
      <w:pPr>
        <w:pStyle w:val="BodyText"/>
        <w:spacing w:before="90" w:line="184" w:lineRule="auto"/>
        <w:ind w:left="500"/>
        <w:rPr>
          <w:sz w:val="23"/>
          <w:szCs w:val="23"/>
        </w:rPr>
      </w:pPr>
      <w:r>
        <w:rPr>
          <w:spacing w:val="13"/>
          <w:sz w:val="23"/>
          <w:szCs w:val="23"/>
        </w:rPr>
        <w:t>用低浓度粉尘发生装置或标准粒子发生装置，分别产生0</w:t>
      </w:r>
      <w:r>
        <w:rPr>
          <w:spacing w:val="12"/>
          <w:sz w:val="23"/>
          <w:szCs w:val="23"/>
        </w:rPr>
        <w:t>.5</w:t>
      </w:r>
      <w:r>
        <w:rPr>
          <w:spacing w:val="-50"/>
          <w:sz w:val="23"/>
          <w:szCs w:val="23"/>
        </w:rPr>
        <w:t xml:space="preserve"> </w:t>
      </w:r>
      <w:r>
        <w:rPr>
          <w:sz w:val="23"/>
          <w:szCs w:val="23"/>
        </w:rPr>
        <w:t>mg</w:t>
      </w:r>
      <w:r>
        <w:rPr>
          <w:spacing w:val="12"/>
          <w:sz w:val="23"/>
          <w:szCs w:val="23"/>
        </w:rPr>
        <w:t>/m³、1</w:t>
      </w:r>
      <w:r>
        <w:rPr>
          <w:sz w:val="23"/>
          <w:szCs w:val="23"/>
        </w:rPr>
        <w:t>mg</w:t>
      </w:r>
      <w:r>
        <w:rPr>
          <w:spacing w:val="12"/>
          <w:sz w:val="23"/>
          <w:szCs w:val="23"/>
        </w:rPr>
        <w:t>/m³、</w:t>
      </w:r>
    </w:p>
    <w:p>
      <w:pPr>
        <w:spacing w:line="184" w:lineRule="auto"/>
        <w:rPr>
          <w:sz w:val="23"/>
          <w:szCs w:val="23"/>
        </w:rPr>
        <w:sectPr>
          <w:headerReference w:type="default" r:id="rId40"/>
          <w:footerReference w:type="default" r:id="rId41"/>
          <w:type w:val="nextPage"/>
          <w:pgSz w:w="11900" w:h="16840"/>
          <w:pgMar w:top="1779" w:right="1380" w:bottom="1085" w:left="1269" w:header="1517" w:footer="936" w:gutter="0"/>
          <w:pgNumType w:start="10"/>
          <w:cols w:num="1" w:space="708" w:equalWidth="0">
            <w:col w:w="9250" w:space="0"/>
          </w:cols>
          <w:titlePg w:val="0"/>
        </w:sectPr>
      </w:pPr>
    </w:p>
    <w:p>
      <w:pPr>
        <w:pStyle w:val="BodyText"/>
        <w:spacing w:before="194" w:line="270" w:lineRule="auto"/>
        <w:ind w:right="109"/>
        <w:jc w:val="both"/>
      </w:pPr>
      <w:r>
        <w:rPr>
          <w:rFonts w:ascii="Times New Roman" w:eastAsia="Times New Roman" w:hAnsi="Times New Roman" w:cs="Times New Roman"/>
          <w:spacing w:val="14"/>
        </w:rPr>
        <w:t xml:space="preserve">3     </w:t>
      </w:r>
      <w:r>
        <w:rPr>
          <w:rFonts w:ascii="Times New Roman" w:eastAsia="Times New Roman" w:hAnsi="Times New Roman" w:cs="Times New Roman"/>
        </w:rPr>
        <w:t>mg</w:t>
      </w:r>
      <w:r>
        <w:rPr>
          <w:rFonts w:ascii="Times New Roman" w:eastAsia="Times New Roman" w:hAnsi="Times New Roman" w:cs="Times New Roman"/>
          <w:spacing w:val="14"/>
        </w:rPr>
        <w:t>/m³</w:t>
      </w:r>
      <w:r>
        <w:rPr>
          <w:rFonts w:ascii="Times New Roman" w:eastAsia="Times New Roman" w:hAnsi="Times New Roman" w:cs="Times New Roman"/>
          <w:spacing w:val="-34"/>
        </w:rPr>
        <w:t xml:space="preserve"> </w:t>
      </w:r>
      <w:r>
        <w:rPr>
          <w:spacing w:val="14"/>
        </w:rPr>
        <w:t>、</w:t>
      </w:r>
      <w:r>
        <w:rPr>
          <w:rFonts w:ascii="Times New Roman" w:eastAsia="Times New Roman" w:hAnsi="Times New Roman" w:cs="Times New Roman"/>
          <w:spacing w:val="14"/>
        </w:rPr>
        <w:t>7</w:t>
      </w:r>
      <w:r>
        <w:rPr>
          <w:rFonts w:ascii="Times New Roman" w:eastAsia="Times New Roman" w:hAnsi="Times New Roman" w:cs="Times New Roman"/>
        </w:rPr>
        <w:t>mg</w:t>
      </w:r>
      <w:r>
        <w:rPr>
          <w:rFonts w:ascii="Times New Roman" w:eastAsia="Times New Roman" w:hAnsi="Times New Roman" w:cs="Times New Roman"/>
          <w:spacing w:val="14"/>
        </w:rPr>
        <w:t>/m³</w:t>
      </w:r>
      <w:r>
        <w:rPr>
          <w:rFonts w:ascii="Times New Roman" w:eastAsia="Times New Roman" w:hAnsi="Times New Roman" w:cs="Times New Roman"/>
          <w:spacing w:val="-10"/>
        </w:rPr>
        <w:t xml:space="preserve"> </w:t>
      </w:r>
      <w:r>
        <w:rPr>
          <w:spacing w:val="14"/>
        </w:rPr>
        <w:t>或被测浓度范围20</w:t>
      </w:r>
      <w:r>
        <w:rPr>
          <w:spacing w:val="13"/>
        </w:rPr>
        <w:t>%、50%、80%左右的稳定粉尘浓度，用粉尘</w:t>
      </w:r>
      <w:r>
        <w:t xml:space="preserve"> </w:t>
      </w:r>
      <w:r>
        <w:rPr>
          <w:spacing w:val="-1"/>
        </w:rPr>
        <w:t>仪与参考粉尘仪同时采样测量；同时记录粉尘仪和参</w:t>
      </w:r>
      <w:r>
        <w:rPr>
          <w:spacing w:val="-2"/>
        </w:rPr>
        <w:t>考粉尘仪的粉尘浓度显示值，每组</w:t>
      </w:r>
      <w:r>
        <w:t xml:space="preserve"> </w:t>
      </w:r>
      <w:r>
        <w:rPr>
          <w:spacing w:val="6"/>
        </w:rPr>
        <w:t xml:space="preserve">至少间隔2 </w:t>
      </w:r>
      <w:r>
        <w:rPr>
          <w:rFonts w:ascii="Times New Roman" w:eastAsia="Times New Roman" w:hAnsi="Times New Roman" w:cs="Times New Roman"/>
        </w:rPr>
        <w:t>min</w:t>
      </w:r>
      <w:r>
        <w:rPr>
          <w:rFonts w:ascii="Times New Roman" w:eastAsia="Times New Roman" w:hAnsi="Times New Roman" w:cs="Times New Roman"/>
          <w:spacing w:val="6"/>
        </w:rPr>
        <w:t>,</w:t>
      </w:r>
      <w:r>
        <w:rPr>
          <w:rFonts w:ascii="Times New Roman" w:eastAsia="Times New Roman" w:hAnsi="Times New Roman" w:cs="Times New Roman"/>
          <w:spacing w:val="31"/>
        </w:rPr>
        <w:t xml:space="preserve">  </w:t>
      </w:r>
      <w:r>
        <w:rPr>
          <w:spacing w:val="6"/>
        </w:rPr>
        <w:t>共记录6组，分别取其算数平均值作为该次检定粉尘仪的显示浓度值</w:t>
      </w:r>
      <w:r>
        <w:rPr>
          <w:spacing w:val="1"/>
        </w:rPr>
        <w:t xml:space="preserve"> </w:t>
      </w:r>
      <w:r>
        <w:rPr>
          <w:rFonts w:ascii="Times New Roman" w:eastAsia="Times New Roman" w:hAnsi="Times New Roman" w:cs="Times New Roman"/>
        </w:rPr>
        <w:t>pì</w:t>
      </w:r>
      <w:r>
        <w:rPr>
          <w:rFonts w:ascii="Times New Roman" w:eastAsia="Times New Roman" w:hAnsi="Times New Roman" w:cs="Times New Roman"/>
          <w:spacing w:val="26"/>
        </w:rPr>
        <w:t xml:space="preserve">  </w:t>
      </w:r>
      <w:r>
        <w:t xml:space="preserve">(对于可以直接显示采样期间浓度平均值的粉尘仪直接读取其显示值，对于只能显示 </w:t>
      </w:r>
      <w:r>
        <w:rPr>
          <w:spacing w:val="-1"/>
        </w:rPr>
        <w:t>累计浓度值的被检粉尘仪，用累计浓度值除以所设置的采样时间得到该检测点的平均浓</w:t>
      </w:r>
      <w:r>
        <w:rPr>
          <w:spacing w:val="18"/>
        </w:rPr>
        <w:t xml:space="preserve"> </w:t>
      </w:r>
      <w:r>
        <w:rPr>
          <w:spacing w:val="7"/>
        </w:rPr>
        <w:t>度值)、参考粉尘仪的显示浓度值</w:t>
      </w:r>
      <w:r>
        <w:rPr>
          <w:rFonts w:ascii="Times New Roman" w:eastAsia="Times New Roman" w:hAnsi="Times New Roman" w:cs="Times New Roman"/>
        </w:rPr>
        <w:t>pb</w:t>
      </w:r>
      <w:r>
        <w:rPr>
          <w:rFonts w:ascii="Times New Roman" w:eastAsia="Times New Roman" w:hAnsi="Times New Roman" w:cs="Times New Roman"/>
          <w:spacing w:val="7"/>
        </w:rPr>
        <w:t>;</w:t>
      </w:r>
      <w:r>
        <w:rPr>
          <w:rFonts w:ascii="Times New Roman" w:eastAsia="Times New Roman" w:hAnsi="Times New Roman" w:cs="Times New Roman"/>
          <w:spacing w:val="33"/>
        </w:rPr>
        <w:t xml:space="preserve">  </w:t>
      </w:r>
      <w:r>
        <w:rPr>
          <w:spacing w:val="7"/>
        </w:rPr>
        <w:t>每个测量点重复以上操作3次，分别取3个</w:t>
      </w:r>
      <w:r>
        <w:rPr>
          <w:rFonts w:ascii="Times New Roman" w:eastAsia="Times New Roman" w:hAnsi="Times New Roman" w:cs="Times New Roman"/>
          <w:spacing w:val="7"/>
        </w:rPr>
        <w:t>pì</w:t>
      </w:r>
      <w:r>
        <w:rPr>
          <w:rFonts w:ascii="Times New Roman" w:eastAsia="Times New Roman" w:hAnsi="Times New Roman" w:cs="Times New Roman"/>
          <w:spacing w:val="53"/>
        </w:rPr>
        <w:t xml:space="preserve"> </w:t>
      </w:r>
      <w:r>
        <w:rPr>
          <w:spacing w:val="7"/>
        </w:rPr>
        <w:t>和</w:t>
      </w:r>
      <w:r>
        <w:t xml:space="preserve"> </w:t>
      </w:r>
      <w:r>
        <w:t>pb</w:t>
      </w:r>
      <w:r>
        <w:rPr>
          <w:spacing w:val="-46"/>
        </w:rPr>
        <w:t xml:space="preserve"> </w:t>
      </w:r>
      <w:r>
        <w:rPr>
          <w:spacing w:val="7"/>
        </w:rPr>
        <w:t>的算术平均值作为p</w:t>
      </w:r>
      <w:r>
        <w:rPr>
          <w:rFonts w:ascii="Calibri" w:eastAsia="Calibri" w:hAnsi="Calibri" w:cs="Calibri"/>
          <w:spacing w:val="7"/>
        </w:rPr>
        <w:t xml:space="preserve">₁  </w:t>
      </w:r>
      <w:r>
        <w:rPr>
          <w:spacing w:val="7"/>
        </w:rPr>
        <w:t>和</w:t>
      </w:r>
      <w:r>
        <w:rPr>
          <w:spacing w:val="-70"/>
        </w:rPr>
        <w:t xml:space="preserve"> </w:t>
      </w:r>
      <w:r>
        <w:t>po</w:t>
      </w:r>
      <w:r>
        <w:rPr>
          <w:spacing w:val="7"/>
        </w:rPr>
        <w:t>, 再按式(2)计算该点的示值误差。</w:t>
      </w:r>
    </w:p>
    <w:p>
      <w:pPr>
        <w:spacing w:before="128" w:line="3060" w:lineRule="exact"/>
        <w:ind w:firstLine="2089"/>
      </w:pPr>
      <w:r>
        <w:rPr>
          <w:position w:val="-61"/>
        </w:rPr>
        <w:drawing>
          <wp:inline distT="0" distB="0" distL="0" distR="0">
            <wp:extent cx="3155903" cy="194308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2"/>
                    <a:stretch>
                      <a:fillRect/>
                    </a:stretch>
                  </pic:blipFill>
                  <pic:spPr>
                    <a:xfrm>
                      <a:off x="0" y="0"/>
                      <a:ext cx="3155903" cy="1943089"/>
                    </a:xfrm>
                    <a:prstGeom prst="rect">
                      <a:avLst/>
                    </a:prstGeom>
                  </pic:spPr>
                </pic:pic>
              </a:graphicData>
            </a:graphic>
          </wp:inline>
        </w:drawing>
      </w:r>
    </w:p>
    <w:p>
      <w:pPr>
        <w:spacing w:line="298" w:lineRule="auto"/>
        <w:rPr>
          <w:rFonts w:ascii="Arial"/>
          <w:sz w:val="21"/>
        </w:rPr>
      </w:pPr>
    </w:p>
    <w:p>
      <w:pPr>
        <w:pStyle w:val="BodyText"/>
        <w:spacing w:before="68" w:line="219" w:lineRule="auto"/>
        <w:ind w:left="2620"/>
        <w:rPr>
          <w:sz w:val="21"/>
          <w:szCs w:val="21"/>
        </w:rPr>
      </w:pPr>
      <w:r>
        <w:rPr>
          <w:spacing w:val="-3"/>
          <w:sz w:val="21"/>
          <w:szCs w:val="21"/>
        </w:rPr>
        <w:t>图 2</w:t>
      </w:r>
      <w:r>
        <w:rPr>
          <w:spacing w:val="91"/>
          <w:sz w:val="21"/>
          <w:szCs w:val="21"/>
        </w:rPr>
        <w:t xml:space="preserve"> </w:t>
      </w:r>
      <w:r>
        <w:rPr>
          <w:spacing w:val="-3"/>
          <w:sz w:val="21"/>
          <w:szCs w:val="21"/>
        </w:rPr>
        <w:t>用参考粉尘仪的示值误差检定示意图</w:t>
      </w:r>
    </w:p>
    <w:p>
      <w:pPr>
        <w:pStyle w:val="BodyText"/>
        <w:spacing w:before="99" w:line="219" w:lineRule="auto"/>
        <w:ind w:left="1169"/>
        <w:rPr>
          <w:sz w:val="21"/>
          <w:szCs w:val="21"/>
        </w:rPr>
      </w:pPr>
      <w:r>
        <w:rPr>
          <w:spacing w:val="-3"/>
          <w:sz w:val="21"/>
          <w:szCs w:val="21"/>
        </w:rPr>
        <w:t>1一定量给尘装置；2—进风孔；3—粉尘箱测试段；4—被检粉尘仪采样口；</w:t>
      </w:r>
    </w:p>
    <w:p>
      <w:pPr>
        <w:pStyle w:val="BodyText"/>
        <w:spacing w:before="61" w:line="219" w:lineRule="auto"/>
        <w:ind w:left="949"/>
        <w:rPr>
          <w:sz w:val="21"/>
          <w:szCs w:val="21"/>
        </w:rPr>
      </w:pPr>
      <w:r>
        <w:rPr>
          <w:sz w:val="21"/>
          <w:szCs w:val="21"/>
        </w:rPr>
        <w:t>5—参考粉尘仪采样口；6—参考粉尘仪；7—抽风</w:t>
      </w:r>
      <w:r>
        <w:rPr>
          <w:spacing w:val="-1"/>
          <w:sz w:val="21"/>
          <w:szCs w:val="21"/>
        </w:rPr>
        <w:t>口；8—风机；9—被检粉尘仪</w:t>
      </w:r>
    </w:p>
    <w:p>
      <w:pPr>
        <w:spacing w:line="343" w:lineRule="auto"/>
        <w:rPr>
          <w:rFonts w:ascii="Arial"/>
          <w:sz w:val="21"/>
        </w:rPr>
      </w:pPr>
    </w:p>
    <w:p>
      <w:pPr>
        <w:spacing w:line="343" w:lineRule="auto"/>
        <w:rPr>
          <w:rFonts w:ascii="Arial"/>
          <w:sz w:val="21"/>
        </w:rPr>
      </w:pPr>
    </w:p>
    <w:p>
      <w:pPr>
        <w:pStyle w:val="BodyText"/>
        <w:spacing w:before="39" w:line="183" w:lineRule="auto"/>
        <w:ind w:left="5269"/>
        <w:rPr>
          <w:sz w:val="12"/>
          <w:szCs w:val="12"/>
        </w:rPr>
      </w:pPr>
      <w:r>
        <w:drawing>
          <wp:anchor distT="0" distB="0" distL="0" distR="0" simplePos="0" relativeHeight="251658240" behindDoc="1" locked="0" layoutInCell="1" allowOverlap="1">
            <wp:simplePos x="0" y="0"/>
            <wp:positionH relativeFrom="column">
              <wp:posOffset>2101842</wp:posOffset>
            </wp:positionH>
            <wp:positionV relativeFrom="paragraph">
              <wp:posOffset>-188372</wp:posOffset>
            </wp:positionV>
            <wp:extent cx="1606516" cy="1130356"/>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3"/>
                    <a:stretch>
                      <a:fillRect/>
                    </a:stretch>
                  </pic:blipFill>
                  <pic:spPr>
                    <a:xfrm>
                      <a:off x="0" y="0"/>
                      <a:ext cx="1606516" cy="1130356"/>
                    </a:xfrm>
                    <a:prstGeom prst="rect">
                      <a:avLst/>
                    </a:prstGeom>
                  </pic:spPr>
                </pic:pic>
              </a:graphicData>
            </a:graphic>
          </wp:anchor>
        </w:drawing>
      </w:r>
      <w:r>
        <w:rPr>
          <w:sz w:val="12"/>
          <w:szCs w:val="12"/>
        </w:rPr>
        <w:t>2</w:t>
      </w:r>
    </w:p>
    <w:p>
      <w:pPr>
        <w:spacing w:line="369" w:lineRule="auto"/>
        <w:rPr>
          <w:rFonts w:ascii="Arial"/>
          <w:sz w:val="21"/>
        </w:rPr>
      </w:pPr>
    </w:p>
    <w:p>
      <w:pPr>
        <w:pStyle w:val="BodyText"/>
        <w:spacing w:before="39" w:line="184" w:lineRule="auto"/>
        <w:ind w:left="3799"/>
        <w:rPr>
          <w:sz w:val="12"/>
          <w:szCs w:val="12"/>
        </w:rPr>
      </w:pPr>
      <w:r>
        <w:rPr>
          <w:sz w:val="12"/>
          <w:szCs w:val="12"/>
        </w:rPr>
        <w:t>1</w:t>
      </w:r>
    </w:p>
    <w:p>
      <w:pPr>
        <w:spacing w:line="369" w:lineRule="auto"/>
        <w:rPr>
          <w:rFonts w:ascii="Arial"/>
          <w:sz w:val="21"/>
        </w:rPr>
      </w:pPr>
    </w:p>
    <w:p>
      <w:pPr>
        <w:pStyle w:val="BodyText"/>
        <w:spacing w:before="40" w:line="183" w:lineRule="auto"/>
        <w:ind w:left="5269"/>
        <w:rPr>
          <w:sz w:val="12"/>
          <w:szCs w:val="12"/>
        </w:rPr>
      </w:pPr>
      <w:r>
        <w:rPr>
          <w:sz w:val="12"/>
          <w:szCs w:val="12"/>
        </w:rPr>
        <w:t>3</w:t>
      </w:r>
    </w:p>
    <w:p>
      <w:pPr>
        <w:spacing w:line="280" w:lineRule="auto"/>
        <w:rPr>
          <w:rFonts w:ascii="Arial"/>
          <w:sz w:val="21"/>
        </w:rPr>
      </w:pPr>
    </w:p>
    <w:p>
      <w:pPr>
        <w:spacing w:line="281" w:lineRule="auto"/>
        <w:rPr>
          <w:rFonts w:ascii="Arial"/>
          <w:sz w:val="21"/>
        </w:rPr>
      </w:pPr>
    </w:p>
    <w:p>
      <w:pPr>
        <w:pStyle w:val="BodyText"/>
        <w:spacing w:before="68" w:line="255" w:lineRule="auto"/>
        <w:ind w:left="2319" w:right="1749" w:hanging="660"/>
        <w:rPr>
          <w:sz w:val="21"/>
          <w:szCs w:val="21"/>
        </w:rPr>
      </w:pPr>
      <w:r>
        <w:rPr>
          <w:spacing w:val="-2"/>
          <w:sz w:val="21"/>
          <w:szCs w:val="21"/>
        </w:rPr>
        <w:t>图 3</w:t>
      </w:r>
      <w:r>
        <w:rPr>
          <w:spacing w:val="102"/>
          <w:sz w:val="21"/>
          <w:szCs w:val="21"/>
        </w:rPr>
        <w:t xml:space="preserve"> </w:t>
      </w:r>
      <w:r>
        <w:rPr>
          <w:spacing w:val="-2"/>
          <w:sz w:val="21"/>
          <w:szCs w:val="21"/>
        </w:rPr>
        <w:t>用标准粒子发生装置及参考粉尘仪的示值误差检定示</w:t>
      </w:r>
      <w:r>
        <w:rPr>
          <w:spacing w:val="-3"/>
          <w:sz w:val="21"/>
          <w:szCs w:val="21"/>
        </w:rPr>
        <w:t>意图</w:t>
      </w:r>
      <w:r>
        <w:rPr>
          <w:sz w:val="21"/>
          <w:szCs w:val="21"/>
        </w:rPr>
        <w:t xml:space="preserve"> </w:t>
      </w:r>
      <w:r>
        <w:rPr>
          <w:spacing w:val="-1"/>
          <w:sz w:val="21"/>
          <w:szCs w:val="21"/>
        </w:rPr>
        <w:t>1—粒子发生器；2—参考粉尘仪；3—被检粉</w:t>
      </w:r>
      <w:r>
        <w:rPr>
          <w:spacing w:val="-2"/>
          <w:sz w:val="21"/>
          <w:szCs w:val="21"/>
        </w:rPr>
        <w:t>尘仪</w:t>
      </w:r>
    </w:p>
    <w:p>
      <w:pPr>
        <w:pStyle w:val="BodyText"/>
        <w:spacing w:before="83" w:line="219" w:lineRule="auto"/>
      </w:pPr>
      <w:hyperlink r:id="rId44" w:history="1">
        <w:r>
          <w:t>5.4.2.4</w:t>
        </w:r>
      </w:hyperlink>
      <w:r>
        <w:rPr>
          <w:spacing w:val="124"/>
        </w:rPr>
        <w:t xml:space="preserve"> </w:t>
      </w:r>
      <w:r>
        <w:t>对多量程粉尘仪的示值误差检定</w:t>
      </w:r>
    </w:p>
    <w:p>
      <w:pPr>
        <w:pStyle w:val="BodyText"/>
        <w:spacing w:before="70" w:line="264" w:lineRule="auto"/>
        <w:ind w:right="49" w:firstLine="469"/>
        <w:jc w:val="both"/>
        <w:sectPr>
          <w:headerReference w:type="default" r:id="rId45"/>
          <w:footerReference w:type="default" r:id="rId46"/>
          <w:pgSz w:w="12060" w:h="16950"/>
          <w:pgMar w:top="1849" w:right="1460" w:bottom="1104" w:left="1370" w:header="1504" w:footer="956" w:gutter="0"/>
          <w:pgNumType w:start="11"/>
          <w:cols w:space="708"/>
        </w:sectPr>
      </w:pPr>
      <w:r>
        <w:rPr>
          <w:spacing w:val="10"/>
        </w:rPr>
        <w:t>对于多量程仪器(手动切换或自动切换),选取一个常用量程按上述方法进行检定</w:t>
      </w:r>
      <w:r>
        <w:rPr>
          <w:spacing w:val="14"/>
        </w:rPr>
        <w:t xml:space="preserve"> </w:t>
      </w:r>
      <w:r>
        <w:rPr>
          <w:spacing w:val="11"/>
        </w:rPr>
        <w:t>后，再对其他每个量程段各选定一个50%量程左右的浓度测量点，按上述方法检定，</w:t>
      </w:r>
      <w:r>
        <w:t xml:space="preserve"> </w:t>
      </w:r>
      <w:r>
        <w:rPr>
          <w:spacing w:val="3"/>
        </w:rPr>
        <w:t>其示值误差均应满足3.1的要求。</w:t>
      </w:r>
    </w:p>
    <w:p>
      <w:pPr>
        <w:pStyle w:val="BodyText"/>
        <w:spacing w:before="55" w:line="219" w:lineRule="auto"/>
        <w:ind w:left="469"/>
      </w:pPr>
      <w:r>
        <w:rPr>
          <w:spacing w:val="4"/>
        </w:rPr>
        <w:t>取3个测量点中绝对值最大的示值误差作为</w:t>
      </w:r>
      <w:r>
        <w:rPr>
          <w:spacing w:val="3"/>
        </w:rPr>
        <w:t>该台粉尘仪的示值误差。</w:t>
      </w:r>
    </w:p>
    <w:p>
      <w:pPr>
        <w:pStyle w:val="BodyText"/>
        <w:spacing w:before="86" w:line="219" w:lineRule="auto"/>
      </w:pPr>
      <w:r>
        <w:rPr>
          <w:spacing w:val="-2"/>
        </w:rPr>
        <w:t>5.4.3  示值重复性</w:t>
      </w:r>
    </w:p>
    <w:p>
      <w:pPr>
        <w:pStyle w:val="BodyText"/>
        <w:spacing w:before="64" w:line="263" w:lineRule="auto"/>
        <w:ind w:firstLine="469"/>
        <w:jc w:val="both"/>
      </w:pPr>
      <w:r>
        <w:rPr>
          <w:spacing w:val="13"/>
        </w:rPr>
        <w:t>在粉尘仪测量范围的50%附近，当粉尘发生装置内的粉尘浓度达到稳定状态后，</w:t>
      </w:r>
      <w:r>
        <w:rPr>
          <w:spacing w:val="10"/>
        </w:rPr>
        <w:t xml:space="preserve"> </w:t>
      </w:r>
      <w:r>
        <w:rPr>
          <w:spacing w:val="13"/>
        </w:rPr>
        <w:t>读取粉尘仪的浓度显示值，稳定后，再进行一次测量，</w:t>
      </w:r>
      <w:r>
        <w:rPr>
          <w:spacing w:val="12"/>
        </w:rPr>
        <w:t>连续测量6次，用式(3)计算</w:t>
      </w:r>
      <w:r>
        <w:t xml:space="preserve">  </w:t>
      </w:r>
      <w:r>
        <w:rPr>
          <w:spacing w:val="-5"/>
        </w:rPr>
        <w:t>其示值误差重复性。</w:t>
      </w:r>
    </w:p>
    <w:p>
      <w:pPr>
        <w:spacing w:line="263" w:lineRule="auto"/>
        <w:sectPr>
          <w:headerReference w:type="default" r:id="rId47"/>
          <w:footerReference w:type="default" r:id="rId48"/>
          <w:type w:val="nextPage"/>
          <w:pgSz w:w="12060" w:h="16950"/>
          <w:pgMar w:top="1849" w:right="1460" w:bottom="1104" w:left="1370" w:header="1504" w:footer="956" w:gutter="0"/>
          <w:pgNumType w:start="12"/>
          <w:cols w:space="708"/>
          <w:titlePg w:val="0"/>
        </w:sectPr>
      </w:pPr>
    </w:p>
    <w:p>
      <w:pPr>
        <w:spacing w:line="239" w:lineRule="exact"/>
      </w:pPr>
    </w:p>
    <w:p>
      <w:pPr>
        <w:spacing w:line="239" w:lineRule="exact"/>
        <w:sectPr>
          <w:headerReference w:type="default" r:id="rId49"/>
          <w:footerReference w:type="default" r:id="rId50"/>
          <w:pgSz w:w="11900" w:h="16840"/>
          <w:pgMar w:top="1809" w:right="1419" w:bottom="982" w:left="1249" w:header="1517" w:footer="823" w:gutter="0"/>
          <w:pgNumType w:start="13"/>
          <w:cols w:num="1" w:space="708" w:equalWidth="0">
            <w:col w:w="9231" w:space="0"/>
          </w:cols>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78" w:line="220" w:lineRule="auto"/>
        <w:ind w:left="470"/>
      </w:pPr>
      <w:r>
        <w:rPr>
          <w:spacing w:val="-16"/>
        </w:rPr>
        <w:t>式中：</w:t>
      </w:r>
    </w:p>
    <w:p>
      <w:pPr>
        <w:pStyle w:val="BodyText"/>
        <w:spacing w:before="83" w:line="184" w:lineRule="auto"/>
        <w:ind w:left="470"/>
      </w:pPr>
      <w:r>
        <w:rPr>
          <w:rFonts w:ascii="Times New Roman" w:eastAsia="Times New Roman" w:hAnsi="Times New Roman" w:cs="Times New Roman"/>
        </w:rPr>
        <w:t>s——</w:t>
      </w:r>
      <w:r>
        <w:rPr>
          <w:rFonts w:ascii="Times New Roman" w:eastAsia="Times New Roman" w:hAnsi="Times New Roman" w:cs="Times New Roman"/>
          <w:spacing w:val="-34"/>
        </w:rPr>
        <w:t xml:space="preserve"> </w:t>
      </w:r>
      <w:r>
        <w:t>示值重复性，%;</w:t>
      </w:r>
    </w:p>
    <w:p>
      <w:pPr>
        <w:spacing w:line="14" w:lineRule="auto"/>
        <w:rPr>
          <w:rFonts w:ascii="Arial"/>
          <w:sz w:val="2"/>
        </w:rPr>
      </w:pPr>
      <w:r>
        <w:rPr>
          <w:rFonts w:ascii="Arial" w:eastAsia="Arial" w:hAnsi="Arial" w:cs="Arial"/>
          <w:sz w:val="2"/>
          <w:szCs w:val="2"/>
        </w:rPr>
        <w:br w:type="column"/>
      </w:r>
    </w:p>
    <w:p>
      <w:pPr>
        <w:spacing w:line="1058" w:lineRule="exact"/>
      </w:pPr>
      <w:r>
        <w:rPr>
          <w:position w:val="-21"/>
        </w:rPr>
        <w:drawing>
          <wp:inline distT="0" distB="0" distL="0" distR="0">
            <wp:extent cx="1981238" cy="67227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1"/>
                    <a:stretch>
                      <a:fillRect/>
                    </a:stretch>
                  </pic:blipFill>
                  <pic:spPr>
                    <a:xfrm>
                      <a:off x="0" y="0"/>
                      <a:ext cx="1981238" cy="672273"/>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rPr>
          <w:rFonts w:ascii="Arial"/>
          <w:sz w:val="21"/>
        </w:rPr>
      </w:pPr>
    </w:p>
    <w:p>
      <w:pPr>
        <w:spacing w:line="241" w:lineRule="auto"/>
        <w:rPr>
          <w:rFonts w:ascii="Arial"/>
          <w:sz w:val="21"/>
        </w:rPr>
      </w:pPr>
    </w:p>
    <w:p>
      <w:pPr>
        <w:pStyle w:val="BodyText"/>
        <w:spacing w:before="78" w:line="222" w:lineRule="auto"/>
        <w:ind w:left="309"/>
      </w:pPr>
      <w:r>
        <w:rPr>
          <w:spacing w:val="-12"/>
        </w:rPr>
        <w:t>(3)</w:t>
      </w:r>
    </w:p>
    <w:p>
      <w:pPr>
        <w:spacing w:line="222" w:lineRule="auto"/>
        <w:sectPr>
          <w:headerReference w:type="default" r:id="rId52"/>
          <w:footerReference w:type="default" r:id="rId53"/>
          <w:type w:val="continuous"/>
          <w:pgSz w:w="11900" w:h="16840"/>
          <w:pgMar w:top="1809" w:right="1419" w:bottom="982" w:left="1249" w:header="1517" w:footer="823" w:gutter="0"/>
          <w:pgNumType w:start="14"/>
          <w:cols w:num="3" w:space="708" w:equalWidth="0">
            <w:col w:w="2930" w:space="100"/>
            <w:col w:w="5381" w:space="100"/>
            <w:col w:w="720" w:space="0"/>
          </w:cols>
        </w:sectPr>
      </w:pPr>
    </w:p>
    <w:p>
      <w:pPr>
        <w:pStyle w:val="BodyText"/>
        <w:spacing w:before="82" w:line="212" w:lineRule="auto"/>
        <w:ind w:left="369"/>
        <w:rPr>
          <w:rFonts w:ascii="Times New Roman" w:eastAsia="Times New Roman" w:hAnsi="Times New Roman" w:cs="Times New Roman"/>
        </w:rPr>
      </w:pPr>
      <w:r>
        <w:rPr>
          <w:rFonts w:ascii="Times New Roman" w:eastAsia="Times New Roman" w:hAnsi="Times New Roman" w:cs="Times New Roman"/>
        </w:rPr>
        <w:t xml:space="preserve">p:—— </w:t>
      </w:r>
      <w:r>
        <w:t>第</w:t>
      </w:r>
      <w:r>
        <w:rPr>
          <w:rFonts w:ascii="Times New Roman" w:eastAsia="Times New Roman" w:hAnsi="Times New Roman" w:cs="Times New Roman"/>
        </w:rPr>
        <w:t>i</w:t>
      </w:r>
      <w:r>
        <w:rPr>
          <w:rFonts w:ascii="Times New Roman" w:eastAsia="Times New Roman" w:hAnsi="Times New Roman" w:cs="Times New Roman"/>
          <w:spacing w:val="62"/>
          <w:w w:val="101"/>
        </w:rPr>
        <w:t xml:space="preserve"> </w:t>
      </w:r>
      <w:r>
        <w:t>次的粉尘仪显示值，</w:t>
      </w:r>
      <w:r>
        <w:rPr>
          <w:rFonts w:ascii="Times New Roman" w:eastAsia="Times New Roman" w:hAnsi="Times New Roman" w:cs="Times New Roman"/>
        </w:rPr>
        <w:t>mg/m³;</w:t>
      </w:r>
    </w:p>
    <w:p>
      <w:pPr>
        <w:pStyle w:val="BodyText"/>
        <w:spacing w:before="175" w:line="212" w:lineRule="auto"/>
        <w:ind w:left="470"/>
      </w:pPr>
      <w:r>
        <w:rPr>
          <w:rFonts w:ascii="Times New Roman" w:eastAsia="Times New Roman" w:hAnsi="Times New Roman" w:cs="Times New Roman"/>
          <w:spacing w:val="-4"/>
        </w:rPr>
        <w:t xml:space="preserve">p—6     </w:t>
      </w:r>
      <w:r>
        <w:rPr>
          <w:spacing w:val="-4"/>
        </w:rPr>
        <w:t xml:space="preserve">次重复性测量显示值的平均值， </w:t>
      </w:r>
      <w:r>
        <w:rPr>
          <w:rFonts w:ascii="Times New Roman" w:eastAsia="Times New Roman" w:hAnsi="Times New Roman" w:cs="Times New Roman"/>
          <w:spacing w:val="-4"/>
        </w:rPr>
        <w:t>mg/m³</w:t>
      </w:r>
      <w:r>
        <w:rPr>
          <w:spacing w:val="-4"/>
        </w:rPr>
        <w:t>。</w:t>
      </w:r>
    </w:p>
    <w:p>
      <w:pPr>
        <w:pStyle w:val="BodyText"/>
        <w:spacing w:before="91" w:line="252" w:lineRule="auto"/>
        <w:ind w:left="9" w:right="110" w:firstLine="460"/>
      </w:pPr>
      <w:r>
        <w:rPr>
          <w:spacing w:val="10"/>
        </w:rPr>
        <w:t>对光学原理的粉尘仪，若采用标准透光膜板进行测试，应在其50%左右量程附近</w:t>
      </w:r>
      <w:r>
        <w:rPr>
          <w:spacing w:val="8"/>
        </w:rPr>
        <w:t xml:space="preserve"> </w:t>
      </w:r>
      <w:r>
        <w:rPr>
          <w:spacing w:val="15"/>
        </w:rPr>
        <w:t>连续独立地测试6次，按式(3)计算其重复</w:t>
      </w:r>
      <w:r>
        <w:rPr>
          <w:spacing w:val="14"/>
        </w:rPr>
        <w:t>性。</w:t>
      </w:r>
    </w:p>
    <w:p>
      <w:pPr>
        <w:pStyle w:val="BodyText"/>
        <w:spacing w:before="67" w:line="221" w:lineRule="auto"/>
        <w:ind w:left="9"/>
      </w:pPr>
      <w:r>
        <w:rPr>
          <w:spacing w:val="-3"/>
        </w:rPr>
        <w:t>5.4.4</w:t>
      </w:r>
      <w:r>
        <w:rPr>
          <w:spacing w:val="97"/>
        </w:rPr>
        <w:t xml:space="preserve"> </w:t>
      </w:r>
      <w:r>
        <w:rPr>
          <w:spacing w:val="-3"/>
        </w:rPr>
        <w:t>绝缘电阻</w:t>
      </w:r>
    </w:p>
    <w:p>
      <w:pPr>
        <w:pStyle w:val="BodyText"/>
        <w:spacing w:before="70" w:line="256" w:lineRule="auto"/>
        <w:ind w:left="9" w:right="90" w:firstLine="460"/>
      </w:pPr>
      <w:r>
        <w:rPr>
          <w:spacing w:val="1"/>
        </w:rPr>
        <w:t>用绝缘电阻表分别测定粉尘仪电源插孔两极对地及对外壳上裸露金</w:t>
      </w:r>
      <w:r>
        <w:t xml:space="preserve">属件之间的绝缘 </w:t>
      </w:r>
      <w:r>
        <w:rPr>
          <w:spacing w:val="-3"/>
        </w:rPr>
        <w:t>电阻，取其最小值为粉尘仪的绝缘电阻。</w:t>
      </w:r>
    </w:p>
    <w:p>
      <w:pPr>
        <w:pStyle w:val="BodyText"/>
        <w:spacing w:before="56" w:line="220" w:lineRule="auto"/>
        <w:ind w:left="9"/>
      </w:pPr>
      <w:r>
        <w:t>5.4.5</w:t>
      </w:r>
      <w:r>
        <w:rPr>
          <w:spacing w:val="94"/>
        </w:rPr>
        <w:t xml:space="preserve"> </w:t>
      </w:r>
      <w:r>
        <w:t>绝缘强度</w:t>
      </w:r>
    </w:p>
    <w:p>
      <w:pPr>
        <w:pStyle w:val="BodyText"/>
        <w:spacing w:before="82" w:line="258" w:lineRule="auto"/>
        <w:ind w:left="9" w:firstLine="460"/>
        <w:jc w:val="both"/>
      </w:pPr>
      <w:r>
        <w:rPr>
          <w:spacing w:val="1"/>
        </w:rPr>
        <w:t>将耐压试验仪的输出端子分别接在粉尘仪的</w:t>
      </w:r>
      <w:r>
        <w:t xml:space="preserve">交流输入端及外壳裸露金属件上，使耐 </w:t>
      </w:r>
      <w:r>
        <w:rPr>
          <w:spacing w:val="7"/>
        </w:rPr>
        <w:t>压试验仪输出1500</w:t>
      </w:r>
      <w:r>
        <w:rPr>
          <w:rFonts w:ascii="Times New Roman" w:eastAsia="Times New Roman" w:hAnsi="Times New Roman" w:cs="Times New Roman"/>
          <w:spacing w:val="7"/>
        </w:rPr>
        <w:t>V</w:t>
      </w:r>
      <w:r>
        <w:rPr>
          <w:rFonts w:ascii="Times New Roman" w:eastAsia="Times New Roman" w:hAnsi="Times New Roman" w:cs="Times New Roman"/>
          <w:spacing w:val="45"/>
        </w:rPr>
        <w:t xml:space="preserve"> </w:t>
      </w:r>
      <w:r>
        <w:rPr>
          <w:spacing w:val="7"/>
        </w:rPr>
        <w:t>的交流电压，并保持1</w:t>
      </w:r>
      <w:r>
        <w:rPr>
          <w:rFonts w:ascii="Times New Roman" w:eastAsia="Times New Roman" w:hAnsi="Times New Roman" w:cs="Times New Roman"/>
        </w:rPr>
        <w:t>min</w:t>
      </w:r>
      <w:r>
        <w:rPr>
          <w:rFonts w:ascii="Times New Roman" w:eastAsia="Times New Roman" w:hAnsi="Times New Roman" w:cs="Times New Roman"/>
          <w:spacing w:val="7"/>
        </w:rPr>
        <w:t xml:space="preserve">,   </w:t>
      </w:r>
      <w:r>
        <w:rPr>
          <w:spacing w:val="7"/>
        </w:rPr>
        <w:t>观察粉尘仪是否有击穿或飞弧现象。</w:t>
      </w:r>
      <w:r>
        <w:t xml:space="preserve"> </w:t>
      </w:r>
      <w:r>
        <w:rPr>
          <w:spacing w:val="-3"/>
        </w:rPr>
        <w:t>5.5</w:t>
      </w:r>
      <w:r>
        <w:rPr>
          <w:spacing w:val="108"/>
        </w:rPr>
        <w:t xml:space="preserve"> </w:t>
      </w:r>
      <w:r>
        <w:rPr>
          <w:spacing w:val="-3"/>
        </w:rPr>
        <w:t>检定结果处理</w:t>
      </w:r>
    </w:p>
    <w:p>
      <w:pPr>
        <w:pStyle w:val="BodyText"/>
        <w:spacing w:before="49" w:line="269" w:lineRule="auto"/>
        <w:ind w:left="9" w:right="89" w:firstLine="460"/>
        <w:jc w:val="both"/>
      </w:pPr>
      <w:r>
        <w:rPr>
          <w:spacing w:val="6"/>
        </w:rPr>
        <w:t>经检定符合本规程要求的粉尘仪，发给检定证书(内页格式见</w:t>
      </w:r>
      <w:r>
        <w:rPr>
          <w:spacing w:val="-33"/>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5"/>
        </w:rPr>
        <w:t>1</w:t>
      </w:r>
      <w:r>
        <w:rPr>
          <w:rFonts w:ascii="Times New Roman" w:eastAsia="Times New Roman" w:hAnsi="Times New Roman" w:cs="Times New Roman"/>
          <w:spacing w:val="35"/>
        </w:rPr>
        <w:t xml:space="preserve"> </w:t>
      </w:r>
      <w:r>
        <w:rPr>
          <w:spacing w:val="5"/>
        </w:rPr>
        <w:t>和</w:t>
      </w:r>
      <w:r>
        <w:rPr>
          <w:spacing w:val="-20"/>
        </w:rPr>
        <w:t xml:space="preserve"> </w:t>
      </w:r>
      <w:r>
        <w:rPr>
          <w:rFonts w:ascii="Times New Roman" w:eastAsia="Times New Roman" w:hAnsi="Times New Roman" w:cs="Times New Roman"/>
          <w:spacing w:val="5"/>
        </w:rPr>
        <w:t xml:space="preserve">B.2);    </w:t>
      </w:r>
      <w:r>
        <w:rPr>
          <w:spacing w:val="5"/>
        </w:rPr>
        <w:t>不符</w:t>
      </w:r>
      <w:r>
        <w:t xml:space="preserve"> </w:t>
      </w:r>
      <w:r>
        <w:rPr>
          <w:spacing w:val="5"/>
        </w:rPr>
        <w:t>合本规程要求的粉尘仪，发给检定结果通知书(内页格式见</w:t>
      </w:r>
      <w:r>
        <w:rPr>
          <w:spacing w:val="-22"/>
        </w:rPr>
        <w:t xml:space="preserve"> </w:t>
      </w:r>
      <w:r>
        <w:rPr>
          <w:rFonts w:ascii="Times New Roman" w:eastAsia="Times New Roman" w:hAnsi="Times New Roman" w:cs="Times New Roman"/>
          <w:spacing w:val="5"/>
        </w:rPr>
        <w:t>B.1</w:t>
      </w:r>
      <w:r>
        <w:rPr>
          <w:rFonts w:ascii="Times New Roman" w:eastAsia="Times New Roman" w:hAnsi="Times New Roman" w:cs="Times New Roman"/>
          <w:spacing w:val="34"/>
        </w:rPr>
        <w:t xml:space="preserve"> </w:t>
      </w:r>
      <w:r>
        <w:rPr>
          <w:spacing w:val="5"/>
        </w:rPr>
        <w:t>和</w:t>
      </w:r>
      <w:r>
        <w:rPr>
          <w:spacing w:val="-30"/>
        </w:rPr>
        <w:t xml:space="preserve"> </w:t>
      </w:r>
      <w:r>
        <w:rPr>
          <w:rFonts w:ascii="Times New Roman" w:eastAsia="Times New Roman" w:hAnsi="Times New Roman" w:cs="Times New Roman"/>
          <w:spacing w:val="5"/>
        </w:rPr>
        <w:t xml:space="preserve">B.3);    </w:t>
      </w:r>
      <w:r>
        <w:rPr>
          <w:spacing w:val="5"/>
        </w:rPr>
        <w:t>原始记录格</w:t>
      </w:r>
      <w:r>
        <w:t xml:space="preserve"> </w:t>
      </w:r>
      <w:r>
        <w:rPr>
          <w:spacing w:val="1"/>
        </w:rPr>
        <w:t>式见附录C。</w:t>
      </w:r>
    </w:p>
    <w:p>
      <w:pPr>
        <w:pStyle w:val="BodyText"/>
        <w:spacing w:before="67" w:line="219" w:lineRule="auto"/>
        <w:ind w:left="9"/>
      </w:pPr>
      <w:r>
        <w:rPr>
          <w:spacing w:val="-4"/>
        </w:rPr>
        <w:t>5.6</w:t>
      </w:r>
      <w:r>
        <w:rPr>
          <w:spacing w:val="109"/>
        </w:rPr>
        <w:t xml:space="preserve"> </w:t>
      </w:r>
      <w:r>
        <w:rPr>
          <w:spacing w:val="-4"/>
        </w:rPr>
        <w:t>检定周期</w:t>
      </w:r>
    </w:p>
    <w:p>
      <w:pPr>
        <w:pStyle w:val="BodyText"/>
        <w:spacing w:before="76" w:line="238" w:lineRule="auto"/>
        <w:ind w:left="9" w:right="85" w:firstLine="460"/>
      </w:pPr>
      <w:r>
        <w:rPr>
          <w:spacing w:val="11"/>
        </w:rPr>
        <w:t>粉尘仪的检定周期一般不超过1年，当粉尘仪修理或更换了主要部件后，应及时</w:t>
      </w:r>
      <w:r>
        <w:rPr>
          <w:spacing w:val="8"/>
        </w:rPr>
        <w:t xml:space="preserve"> </w:t>
      </w:r>
      <w:r>
        <w:rPr>
          <w:spacing w:val="-10"/>
        </w:rPr>
        <w:t>送检。</w:t>
      </w:r>
    </w:p>
    <w:p>
      <w:pPr>
        <w:spacing w:line="238" w:lineRule="auto"/>
        <w:sectPr>
          <w:headerReference w:type="default" r:id="rId54"/>
          <w:footerReference w:type="default" r:id="rId55"/>
          <w:type w:val="continuous"/>
          <w:pgSz w:w="11900" w:h="16840"/>
          <w:pgMar w:top="1809" w:right="1419" w:bottom="982" w:left="1249" w:header="1517" w:footer="823" w:gutter="0"/>
          <w:pgNumType w:start="15"/>
          <w:cols w:num="1" w:space="708" w:equalWidth="0">
            <w:col w:w="9231" w:space="0"/>
          </w:cols>
        </w:sectPr>
      </w:pPr>
    </w:p>
    <w:p>
      <w:pPr>
        <w:pStyle w:val="BodyText"/>
        <w:spacing w:before="244" w:line="222" w:lineRule="auto"/>
        <w:ind w:left="3"/>
      </w:pPr>
      <w:r>
        <w:rPr>
          <w:rFonts w:ascii="SimHei" w:eastAsia="SimHei" w:hAnsi="SimHei" w:cs="SimHei"/>
          <w:b/>
          <w:bCs/>
          <w:spacing w:val="-14"/>
        </w:rPr>
        <w:t>附</w:t>
      </w:r>
      <w:r>
        <w:rPr>
          <w:rFonts w:ascii="SimHei" w:eastAsia="SimHei" w:hAnsi="SimHei" w:cs="SimHei"/>
          <w:spacing w:val="-41"/>
        </w:rPr>
        <w:t xml:space="preserve"> </w:t>
      </w:r>
      <w:r>
        <w:rPr>
          <w:rFonts w:ascii="SimHei" w:eastAsia="SimHei" w:hAnsi="SimHei" w:cs="SimHei"/>
          <w:b/>
          <w:bCs/>
          <w:spacing w:val="-14"/>
        </w:rPr>
        <w:t>录</w:t>
      </w:r>
      <w:r>
        <w:rPr>
          <w:rFonts w:ascii="SimHei" w:eastAsia="SimHei" w:hAnsi="SimHei" w:cs="SimHei"/>
          <w:spacing w:val="-36"/>
        </w:rPr>
        <w:t xml:space="preserve"> </w:t>
      </w:r>
      <w:r>
        <w:rPr>
          <w:b/>
          <w:bCs/>
          <w:spacing w:val="-14"/>
        </w:rPr>
        <w:t>A</w:t>
      </w:r>
    </w:p>
    <w:p>
      <w:pPr>
        <w:spacing w:line="327" w:lineRule="auto"/>
        <w:rPr>
          <w:rFonts w:ascii="Arial"/>
          <w:sz w:val="21"/>
        </w:rPr>
      </w:pPr>
    </w:p>
    <w:p>
      <w:pPr>
        <w:spacing w:before="91" w:line="220" w:lineRule="auto"/>
        <w:ind w:left="2653"/>
        <w:rPr>
          <w:rFonts w:ascii="SimHei" w:eastAsia="SimHei" w:hAnsi="SimHei" w:cs="SimHei"/>
          <w:sz w:val="28"/>
          <w:szCs w:val="28"/>
        </w:rPr>
      </w:pPr>
      <w:r>
        <w:rPr>
          <w:rFonts w:ascii="SimHei" w:eastAsia="SimHei" w:hAnsi="SimHei" w:cs="SimHei"/>
          <w:b/>
          <w:bCs/>
          <w:spacing w:val="-6"/>
          <w:sz w:val="28"/>
          <w:szCs w:val="28"/>
        </w:rPr>
        <w:t>参考粉尘仪的示值误差校准方法</w:t>
      </w:r>
    </w:p>
    <w:p>
      <w:pPr>
        <w:spacing w:line="350" w:lineRule="auto"/>
        <w:rPr>
          <w:rFonts w:ascii="Arial"/>
          <w:sz w:val="21"/>
        </w:rPr>
      </w:pPr>
    </w:p>
    <w:p>
      <w:pPr>
        <w:pStyle w:val="BodyText"/>
        <w:spacing w:before="78" w:line="258" w:lineRule="auto"/>
        <w:ind w:right="28" w:firstLine="500"/>
        <w:jc w:val="both"/>
      </w:pPr>
      <w:r>
        <w:t>应使用低浓度粉尘发生装置或标准粒子发生装置，使用标准粒子的粒径应小于或等</w:t>
      </w:r>
      <w:r>
        <w:rPr>
          <w:spacing w:val="10"/>
        </w:rPr>
        <w:t xml:space="preserve"> </w:t>
      </w:r>
      <w:r>
        <w:rPr>
          <w:spacing w:val="4"/>
        </w:rPr>
        <w:t>于被检粉尘仪粒径切割器的选择粒径，将参考粉尘仪接入图</w:t>
      </w:r>
      <w:r>
        <w:rPr>
          <w:spacing w:val="-44"/>
        </w:rPr>
        <w:t xml:space="preserve"> </w:t>
      </w:r>
      <w:r>
        <w:rPr>
          <w:rFonts w:ascii="Times New Roman" w:eastAsia="Times New Roman" w:hAnsi="Times New Roman" w:cs="Times New Roman"/>
          <w:spacing w:val="4"/>
        </w:rPr>
        <w:t xml:space="preserve">A.1  </w:t>
      </w:r>
      <w:r>
        <w:rPr>
          <w:spacing w:val="4"/>
        </w:rPr>
        <w:t>所示的粉尘浓度发生</w:t>
      </w:r>
      <w:r>
        <w:t xml:space="preserve"> </w:t>
      </w:r>
      <w:r>
        <w:rPr>
          <w:spacing w:val="-8"/>
        </w:rPr>
        <w:t>装置中进行检测，方法如下；</w:t>
      </w:r>
    </w:p>
    <w:p>
      <w:pPr>
        <w:pStyle w:val="BodyText"/>
        <w:spacing w:before="63" w:line="258" w:lineRule="auto"/>
        <w:ind w:right="44"/>
        <w:jc w:val="both"/>
      </w:pPr>
      <w:r>
        <w:rPr>
          <w:spacing w:val="3"/>
        </w:rPr>
        <w:t>A.1  对于含有总粉尘采样功能的仪器，示值误差检测采用其总粉</w:t>
      </w:r>
      <w:r>
        <w:rPr>
          <w:spacing w:val="2"/>
        </w:rPr>
        <w:t>尘采样功能；对只能</w:t>
      </w:r>
      <w:r>
        <w:t xml:space="preserve"> </w:t>
      </w:r>
      <w:r>
        <w:rPr>
          <w:spacing w:val="12"/>
        </w:rPr>
        <w:t>测量呼吸性粉尘(或带有单一粒径切割器)的粉尘仪，标准采样装置(应符合</w:t>
      </w:r>
      <w:hyperlink r:id="rId9" w:history="1">
        <w:r>
          <w:rPr>
            <w:spacing w:val="12"/>
          </w:rPr>
          <w:t>5.2.1.2</w:t>
        </w:r>
      </w:hyperlink>
      <w:r>
        <w:rPr>
          <w:spacing w:val="2"/>
        </w:rPr>
        <w:t xml:space="preserve"> </w:t>
      </w:r>
      <w:r>
        <w:rPr>
          <w:spacing w:val="6"/>
        </w:rPr>
        <w:t>的要求)应增加连接与参考粉尘仪相同的分离装置(或</w:t>
      </w:r>
      <w:r>
        <w:rPr>
          <w:spacing w:val="5"/>
        </w:rPr>
        <w:t>单一粒径切割器)。</w:t>
      </w:r>
    </w:p>
    <w:p>
      <w:pPr>
        <w:pStyle w:val="BodyText"/>
        <w:spacing w:before="86" w:line="252" w:lineRule="auto"/>
        <w:ind w:right="48"/>
        <w:jc w:val="both"/>
      </w:pPr>
      <w:r>
        <w:rPr>
          <w:rFonts w:ascii="Times New Roman" w:eastAsia="Times New Roman" w:hAnsi="Times New Roman" w:cs="Times New Roman"/>
          <w:spacing w:val="3"/>
        </w:rPr>
        <w:t xml:space="preserve">A.2    </w:t>
      </w:r>
      <w:r>
        <w:rPr>
          <w:spacing w:val="3"/>
        </w:rPr>
        <w:t>参考粉尘仪及标准采样装置应优选放置在粉尘环境中，</w:t>
      </w:r>
      <w:r>
        <w:rPr>
          <w:spacing w:val="2"/>
        </w:rPr>
        <w:t>但其对流场的阻塞面积应</w:t>
      </w:r>
      <w:r>
        <w:t xml:space="preserve"> </w:t>
      </w:r>
      <w:r>
        <w:rPr>
          <w:spacing w:val="10"/>
        </w:rPr>
        <w:t>不超过5%;若放置在粉尘环境以外，则应将采样口放置在粉尘</w:t>
      </w:r>
      <w:r>
        <w:rPr>
          <w:spacing w:val="9"/>
        </w:rPr>
        <w:t>环境内，且采样管的形</w:t>
      </w:r>
      <w:r>
        <w:t xml:space="preserve"> </w:t>
      </w:r>
      <w:r>
        <w:rPr>
          <w:spacing w:val="-3"/>
        </w:rPr>
        <w:t>状、大小、材料应完全相同，采样粉尘的传输路径应相同。</w:t>
      </w:r>
    </w:p>
    <w:p>
      <w:pPr>
        <w:pStyle w:val="BodyText"/>
        <w:spacing w:before="39" w:line="212" w:lineRule="auto"/>
      </w:pPr>
      <w:r>
        <w:rPr>
          <w:rFonts w:ascii="Times New Roman" w:eastAsia="Times New Roman" w:hAnsi="Times New Roman" w:cs="Times New Roman"/>
        </w:rPr>
        <w:t xml:space="preserve">A.3     </w:t>
      </w:r>
      <w:r>
        <w:t>用粉尘浓度发生装置分别发生0.5</w:t>
      </w:r>
      <w:r>
        <w:rPr>
          <w:spacing w:val="-64"/>
        </w:rPr>
        <w:t xml:space="preserve"> </w:t>
      </w:r>
      <w:r>
        <w:rPr>
          <w:rFonts w:ascii="Times New Roman" w:eastAsia="Times New Roman" w:hAnsi="Times New Roman" w:cs="Times New Roman"/>
        </w:rPr>
        <w:t>mg/m³</w:t>
      </w:r>
      <w:r>
        <w:rPr>
          <w:rFonts w:ascii="Times New Roman" w:eastAsia="Times New Roman" w:hAnsi="Times New Roman" w:cs="Times New Roman"/>
          <w:spacing w:val="-34"/>
        </w:rPr>
        <w:t xml:space="preserve"> </w:t>
      </w:r>
      <w:r>
        <w:t>、</w:t>
      </w:r>
      <w:r>
        <w:rPr>
          <w:rFonts w:ascii="Times New Roman" w:eastAsia="Times New Roman" w:hAnsi="Times New Roman" w:cs="Times New Roman"/>
        </w:rPr>
        <w:t>1mg/m³</w:t>
      </w:r>
      <w:r>
        <w:rPr>
          <w:rFonts w:ascii="Times New Roman" w:eastAsia="Times New Roman" w:hAnsi="Times New Roman" w:cs="Times New Roman"/>
          <w:spacing w:val="-34"/>
        </w:rPr>
        <w:t xml:space="preserve"> </w:t>
      </w:r>
      <w:r>
        <w:t>、</w:t>
      </w:r>
      <w:r>
        <w:rPr>
          <w:rFonts w:ascii="Times New Roman" w:eastAsia="Times New Roman" w:hAnsi="Times New Roman" w:cs="Times New Roman"/>
        </w:rPr>
        <w:t>3mg/m³</w:t>
      </w:r>
      <w:r>
        <w:rPr>
          <w:rFonts w:ascii="Times New Roman" w:eastAsia="Times New Roman" w:hAnsi="Times New Roman" w:cs="Times New Roman"/>
          <w:spacing w:val="-34"/>
        </w:rPr>
        <w:t xml:space="preserve"> </w:t>
      </w:r>
      <w:r>
        <w:t>、</w:t>
      </w:r>
      <w:r>
        <w:rPr>
          <w:rFonts w:ascii="Times New Roman" w:eastAsia="Times New Roman" w:hAnsi="Times New Roman" w:cs="Times New Roman"/>
        </w:rPr>
        <w:t>7            mg/m³</w:t>
      </w:r>
      <w:r>
        <w:rPr>
          <w:rFonts w:ascii="Times New Roman" w:eastAsia="Times New Roman" w:hAnsi="Times New Roman" w:cs="Times New Roman"/>
          <w:spacing w:val="-1"/>
        </w:rPr>
        <w:t xml:space="preserve"> </w:t>
      </w:r>
      <w:r>
        <w:rPr>
          <w:spacing w:val="-1"/>
        </w:rPr>
        <w:t>或被</w:t>
      </w:r>
    </w:p>
    <w:p>
      <w:pPr>
        <w:pStyle w:val="BodyText"/>
        <w:spacing w:before="103" w:line="272" w:lineRule="auto"/>
        <w:ind w:right="29"/>
        <w:jc w:val="both"/>
      </w:pPr>
      <w:r>
        <w:rPr>
          <w:spacing w:val="28"/>
        </w:rPr>
        <w:t>测浓度范围20%,50%,80%左右的稳定粉尘环境(在其测</w:t>
      </w:r>
      <w:r>
        <w:rPr>
          <w:spacing w:val="27"/>
        </w:rPr>
        <w:t>量范围内选取适当的3个</w:t>
      </w:r>
      <w:r>
        <w:t xml:space="preserve"> </w:t>
      </w:r>
      <w:r>
        <w:rPr>
          <w:spacing w:val="6"/>
        </w:rPr>
        <w:t>浓度检定点),再用标准采样装置与参考粉尘仪在相同条件下采样、测量；每次均匀记</w:t>
      </w:r>
      <w:r>
        <w:rPr>
          <w:spacing w:val="2"/>
        </w:rPr>
        <w:t xml:space="preserve"> </w:t>
      </w:r>
      <w:r>
        <w:rPr>
          <w:spacing w:val="10"/>
        </w:rPr>
        <w:t>录参考粉尘仪的6个粉尘浓度显示值，取其算数平均值作为该次粉尘仪的显示浓</w:t>
      </w:r>
      <w:r>
        <w:rPr>
          <w:spacing w:val="9"/>
        </w:rPr>
        <w:t>度值</w:t>
      </w:r>
      <w:r>
        <w:t xml:space="preserve"> </w:t>
      </w:r>
      <w:r>
        <w:rPr>
          <w:rFonts w:ascii="Times New Roman" w:eastAsia="Times New Roman" w:hAnsi="Times New Roman" w:cs="Times New Roman"/>
        </w:rPr>
        <w:t>pì</w:t>
      </w:r>
      <w:r>
        <w:rPr>
          <w:rFonts w:ascii="Times New Roman" w:eastAsia="Times New Roman" w:hAnsi="Times New Roman" w:cs="Times New Roman"/>
          <w:spacing w:val="33"/>
        </w:rPr>
        <w:t xml:space="preserve">  </w:t>
      </w:r>
      <w:r>
        <w:t xml:space="preserve">(对于可以直接显示采样期间浓度平均值的被检粉尘仪直接读取其显示平均值，对于 </w:t>
      </w:r>
      <w:r>
        <w:t xml:space="preserve">只能显示累计浓度值的被检粉尘仪，用累计浓度值除以所设置的采样时间得到该检测点 </w:t>
      </w:r>
      <w:r>
        <w:rPr>
          <w:spacing w:val="13"/>
        </w:rPr>
        <w:t>的浓度平均值);每次用标准采样(管)装置的采样流量、采样时间、滤膜采样前后增</w:t>
      </w:r>
      <w:r>
        <w:rPr>
          <w:spacing w:val="5"/>
        </w:rPr>
        <w:t xml:space="preserve"> </w:t>
      </w:r>
      <w:r>
        <w:rPr>
          <w:spacing w:val="10"/>
        </w:rPr>
        <w:t>加粉尘的质量等参数按式(1)计算的粉尘浓度作为标准粉尘浓度</w:t>
      </w:r>
      <w:r>
        <w:rPr>
          <w:rFonts w:ascii="Times New Roman" w:eastAsia="Times New Roman" w:hAnsi="Times New Roman" w:cs="Times New Roman"/>
        </w:rPr>
        <w:t>pb</w:t>
      </w:r>
      <w:r>
        <w:rPr>
          <w:rFonts w:ascii="Times New Roman" w:eastAsia="Times New Roman" w:hAnsi="Times New Roman" w:cs="Times New Roman"/>
          <w:spacing w:val="10"/>
        </w:rPr>
        <w:t>;</w:t>
      </w:r>
      <w:r>
        <w:rPr>
          <w:rFonts w:ascii="Times New Roman" w:eastAsia="Times New Roman" w:hAnsi="Times New Roman" w:cs="Times New Roman"/>
          <w:spacing w:val="26"/>
          <w:w w:val="101"/>
        </w:rPr>
        <w:t xml:space="preserve">  </w:t>
      </w:r>
      <w:r>
        <w:rPr>
          <w:spacing w:val="10"/>
        </w:rPr>
        <w:t>每个测量点重复</w:t>
      </w:r>
      <w:r>
        <w:t xml:space="preserve"> </w:t>
      </w:r>
      <w:r>
        <w:rPr>
          <w:spacing w:val="16"/>
        </w:rPr>
        <w:t>以上操作3次，分别取3个</w:t>
      </w:r>
      <w:r>
        <w:rPr>
          <w:rFonts w:ascii="Times New Roman" w:eastAsia="Times New Roman" w:hAnsi="Times New Roman" w:cs="Times New Roman"/>
          <w:spacing w:val="16"/>
        </w:rPr>
        <w:t>pì</w:t>
      </w:r>
      <w:r>
        <w:rPr>
          <w:rFonts w:ascii="Times New Roman" w:eastAsia="Times New Roman" w:hAnsi="Times New Roman" w:cs="Times New Roman"/>
          <w:spacing w:val="2"/>
        </w:rPr>
        <w:t xml:space="preserve">  </w:t>
      </w:r>
      <w:r>
        <w:rPr>
          <w:spacing w:val="16"/>
        </w:rPr>
        <w:t>和</w:t>
      </w:r>
      <w:r>
        <w:rPr>
          <w:spacing w:val="-69"/>
        </w:rPr>
        <w:t xml:space="preserve"> </w:t>
      </w:r>
      <w:r>
        <w:rPr>
          <w:rFonts w:ascii="Times New Roman" w:eastAsia="Times New Roman" w:hAnsi="Times New Roman" w:cs="Times New Roman"/>
        </w:rPr>
        <w:t>pb</w:t>
      </w:r>
      <w:r>
        <w:rPr>
          <w:rFonts w:ascii="Times New Roman" w:eastAsia="Times New Roman" w:hAnsi="Times New Roman" w:cs="Times New Roman"/>
          <w:spacing w:val="16"/>
        </w:rPr>
        <w:t xml:space="preserve"> </w:t>
      </w:r>
      <w:r>
        <w:rPr>
          <w:spacing w:val="16"/>
        </w:rPr>
        <w:t>的算术平均值作为</w:t>
      </w:r>
      <w:r>
        <w:rPr>
          <w:rFonts w:ascii="Times New Roman" w:eastAsia="Times New Roman" w:hAnsi="Times New Roman" w:cs="Times New Roman"/>
          <w:spacing w:val="16"/>
        </w:rPr>
        <w:t>p₁</w:t>
      </w:r>
      <w:r>
        <w:rPr>
          <w:rFonts w:ascii="Times New Roman" w:eastAsia="Times New Roman" w:hAnsi="Times New Roman" w:cs="Times New Roman"/>
          <w:spacing w:val="48"/>
        </w:rPr>
        <w:t xml:space="preserve"> </w:t>
      </w:r>
      <w:r>
        <w:rPr>
          <w:spacing w:val="16"/>
        </w:rPr>
        <w:t>和</w:t>
      </w:r>
      <w:r>
        <w:rPr>
          <w:rFonts w:ascii="Times New Roman" w:eastAsia="Times New Roman" w:hAnsi="Times New Roman" w:cs="Times New Roman"/>
        </w:rPr>
        <w:t>po</w:t>
      </w:r>
      <w:r>
        <w:rPr>
          <w:rFonts w:ascii="Times New Roman" w:eastAsia="Times New Roman" w:hAnsi="Times New Roman" w:cs="Times New Roman"/>
          <w:spacing w:val="16"/>
        </w:rPr>
        <w:t>,</w:t>
      </w:r>
      <w:r>
        <w:rPr>
          <w:rFonts w:ascii="Times New Roman" w:eastAsia="Times New Roman" w:hAnsi="Times New Roman" w:cs="Times New Roman"/>
          <w:spacing w:val="29"/>
          <w:w w:val="101"/>
        </w:rPr>
        <w:t xml:space="preserve">  </w:t>
      </w:r>
      <w:r>
        <w:rPr>
          <w:spacing w:val="16"/>
        </w:rPr>
        <w:t>再用式(2)计算该检</w:t>
      </w:r>
      <w:r>
        <w:t xml:space="preserve"> </w:t>
      </w:r>
      <w:r>
        <w:t>定点的粉尘浓度示值误差。在参考粉尘仪的标定书面结果中，应给出各测点的示值误差</w:t>
      </w:r>
      <w:r>
        <w:rPr>
          <w:spacing w:val="11"/>
        </w:rPr>
        <w:t xml:space="preserve"> </w:t>
      </w:r>
      <w:r>
        <w:rPr>
          <w:spacing w:val="-7"/>
        </w:rPr>
        <w:t>和不确定度。</w:t>
      </w:r>
    </w:p>
    <w:p>
      <w:pPr>
        <w:pStyle w:val="BodyText"/>
        <w:spacing w:before="118" w:line="259" w:lineRule="auto"/>
        <w:ind w:right="49"/>
        <w:jc w:val="both"/>
      </w:pPr>
      <w:r>
        <w:rPr>
          <w:rFonts w:ascii="Times New Roman" w:eastAsia="Times New Roman" w:hAnsi="Times New Roman" w:cs="Times New Roman"/>
          <w:spacing w:val="12"/>
        </w:rPr>
        <w:t xml:space="preserve">A.4    </w:t>
      </w:r>
      <w:r>
        <w:rPr>
          <w:spacing w:val="12"/>
        </w:rPr>
        <w:t>对于多量程仪器(手动切换或自动切换),选取一个常用量程</w:t>
      </w:r>
      <w:r>
        <w:rPr>
          <w:spacing w:val="11"/>
        </w:rPr>
        <w:t>按上述方法进行检</w:t>
      </w:r>
      <w:r>
        <w:t xml:space="preserve"> </w:t>
      </w:r>
      <w:r>
        <w:rPr>
          <w:spacing w:val="7"/>
        </w:rPr>
        <w:t>定后，再对其他每个量程段各选定一个50%量程左右的浓度测量点，按上述方</w:t>
      </w:r>
      <w:r>
        <w:rPr>
          <w:spacing w:val="6"/>
        </w:rPr>
        <w:t xml:space="preserve">法检定 </w:t>
      </w:r>
      <w:r>
        <w:rPr>
          <w:spacing w:val="5"/>
        </w:rPr>
        <w:t>其示值误差均应满足3.1的要求。</w:t>
      </w:r>
    </w:p>
    <w:p>
      <w:pPr>
        <w:pStyle w:val="BodyText"/>
        <w:spacing w:before="75" w:line="219" w:lineRule="auto"/>
      </w:pPr>
      <w:r>
        <w:rPr>
          <w:rFonts w:ascii="Times New Roman" w:eastAsia="Times New Roman" w:hAnsi="Times New Roman" w:cs="Times New Roman"/>
          <w:spacing w:val="5"/>
        </w:rPr>
        <w:t xml:space="preserve">A.5    </w:t>
      </w:r>
      <w:r>
        <w:rPr>
          <w:spacing w:val="5"/>
        </w:rPr>
        <w:t>参考粉尘仪示值重复性的校准方法按5.4.3的</w:t>
      </w:r>
      <w:r>
        <w:rPr>
          <w:spacing w:val="4"/>
        </w:rPr>
        <w:t>要求进行。</w:t>
      </w:r>
    </w:p>
    <w:p>
      <w:pPr>
        <w:spacing w:line="340" w:lineRule="auto"/>
        <w:rPr>
          <w:rFonts w:ascii="Arial"/>
          <w:sz w:val="21"/>
        </w:rPr>
      </w:pPr>
    </w:p>
    <w:p>
      <w:pPr>
        <w:pStyle w:val="BodyText"/>
        <w:spacing w:before="39" w:line="183" w:lineRule="auto"/>
        <w:ind w:left="5259"/>
        <w:rPr>
          <w:sz w:val="12"/>
          <w:szCs w:val="12"/>
        </w:rPr>
      </w:pPr>
      <w:r>
        <w:drawing>
          <wp:anchor distT="0" distB="0" distL="0" distR="0" simplePos="0" relativeHeight="251659264" behindDoc="1" locked="0" layoutInCell="1" allowOverlap="1">
            <wp:simplePos x="0" y="0"/>
            <wp:positionH relativeFrom="column">
              <wp:posOffset>2108198</wp:posOffset>
            </wp:positionH>
            <wp:positionV relativeFrom="paragraph">
              <wp:posOffset>-188484</wp:posOffset>
            </wp:positionV>
            <wp:extent cx="1600160" cy="1130356"/>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6"/>
                    <a:stretch>
                      <a:fillRect/>
                    </a:stretch>
                  </pic:blipFill>
                  <pic:spPr>
                    <a:xfrm>
                      <a:off x="0" y="0"/>
                      <a:ext cx="1600160" cy="1130356"/>
                    </a:xfrm>
                    <a:prstGeom prst="rect">
                      <a:avLst/>
                    </a:prstGeom>
                  </pic:spPr>
                </pic:pic>
              </a:graphicData>
            </a:graphic>
          </wp:anchor>
        </w:drawing>
      </w:r>
      <w:r>
        <w:rPr>
          <w:sz w:val="12"/>
          <w:szCs w:val="12"/>
        </w:rPr>
        <w:t>2</w:t>
      </w:r>
    </w:p>
    <w:p>
      <w:pPr>
        <w:spacing w:line="379" w:lineRule="auto"/>
        <w:rPr>
          <w:rFonts w:ascii="Arial"/>
          <w:sz w:val="21"/>
        </w:rPr>
      </w:pPr>
    </w:p>
    <w:p>
      <w:pPr>
        <w:pStyle w:val="BodyText"/>
        <w:spacing w:before="39" w:line="184" w:lineRule="auto"/>
        <w:ind w:left="3809"/>
        <w:rPr>
          <w:sz w:val="12"/>
          <w:szCs w:val="12"/>
        </w:rPr>
      </w:pPr>
      <w:r>
        <w:rPr>
          <w:sz w:val="12"/>
          <w:szCs w:val="12"/>
        </w:rPr>
        <w:t>1</w:t>
      </w:r>
    </w:p>
    <w:p>
      <w:pPr>
        <w:spacing w:line="330" w:lineRule="auto"/>
        <w:rPr>
          <w:rFonts w:ascii="Arial"/>
          <w:sz w:val="21"/>
        </w:rPr>
      </w:pPr>
    </w:p>
    <w:p>
      <w:pPr>
        <w:pStyle w:val="BodyText"/>
        <w:spacing w:before="39" w:line="183" w:lineRule="auto"/>
        <w:ind w:left="5269"/>
        <w:rPr>
          <w:sz w:val="12"/>
          <w:szCs w:val="12"/>
        </w:rPr>
      </w:pPr>
      <w:r>
        <w:rPr>
          <w:sz w:val="12"/>
          <w:szCs w:val="12"/>
        </w:rPr>
        <w:t>3</w:t>
      </w:r>
      <w:r>
        <w:rPr>
          <w:sz w:val="12"/>
          <w:szCs w:val="12"/>
        </w:rPr>
        <w:br/>
      </w:r>
      <w:r>
        <w:rPr>
          <w:sz w:val="12"/>
          <w:szCs w:val="1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https://d.book118.com/737120004030006030</w:t>
        </w:r>
      </w:hyperlink>
    </w:p>
    <w:p>
      <w:pPr>
        <w:pStyle w:val="BodyText"/>
        <w:spacing w:before="39" w:line="183" w:lineRule="auto"/>
        <w:ind w:left="5269"/>
        <w:rPr>
          <w:sz w:val="12"/>
          <w:szCs w:val="12"/>
        </w:rPr>
      </w:pPr>
    </w:p>
    <w:sectPr>
      <w:headerReference w:type="default" r:id="rId58"/>
      <w:footerReference w:type="default" r:id="rId59"/>
      <w:pgSz w:w="12060" w:h="16950"/>
      <w:pgMar w:top="1849" w:right="1500" w:bottom="1114" w:left="1380" w:header="1524" w:footer="966"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90"/>
      <w:rPr>
        <w:sz w:val="17"/>
        <w:szCs w:val="17"/>
      </w:rPr>
    </w:pPr>
    <w:r>
      <w:rPr>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90"/>
      <w:rPr>
        <w:sz w:val="17"/>
        <w:szCs w:val="17"/>
      </w:rPr>
    </w:pPr>
    <w:r>
      <w:rPr>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59"/>
      <w:rPr>
        <w:sz w:val="16"/>
        <w:szCs w:val="16"/>
      </w:rPr>
    </w:pPr>
    <w:r>
      <w:rPr>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59"/>
      <w:rPr>
        <w:sz w:val="16"/>
        <w:szCs w:val="16"/>
      </w:rPr>
    </w:pPr>
    <w:r>
      <w:rPr>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0"/>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0"/>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0"/>
      <w:rPr>
        <w:sz w:val="15"/>
        <w:szCs w:val="15"/>
      </w:rPr>
    </w:pPr>
    <w:r>
      <w:rPr>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20"/>
      <w:rPr>
        <w:sz w:val="15"/>
        <w:szCs w:val="15"/>
      </w:rPr>
    </w:pPr>
    <w:r>
      <w:rPr>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870"/>
      <w:rPr>
        <w:sz w:val="15"/>
        <w:szCs w:val="15"/>
      </w:rPr>
    </w:pPr>
    <w:r>
      <w:rPr>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870"/>
      <w:rPr>
        <w:sz w:val="15"/>
        <w:szCs w:val="15"/>
      </w:rPr>
    </w:pPr>
    <w:r>
      <w:rPr>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880"/>
      <w:rPr>
        <w:sz w:val="15"/>
        <w:szCs w:val="15"/>
      </w:rPr>
    </w:pPr>
    <w:r>
      <w:rPr>
        <w:sz w:val="15"/>
        <w:szCs w:val="15"/>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0"/>
    </w:pPr>
    <w:r>
      <w:rPr>
        <w:spacing w:val="-16"/>
      </w:rPr>
      <w:t>JJG 846—2015</w:t>
    </w:r>
  </w:p>
  <w:p>
    <w:pPr>
      <w:spacing w:before="76" w:line="10" w:lineRule="exact"/>
      <w:ind w:firstLine="80"/>
    </w:pPr>
    <w:r>
      <w:drawing>
        <wp:inline distT="0" distB="0" distL="0" distR="0">
          <wp:extent cx="5822964" cy="63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22964" cy="637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0"/>
    </w:pPr>
    <w:r>
      <w:rPr>
        <w:spacing w:val="-16"/>
      </w:rPr>
      <w:t>JJG 846—2015</w:t>
    </w:r>
  </w:p>
  <w:p>
    <w:pPr>
      <w:spacing w:before="76" w:line="10" w:lineRule="exact"/>
      <w:ind w:firstLine="80"/>
    </w:pPr>
    <w:r>
      <w:drawing>
        <wp:inline distT="0" distB="0" distL="0" distR="0">
          <wp:extent cx="5822964" cy="6375"/>
          <wp:effectExtent l="0" t="0" r="0" b="0"/>
          <wp:docPr id="1068940133" name="IM 2"/>
          <wp:cNvGraphicFramePr/>
          <a:graphic xmlns:a="http://schemas.openxmlformats.org/drawingml/2006/main">
            <a:graphicData uri="http://schemas.openxmlformats.org/drawingml/2006/picture">
              <pic:pic xmlns:pic="http://schemas.openxmlformats.org/drawingml/2006/picture">
                <pic:nvPicPr>
                  <pic:cNvPr id="1068940133" name="IM 2"/>
                  <pic:cNvPicPr/>
                </pic:nvPicPr>
                <pic:blipFill>
                  <a:blip xmlns:r="http://schemas.openxmlformats.org/officeDocument/2006/relationships" r:embed="rId1"/>
                  <a:stretch>
                    <a:fillRect/>
                  </a:stretch>
                </pic:blipFill>
                <pic:spPr>
                  <a:xfrm>
                    <a:off x="0" y="0"/>
                    <a:ext cx="5822964" cy="63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0"/>
      <w:rPr>
        <w:sz w:val="21"/>
        <w:szCs w:val="21"/>
      </w:rPr>
    </w:pPr>
    <w:r>
      <w:rPr>
        <w:spacing w:val="-1"/>
        <w:sz w:val="21"/>
        <w:szCs w:val="21"/>
      </w:rPr>
      <w:t>JJG 846—2015</w:t>
    </w:r>
  </w:p>
  <w:p>
    <w:pPr>
      <w:spacing w:before="82" w:line="10" w:lineRule="exact"/>
      <w:ind w:firstLine="90"/>
    </w:pPr>
    <w:r>
      <w:drawing>
        <wp:inline distT="0" distB="0" distL="0" distR="0">
          <wp:extent cx="5816540" cy="63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16540" cy="637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0"/>
      <w:rPr>
        <w:sz w:val="21"/>
        <w:szCs w:val="21"/>
      </w:rPr>
    </w:pPr>
    <w:r>
      <w:rPr>
        <w:spacing w:val="-1"/>
        <w:sz w:val="21"/>
        <w:szCs w:val="21"/>
      </w:rPr>
      <w:t>JJG 846—2015</w:t>
    </w:r>
  </w:p>
  <w:p>
    <w:pPr>
      <w:spacing w:before="82" w:line="10" w:lineRule="exact"/>
      <w:ind w:firstLine="90"/>
    </w:pPr>
    <w:r>
      <w:drawing>
        <wp:inline distT="0" distB="0" distL="0" distR="0">
          <wp:extent cx="5816540" cy="6375"/>
          <wp:effectExtent l="0" t="0" r="0" b="0"/>
          <wp:docPr id="581849401" name="IM 4"/>
          <wp:cNvGraphicFramePr/>
          <a:graphic xmlns:a="http://schemas.openxmlformats.org/drawingml/2006/main">
            <a:graphicData uri="http://schemas.openxmlformats.org/drawingml/2006/picture">
              <pic:pic xmlns:pic="http://schemas.openxmlformats.org/drawingml/2006/picture">
                <pic:nvPicPr>
                  <pic:cNvPr id="581849401" name="IM 4"/>
                  <pic:cNvPicPr/>
                </pic:nvPicPr>
                <pic:blipFill>
                  <a:blip xmlns:r="http://schemas.openxmlformats.org/officeDocument/2006/relationships" r:embed="rId1"/>
                  <a:stretch>
                    <a:fillRect/>
                  </a:stretch>
                </pic:blipFill>
                <pic:spPr>
                  <a:xfrm>
                    <a:off x="0" y="0"/>
                    <a:ext cx="5816540" cy="637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3"/>
      <w:rPr>
        <w:sz w:val="23"/>
        <w:szCs w:val="23"/>
      </w:rPr>
    </w:pPr>
    <w:r>
      <w:rPr>
        <w:b/>
        <w:bCs/>
        <w:spacing w:val="-13"/>
        <w:sz w:val="23"/>
        <w:szCs w:val="23"/>
      </w:rPr>
      <w:t>JJG</w:t>
    </w:r>
    <w:r>
      <w:rPr>
        <w:spacing w:val="-13"/>
        <w:sz w:val="23"/>
        <w:szCs w:val="23"/>
      </w:rPr>
      <w:t xml:space="preserve"> </w:t>
    </w:r>
    <w:r>
      <w:rPr>
        <w:b/>
        <w:bCs/>
        <w:spacing w:val="-13"/>
        <w:sz w:val="23"/>
        <w:szCs w:val="23"/>
      </w:rPr>
      <w:t>846—2015</w:t>
    </w:r>
  </w:p>
  <w:p>
    <w:pPr>
      <w:spacing w:before="71" w:line="10" w:lineRule="exact"/>
      <w:ind w:firstLine="19"/>
    </w:pPr>
    <w:r>
      <w:drawing>
        <wp:inline distT="0" distB="0" distL="0" distR="0">
          <wp:extent cx="5822963" cy="63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22963" cy="6375"/>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3"/>
      <w:rPr>
        <w:sz w:val="23"/>
        <w:szCs w:val="23"/>
      </w:rPr>
    </w:pPr>
    <w:r>
      <w:rPr>
        <w:b/>
        <w:bCs/>
        <w:spacing w:val="-13"/>
        <w:sz w:val="23"/>
        <w:szCs w:val="23"/>
      </w:rPr>
      <w:t>JJG</w:t>
    </w:r>
    <w:r>
      <w:rPr>
        <w:spacing w:val="-13"/>
        <w:sz w:val="23"/>
        <w:szCs w:val="23"/>
      </w:rPr>
      <w:t xml:space="preserve"> </w:t>
    </w:r>
    <w:r>
      <w:rPr>
        <w:b/>
        <w:bCs/>
        <w:spacing w:val="-13"/>
        <w:sz w:val="23"/>
        <w:szCs w:val="23"/>
      </w:rPr>
      <w:t>846—2015</w:t>
    </w:r>
  </w:p>
  <w:p>
    <w:pPr>
      <w:spacing w:before="71" w:line="10" w:lineRule="exact"/>
      <w:ind w:firstLine="19"/>
    </w:pPr>
    <w:r>
      <w:drawing>
        <wp:inline distT="0" distB="0" distL="0" distR="0">
          <wp:extent cx="5822963" cy="6375"/>
          <wp:effectExtent l="0" t="0" r="0" b="0"/>
          <wp:docPr id="632845091" name="IM 6"/>
          <wp:cNvGraphicFramePr/>
          <a:graphic xmlns:a="http://schemas.openxmlformats.org/drawingml/2006/main">
            <a:graphicData uri="http://schemas.openxmlformats.org/drawingml/2006/picture">
              <pic:pic xmlns:pic="http://schemas.openxmlformats.org/drawingml/2006/picture">
                <pic:nvPicPr>
                  <pic:cNvPr id="632845091" name="IM 6"/>
                  <pic:cNvPicPr/>
                </pic:nvPicPr>
                <pic:blipFill>
                  <a:blip xmlns:r="http://schemas.openxmlformats.org/officeDocument/2006/relationships" r:embed="rId1"/>
                  <a:stretch>
                    <a:fillRect/>
                  </a:stretch>
                </pic:blipFill>
                <pic:spPr>
                  <a:xfrm>
                    <a:off x="0" y="0"/>
                    <a:ext cx="5822963" cy="6375"/>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846—2015</w:t>
    </w:r>
  </w:p>
  <w:p>
    <w:pPr>
      <w:spacing w:before="97" w:line="10" w:lineRule="exact"/>
      <w:ind w:firstLine="70"/>
    </w:pPr>
    <w:r>
      <w:drawing>
        <wp:inline distT="0" distB="0" distL="0" distR="0">
          <wp:extent cx="5829234" cy="63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29234" cy="637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846—2015</w:t>
    </w:r>
  </w:p>
  <w:p>
    <w:pPr>
      <w:spacing w:before="97" w:line="10" w:lineRule="exact"/>
      <w:ind w:firstLine="70"/>
    </w:pPr>
    <w:r>
      <w:drawing>
        <wp:inline distT="0" distB="0" distL="0" distR="0">
          <wp:extent cx="5829234" cy="6375"/>
          <wp:effectExtent l="0" t="0" r="0" b="0"/>
          <wp:docPr id="1916324067" name="IM 8"/>
          <wp:cNvGraphicFramePr/>
          <a:graphic xmlns:a="http://schemas.openxmlformats.org/drawingml/2006/main">
            <a:graphicData uri="http://schemas.openxmlformats.org/drawingml/2006/picture">
              <pic:pic xmlns:pic="http://schemas.openxmlformats.org/drawingml/2006/picture">
                <pic:nvPicPr>
                  <pic:cNvPr id="1916324067" name="IM 8"/>
                  <pic:cNvPicPr/>
                </pic:nvPicPr>
                <pic:blipFill>
                  <a:blip xmlns:r="http://schemas.openxmlformats.org/officeDocument/2006/relationships" r:embed="rId1"/>
                  <a:stretch>
                    <a:fillRect/>
                  </a:stretch>
                </pic:blipFill>
                <pic:spPr>
                  <a:xfrm>
                    <a:off x="0" y="0"/>
                    <a:ext cx="5829234" cy="637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846—2015</w:t>
    </w:r>
  </w:p>
  <w:p>
    <w:pPr>
      <w:spacing w:before="97" w:line="10" w:lineRule="exact"/>
      <w:ind w:firstLine="70"/>
    </w:pPr>
    <w:r>
      <w:drawing>
        <wp:inline distT="0" distB="0" distL="0" distR="0">
          <wp:extent cx="5829234" cy="6375"/>
          <wp:effectExtent l="0" t="0" r="0" b="0"/>
          <wp:docPr id="1890137022" name="IM 8"/>
          <wp:cNvGraphicFramePr/>
          <a:graphic xmlns:a="http://schemas.openxmlformats.org/drawingml/2006/main">
            <a:graphicData uri="http://schemas.openxmlformats.org/drawingml/2006/picture">
              <pic:pic xmlns:pic="http://schemas.openxmlformats.org/drawingml/2006/picture">
                <pic:nvPicPr>
                  <pic:cNvPr id="1890137022" name="IM 8"/>
                  <pic:cNvPicPr/>
                </pic:nvPicPr>
                <pic:blipFill>
                  <a:blip xmlns:r="http://schemas.openxmlformats.org/officeDocument/2006/relationships" r:embed="rId1"/>
                  <a:stretch>
                    <a:fillRect/>
                  </a:stretch>
                </pic:blipFill>
                <pic:spPr>
                  <a:xfrm>
                    <a:off x="0" y="0"/>
                    <a:ext cx="5829234" cy="6375"/>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846—2015</w:t>
    </w:r>
  </w:p>
  <w:p>
    <w:pPr>
      <w:spacing w:before="97" w:line="10" w:lineRule="exact"/>
      <w:ind w:firstLine="70"/>
    </w:pPr>
    <w:r>
      <w:drawing>
        <wp:inline distT="0" distB="0" distL="0" distR="0">
          <wp:extent cx="5829234" cy="6375"/>
          <wp:effectExtent l="0" t="0" r="0" b="0"/>
          <wp:docPr id="1554973473" name="IM 8"/>
          <wp:cNvGraphicFramePr/>
          <a:graphic xmlns:a="http://schemas.openxmlformats.org/drawingml/2006/main">
            <a:graphicData uri="http://schemas.openxmlformats.org/drawingml/2006/picture">
              <pic:pic xmlns:pic="http://schemas.openxmlformats.org/drawingml/2006/picture">
                <pic:nvPicPr>
                  <pic:cNvPr id="1554973473" name="IM 8"/>
                  <pic:cNvPicPr/>
                </pic:nvPicPr>
                <pic:blipFill>
                  <a:blip xmlns:r="http://schemas.openxmlformats.org/officeDocument/2006/relationships" r:embed="rId1"/>
                  <a:stretch>
                    <a:fillRect/>
                  </a:stretch>
                </pic:blipFill>
                <pic:spPr>
                  <a:xfrm>
                    <a:off x="0" y="0"/>
                    <a:ext cx="5829234" cy="6375"/>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pPr>
    <w:r>
      <w:rPr>
        <w:spacing w:val="-16"/>
      </w:rPr>
      <w:t>JJG 846—2015</w:t>
    </w:r>
  </w:p>
  <w:p>
    <w:pPr>
      <w:spacing w:before="86" w:line="10" w:lineRule="exact"/>
      <w:ind w:firstLine="20"/>
    </w:pPr>
    <w:r>
      <w:drawing>
        <wp:inline distT="0" distB="0" distL="0" distR="0">
          <wp:extent cx="5816556" cy="635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16556" cy="6351"/>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pPr>
    <w:r>
      <w:rPr>
        <w:spacing w:val="-16"/>
      </w:rPr>
      <w:t>JJG 846—2015</w:t>
    </w:r>
  </w:p>
  <w:p>
    <w:pPr>
      <w:spacing w:before="86" w:line="10" w:lineRule="exact"/>
      <w:ind w:firstLine="20"/>
    </w:pPr>
    <w:r>
      <w:drawing>
        <wp:inline distT="0" distB="0" distL="0" distR="0">
          <wp:extent cx="5816556" cy="6351"/>
          <wp:effectExtent l="0" t="0" r="0" b="0"/>
          <wp:docPr id="1906186907" name="IM 16"/>
          <wp:cNvGraphicFramePr/>
          <a:graphic xmlns:a="http://schemas.openxmlformats.org/drawingml/2006/main">
            <a:graphicData uri="http://schemas.openxmlformats.org/drawingml/2006/picture">
              <pic:pic xmlns:pic="http://schemas.openxmlformats.org/drawingml/2006/picture">
                <pic:nvPicPr>
                  <pic:cNvPr id="1906186907" name="IM 16"/>
                  <pic:cNvPicPr/>
                </pic:nvPicPr>
                <pic:blipFill>
                  <a:blip xmlns:r="http://schemas.openxmlformats.org/officeDocument/2006/relationships" r:embed="rId1"/>
                  <a:stretch>
                    <a:fillRect/>
                  </a:stretch>
                </pic:blipFill>
                <pic:spPr>
                  <a:xfrm>
                    <a:off x="0" y="0"/>
                    <a:ext cx="5816556" cy="6351"/>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rPr>
        <w:sz w:val="20"/>
        <w:szCs w:val="20"/>
      </w:rPr>
    </w:pPr>
    <w:r>
      <w:rPr>
        <w:spacing w:val="-2"/>
        <w:sz w:val="20"/>
        <w:szCs w:val="20"/>
      </w:rPr>
      <w:t>JJG</w:t>
    </w:r>
    <w:r>
      <w:rPr>
        <w:spacing w:val="73"/>
        <w:sz w:val="20"/>
        <w:szCs w:val="20"/>
      </w:rPr>
      <w:t xml:space="preserve"> </w:t>
    </w:r>
    <w:r>
      <w:rPr>
        <w:spacing w:val="-2"/>
        <w:sz w:val="20"/>
        <w:szCs w:val="20"/>
      </w:rPr>
      <w:t>846—2015</w:t>
    </w:r>
  </w:p>
  <w:p>
    <w:pPr>
      <w:spacing w:before="73" w:line="10" w:lineRule="exact"/>
    </w:pPr>
    <w:r>
      <w:drawing>
        <wp:inline distT="0" distB="0" distL="0" distR="0">
          <wp:extent cx="5842005" cy="63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42005" cy="637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rPr>
        <w:sz w:val="20"/>
        <w:szCs w:val="20"/>
      </w:rPr>
    </w:pPr>
    <w:r>
      <w:rPr>
        <w:spacing w:val="-2"/>
        <w:sz w:val="20"/>
        <w:szCs w:val="20"/>
      </w:rPr>
      <w:t>JJG</w:t>
    </w:r>
    <w:r>
      <w:rPr>
        <w:spacing w:val="73"/>
        <w:sz w:val="20"/>
        <w:szCs w:val="20"/>
      </w:rPr>
      <w:t xml:space="preserve"> </w:t>
    </w:r>
    <w:r>
      <w:rPr>
        <w:spacing w:val="-2"/>
        <w:sz w:val="20"/>
        <w:szCs w:val="20"/>
      </w:rPr>
      <w:t>846—2015</w:t>
    </w:r>
  </w:p>
  <w:p>
    <w:pPr>
      <w:spacing w:before="73" w:line="10" w:lineRule="exact"/>
    </w:pPr>
    <w:r>
      <w:drawing>
        <wp:inline distT="0" distB="0" distL="0" distR="0">
          <wp:extent cx="5842005" cy="6375"/>
          <wp:effectExtent l="0" t="0" r="0" b="0"/>
          <wp:docPr id="1495897627" name="IM 22"/>
          <wp:cNvGraphicFramePr/>
          <a:graphic xmlns:a="http://schemas.openxmlformats.org/drawingml/2006/main">
            <a:graphicData uri="http://schemas.openxmlformats.org/drawingml/2006/picture">
              <pic:pic xmlns:pic="http://schemas.openxmlformats.org/drawingml/2006/picture">
                <pic:nvPicPr>
                  <pic:cNvPr id="1495897627" name="IM 22"/>
                  <pic:cNvPicPr/>
                </pic:nvPicPr>
                <pic:blipFill>
                  <a:blip xmlns:r="http://schemas.openxmlformats.org/officeDocument/2006/relationships" r:embed="rId1"/>
                  <a:stretch>
                    <a:fillRect/>
                  </a:stretch>
                </pic:blipFill>
                <pic:spPr>
                  <a:xfrm>
                    <a:off x="0" y="0"/>
                    <a:ext cx="5842005" cy="6375"/>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rPr>
        <w:sz w:val="20"/>
        <w:szCs w:val="20"/>
      </w:rPr>
    </w:pPr>
    <w:r>
      <w:rPr>
        <w:spacing w:val="-2"/>
        <w:sz w:val="20"/>
        <w:szCs w:val="20"/>
      </w:rPr>
      <w:t>JJG</w:t>
    </w:r>
    <w:r>
      <w:rPr>
        <w:spacing w:val="73"/>
        <w:sz w:val="20"/>
        <w:szCs w:val="20"/>
      </w:rPr>
      <w:t xml:space="preserve"> </w:t>
    </w:r>
    <w:r>
      <w:rPr>
        <w:spacing w:val="-2"/>
        <w:sz w:val="20"/>
        <w:szCs w:val="20"/>
      </w:rPr>
      <w:t>846—2015</w:t>
    </w:r>
  </w:p>
  <w:p>
    <w:pPr>
      <w:spacing w:before="73" w:line="10" w:lineRule="exact"/>
    </w:pPr>
    <w:r>
      <w:drawing>
        <wp:inline distT="0" distB="0" distL="0" distR="0">
          <wp:extent cx="5842005" cy="6375"/>
          <wp:effectExtent l="0" t="0" r="0" b="0"/>
          <wp:docPr id="1300390044" name="IM 22"/>
          <wp:cNvGraphicFramePr/>
          <a:graphic xmlns:a="http://schemas.openxmlformats.org/drawingml/2006/main">
            <a:graphicData uri="http://schemas.openxmlformats.org/drawingml/2006/picture">
              <pic:pic xmlns:pic="http://schemas.openxmlformats.org/drawingml/2006/picture">
                <pic:nvPicPr>
                  <pic:cNvPr id="1300390044" name="IM 22"/>
                  <pic:cNvPicPr/>
                </pic:nvPicPr>
                <pic:blipFill>
                  <a:blip xmlns:r="http://schemas.openxmlformats.org/officeDocument/2006/relationships" r:embed="rId1"/>
                  <a:stretch>
                    <a:fillRect/>
                  </a:stretch>
                </pic:blipFill>
                <pic:spPr>
                  <a:xfrm>
                    <a:off x="0" y="0"/>
                    <a:ext cx="5842005" cy="6375"/>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9"/>
    </w:pPr>
    <w:r>
      <w:rPr>
        <w:spacing w:val="-15"/>
      </w:rPr>
      <w:t>JJG 846—2015</w:t>
    </w:r>
  </w:p>
  <w:p>
    <w:pPr>
      <w:spacing w:before="66" w:line="10" w:lineRule="exact"/>
      <w:ind w:firstLine="20"/>
    </w:pPr>
    <w:r>
      <w:drawing>
        <wp:inline distT="0" distB="0" distL="0" distR="0">
          <wp:extent cx="5816556" cy="635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5816556" cy="635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2.1.3" TargetMode="External" /><Relationship Id="rId11" Type="http://schemas.openxmlformats.org/officeDocument/2006/relationships/hyperlink" Target="5.2.1.4" TargetMode="External" /><Relationship Id="rId12" Type="http://schemas.openxmlformats.org/officeDocument/2006/relationships/hyperlink" Target="5.2.1.5" TargetMode="External" /><Relationship Id="rId13" Type="http://schemas.openxmlformats.org/officeDocument/2006/relationships/hyperlink" Target="5.2.1.6" TargetMode="External" /><Relationship Id="rId14" Type="http://schemas.openxmlformats.org/officeDocument/2006/relationships/hyperlink" Target="5.2.1.7" TargetMode="External" /><Relationship Id="rId15" Type="http://schemas.openxmlformats.org/officeDocument/2006/relationships/hyperlink" Target="5.2.1.8" TargetMode="External" /><Relationship Id="rId16" Type="http://schemas.openxmlformats.org/officeDocument/2006/relationships/hyperlink" Target="5.2.2.1" TargetMode="External"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hyperlink" Target="5.2.2.2" TargetMode="External" /><Relationship Id="rId2" Type="http://schemas.openxmlformats.org/officeDocument/2006/relationships/webSettings" Target="webSettings.xml" /><Relationship Id="rId20" Type="http://schemas.openxmlformats.org/officeDocument/2006/relationships/hyperlink" Target="5.2.2.3" TargetMode="External" /><Relationship Id="rId21" Type="http://schemas.openxmlformats.org/officeDocument/2006/relationships/hyperlink" Target="5.2.2.4" TargetMode="External"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hyperlink" Target="5.4.2.1" TargetMode="External" /><Relationship Id="rId25" Type="http://schemas.openxmlformats.org/officeDocument/2006/relationships/hyperlink" Target="5.4.2.2" TargetMode="External" /><Relationship Id="rId26" Type="http://schemas.openxmlformats.org/officeDocument/2006/relationships/hyperlink" Target="5.4.2.3" TargetMode="External" /><Relationship Id="rId27" Type="http://schemas.openxmlformats.org/officeDocument/2006/relationships/header" Target="header5.xml" /><Relationship Id="rId28" Type="http://schemas.openxmlformats.org/officeDocument/2006/relationships/footer" Target="footer5.xml"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image" Target="media/image3.jpeg" /><Relationship Id="rId32" Type="http://schemas.openxmlformats.org/officeDocument/2006/relationships/header" Target="header7.xml" /><Relationship Id="rId33" Type="http://schemas.openxmlformats.org/officeDocument/2006/relationships/footer" Target="footer7.xml" /><Relationship Id="rId34" Type="http://schemas.openxmlformats.org/officeDocument/2006/relationships/image" Target="media/image5.png" /><Relationship Id="rId35" Type="http://schemas.openxmlformats.org/officeDocument/2006/relationships/image" Target="media/image6.png"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header" Target="header1.xml" /><Relationship Id="rId40" Type="http://schemas.openxmlformats.org/officeDocument/2006/relationships/header" Target="header10.xml" /><Relationship Id="rId41" Type="http://schemas.openxmlformats.org/officeDocument/2006/relationships/footer" Target="footer10.xml" /><Relationship Id="rId42" Type="http://schemas.openxmlformats.org/officeDocument/2006/relationships/image" Target="media/image7.jpeg" /><Relationship Id="rId43" Type="http://schemas.openxmlformats.org/officeDocument/2006/relationships/image" Target="media/image8.jpeg" /><Relationship Id="rId44" Type="http://schemas.openxmlformats.org/officeDocument/2006/relationships/hyperlink" Target="5.4.2.4" TargetMode="External" /><Relationship Id="rId45" Type="http://schemas.openxmlformats.org/officeDocument/2006/relationships/header" Target="header11.xml" /><Relationship Id="rId46" Type="http://schemas.openxmlformats.org/officeDocument/2006/relationships/footer" Target="footer11.xm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header" Target="header13.xml" /><Relationship Id="rId5" Type="http://schemas.openxmlformats.org/officeDocument/2006/relationships/footer" Target="footer1.xml" /><Relationship Id="rId50" Type="http://schemas.openxmlformats.org/officeDocument/2006/relationships/footer" Target="footer13.xml" /><Relationship Id="rId51" Type="http://schemas.openxmlformats.org/officeDocument/2006/relationships/image" Target="media/image11.png" /><Relationship Id="rId52" Type="http://schemas.openxmlformats.org/officeDocument/2006/relationships/header" Target="header14.xml" /><Relationship Id="rId53" Type="http://schemas.openxmlformats.org/officeDocument/2006/relationships/footer" Target="footer14.xml" /><Relationship Id="rId54" Type="http://schemas.openxmlformats.org/officeDocument/2006/relationships/header" Target="header15.xml" /><Relationship Id="rId55" Type="http://schemas.openxmlformats.org/officeDocument/2006/relationships/footer" Target="footer15.xml" /><Relationship Id="rId56" Type="http://schemas.openxmlformats.org/officeDocument/2006/relationships/image" Target="media/image12.jpeg" /><Relationship Id="rId57" Type="http://schemas.openxmlformats.org/officeDocument/2006/relationships/hyperlink" Target="https://d.book118.com/737120004030006030" TargetMode="External" /><Relationship Id="rId58" Type="http://schemas.openxmlformats.org/officeDocument/2006/relationships/header" Target="header16.xml" /><Relationship Id="rId59" Type="http://schemas.openxmlformats.org/officeDocument/2006/relationships/footer" Target="footer16.xml" /><Relationship Id="rId6" Type="http://schemas.openxmlformats.org/officeDocument/2006/relationships/header" Target="header2.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footer" Target="footer2.xml" /><Relationship Id="rId8" Type="http://schemas.openxmlformats.org/officeDocument/2006/relationships/hyperlink" Target="5.2.1.1" TargetMode="External" /><Relationship Id="rId9" Type="http://schemas.openxmlformats.org/officeDocument/2006/relationships/hyperlink" Target="5.2.1.2"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4.jpeg" /></Relationships>
</file>

<file path=word/_rels/header10.xml.rels><?xml version="1.0" encoding="utf-8" standalone="yes"?><Relationships xmlns="http://schemas.openxmlformats.org/package/2006/relationships"><Relationship Id="rId1" Type="http://schemas.openxmlformats.org/officeDocument/2006/relationships/image" Target="media/image4.jpeg" /></Relationships>
</file>

<file path=word/_rels/header11.xml.rels><?xml version="1.0" encoding="utf-8" standalone="yes"?><Relationships xmlns="http://schemas.openxmlformats.org/package/2006/relationships"><Relationship Id="rId1" Type="http://schemas.openxmlformats.org/officeDocument/2006/relationships/image" Target="media/image9.jpeg" /></Relationships>
</file>

<file path=word/_rels/header12.xml.rels><?xml version="1.0" encoding="utf-8" standalone="yes"?><Relationships xmlns="http://schemas.openxmlformats.org/package/2006/relationships"><Relationship Id="rId1" Type="http://schemas.openxmlformats.org/officeDocument/2006/relationships/image" Target="media/image9.jpeg" /></Relationships>
</file>

<file path=word/_rels/header13.xml.rels><?xml version="1.0" encoding="utf-8" standalone="yes"?><Relationships xmlns="http://schemas.openxmlformats.org/package/2006/relationships"><Relationship Id="rId1" Type="http://schemas.openxmlformats.org/officeDocument/2006/relationships/image" Target="media/image10.jpeg" /></Relationships>
</file>

<file path=word/_rels/header14.xml.rels><?xml version="1.0" encoding="utf-8" standalone="yes"?><Relationships xmlns="http://schemas.openxmlformats.org/package/2006/relationships"><Relationship Id="rId1" Type="http://schemas.openxmlformats.org/officeDocument/2006/relationships/image" Target="media/image10.jpeg" /></Relationships>
</file>

<file path=word/_rels/header15.xml.rels><?xml version="1.0" encoding="utf-8" standalone="yes"?><Relationships xmlns="http://schemas.openxmlformats.org/package/2006/relationships"><Relationship Id="rId1" Type="http://schemas.openxmlformats.org/officeDocument/2006/relationships/image" Target="media/image10.jpeg" /></Relationships>
</file>

<file path=word/_rels/header16.xml.rels><?xml version="1.0" encoding="utf-8" standalone="yes"?><Relationships xmlns="http://schemas.openxmlformats.org/package/2006/relationships"><Relationship Id="rId1" Type="http://schemas.openxmlformats.org/officeDocument/2006/relationships/image" Target="media/image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2024-01-10T22:22:22Z</vt:filetime>
  </property>
  <property fmtid="{D5CDD505-2E9C-101B-9397-08002B2CF9AE}" pid="3" name="CRO">
    <vt:lpwstr>wqlLaW5nc29mdCBQREYgdG8gV1BTIDkw</vt:lpwstr>
  </property>
  <property fmtid="{D5CDD505-2E9C-101B-9397-08002B2CF9AE}" pid="4" name="UsrData">
    <vt:lpwstr>659ea8184d394d001f14481awl</vt:lpwstr>
  </property>
</Properties>
</file>