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  <w:bookmarkStart w:id="0" w:name="_GoBack"/>
      <w:bookmarkEnd w:id="0"/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  <w:r>
        <w:rPr>
          <w:rFonts w:ascii="微软雅黑" w:eastAsia="微软雅黑" w:hAnsi="微软雅黑" w:cs="微软雅黑"/>
          <w:b/>
          <w:bCs/>
          <w:color w:val="2D54A0"/>
          <w:spacing w:val="9"/>
          <w:sz w:val="59"/>
          <w:szCs w:val="59"/>
        </w:rPr>
        <w:t>2024年广告制作行业趋势报</w:t>
      </w:r>
      <w:r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  <w:t>告</w:t>
      </w: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 w:hint="default"/>
          <w:b/>
          <w:bCs/>
          <w:color w:val="2D54A0"/>
          <w:spacing w:val="8"/>
          <w:sz w:val="44"/>
          <w:szCs w:val="44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b/>
          <w:bCs/>
          <w:color w:val="2D54A0"/>
          <w:spacing w:val="8"/>
          <w:sz w:val="44"/>
          <w:szCs w:val="44"/>
          <w:lang w:val="en-US" w:eastAsia="zh-CN"/>
        </w:rPr>
        <w:t>《2024年最新评估分析》</w:t>
      </w:r>
    </w:p>
    <w:p>
      <w:pPr>
        <w:spacing w:line="360" w:lineRule="auto"/>
        <w:jc w:val="center"/>
        <w:rPr>
          <w:rFonts w:ascii="微软雅黑" w:eastAsia="微软雅黑" w:hAnsi="微软雅黑" w:cs="微软雅黑" w:hint="eastAsia"/>
          <w:b/>
          <w:bCs w:val="0"/>
          <w:color w:val="2E54A1" w:themeColor="accent1" w:themeShade="BF"/>
          <w:sz w:val="40"/>
        </w:rPr>
      </w:pPr>
      <w:r>
        <w:rPr>
          <w:rFonts w:ascii="微软雅黑" w:eastAsia="微软雅黑" w:hAnsi="微软雅黑" w:cs="微软雅黑" w:hint="eastAsia"/>
          <w:b/>
          <w:bCs w:val="0"/>
          <w:color w:val="2E54A1" w:themeColor="accent1" w:themeShade="BF"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910" w:history="1">
        <w:r>
          <w:rPr>
            <w:rFonts w:ascii="微软雅黑" w:eastAsia="微软雅黑" w:hAnsi="微软雅黑" w:cs="微软雅黑" w:hint="eastAsia"/>
            <w:color w:val="001CAC" w:themeColor="hyperlink" w:themeShade="BF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_Toc18910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19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一、广告制作行业制度建设与执行</w:t>
        </w:r>
        <w:r>
          <w:tab/>
        </w:r>
        <w:r>
          <w:fldChar w:fldCharType="begin"/>
        </w:r>
        <w:r>
          <w:instrText xml:space="preserve"> PAGEREF _Toc11519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2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(一)、公司制度体系规划</w:t>
        </w:r>
        <w:r>
          <w:tab/>
        </w:r>
        <w:r>
          <w:fldChar w:fldCharType="begin"/>
        </w:r>
        <w:r>
          <w:instrText xml:space="preserve"> PAGEREF _Toc9822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(二)、员工手册编制与更新</w:t>
        </w:r>
        <w:r>
          <w:tab/>
        </w:r>
        <w:r>
          <w:fldChar w:fldCharType="begin"/>
        </w:r>
        <w:r>
          <w:instrText xml:space="preserve"> PAGEREF _Toc942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4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_Toc14947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1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(四)、主要防范措施</w:t>
        </w:r>
        <w:r>
          <w:tab/>
        </w:r>
        <w:r>
          <w:fldChar w:fldCharType="begin"/>
        </w:r>
        <w:r>
          <w:instrText xml:space="preserve"> PAGEREF _Toc27011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1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(五)、制度优化与更新</w:t>
        </w:r>
        <w:r>
          <w:tab/>
        </w:r>
        <w:r>
          <w:fldChar w:fldCharType="begin"/>
        </w:r>
        <w:r>
          <w:instrText xml:space="preserve"> PAGEREF _Toc25817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51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二、广告制作行业运营管理及商业模式分析</w:t>
        </w:r>
        <w:r>
          <w:tab/>
        </w:r>
        <w:r>
          <w:fldChar w:fldCharType="begin"/>
        </w:r>
        <w:r>
          <w:instrText xml:space="preserve"> PAGEREF _Toc4451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3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(一)、广告制作行业数字化发展方案</w:t>
        </w:r>
        <w:r>
          <w:tab/>
        </w:r>
        <w:r>
          <w:fldChar w:fldCharType="begin"/>
        </w:r>
        <w:r>
          <w:instrText xml:space="preserve"> PAGEREF _Toc17936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5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(二)、广告制作行业新型运营方式</w:t>
        </w:r>
        <w:r>
          <w:tab/>
        </w:r>
        <w:r>
          <w:fldChar w:fldCharType="begin"/>
        </w:r>
        <w:r>
          <w:instrText xml:space="preserve"> PAGEREF _Toc30555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9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(三)、广告制作行业风险管理</w:t>
        </w:r>
        <w:r>
          <w:tab/>
        </w:r>
        <w:r>
          <w:fldChar w:fldCharType="begin"/>
        </w:r>
        <w:r>
          <w:instrText xml:space="preserve"> PAGEREF _Toc15090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02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三、质量与技术管理</w:t>
        </w:r>
        <w:r>
          <w:tab/>
        </w:r>
        <w:r>
          <w:fldChar w:fldCharType="begin"/>
        </w:r>
        <w:r>
          <w:instrText xml:space="preserve"> PAGEREF _Toc22902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5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_Toc13058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6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(二)、技术标准与创新</w:t>
        </w:r>
        <w:r>
          <w:tab/>
        </w:r>
        <w:r>
          <w:fldChar w:fldCharType="begin"/>
        </w:r>
        <w:r>
          <w:instrText xml:space="preserve"> PAGEREF _Toc29762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02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四、广告制作行业人才招聘与发展</w:t>
        </w:r>
        <w:r>
          <w:tab/>
        </w:r>
        <w:r>
          <w:fldChar w:fldCharType="begin"/>
        </w:r>
        <w:r>
          <w:instrText xml:space="preserve"> PAGEREF _Toc16202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(一)、人才需求分析</w:t>
        </w:r>
        <w:r>
          <w:tab/>
        </w:r>
        <w:r>
          <w:fldChar w:fldCharType="begin"/>
        </w:r>
        <w:r>
          <w:instrText xml:space="preserve"> PAGEREF _Toc2191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2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(二)、招聘计划与流程</w:t>
        </w:r>
        <w:r>
          <w:tab/>
        </w:r>
        <w:r>
          <w:fldChar w:fldCharType="begin"/>
        </w:r>
        <w:r>
          <w:instrText xml:space="preserve"> PAGEREF _Toc27028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2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_Toc7223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5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(四)、绩效考核与激励</w:t>
        </w:r>
        <w:r>
          <w:tab/>
        </w:r>
        <w:r>
          <w:fldChar w:fldCharType="begin"/>
        </w:r>
        <w:r>
          <w:instrText xml:space="preserve"> PAGEREF _Toc7851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(五)、人才流动与留存</w:t>
        </w:r>
        <w:r>
          <w:tab/>
        </w:r>
        <w:r>
          <w:fldChar w:fldCharType="begin"/>
        </w:r>
        <w:r>
          <w:instrText xml:space="preserve"> PAGEREF _Toc13792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3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五、环境与社会责任</w:t>
        </w:r>
        <w:r>
          <w:tab/>
        </w:r>
        <w:r>
          <w:fldChar w:fldCharType="begin"/>
        </w:r>
        <w:r>
          <w:instrText xml:space="preserve"> PAGEREF _Toc2943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4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(一)、环境影响评估</w:t>
        </w:r>
        <w:r>
          <w:tab/>
        </w:r>
        <w:r>
          <w:fldChar w:fldCharType="begin"/>
        </w:r>
        <w:r>
          <w:instrText xml:space="preserve"> PAGEREF _Toc5147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(二)、社会责任与可持续发展</w:t>
        </w:r>
        <w:r>
          <w:tab/>
        </w:r>
        <w:r>
          <w:fldChar w:fldCharType="begin"/>
        </w:r>
        <w:r>
          <w:instrText xml:space="preserve"> PAGEREF _Toc3148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92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六、制度运行与优化</w:t>
        </w:r>
        <w:r>
          <w:tab/>
        </w:r>
        <w:r>
          <w:fldChar w:fldCharType="begin"/>
        </w:r>
        <w:r>
          <w:instrText xml:space="preserve"> PAGEREF _Toc8792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(一)、制度执行与监督</w:t>
        </w:r>
        <w:r>
          <w:tab/>
        </w:r>
        <w:r>
          <w:fldChar w:fldCharType="begin"/>
        </w:r>
        <w:r>
          <w:instrText xml:space="preserve"> PAGEREF _Toc1606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1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(二)、制度优化与更新</w:t>
        </w:r>
        <w:r>
          <w:tab/>
        </w:r>
        <w:r>
          <w:fldChar w:fldCharType="begin"/>
        </w:r>
        <w:r>
          <w:instrText xml:space="preserve"> PAGEREF _Toc17019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3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七、项目管理与团队协作</w:t>
        </w:r>
        <w:r>
          <w:tab/>
        </w:r>
        <w:r>
          <w:fldChar w:fldCharType="begin"/>
        </w:r>
        <w:r>
          <w:instrText xml:space="preserve"> PAGEREF _Toc1873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4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(一)、项目管理方法论</w:t>
        </w:r>
        <w:r>
          <w:tab/>
        </w:r>
        <w:r>
          <w:fldChar w:fldCharType="begin"/>
        </w:r>
        <w:r>
          <w:instrText xml:space="preserve"> PAGEREF _Toc30746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2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(二)、团队组建与角色分工</w:t>
        </w:r>
        <w:r>
          <w:tab/>
        </w:r>
        <w:r>
          <w:fldChar w:fldCharType="begin"/>
        </w:r>
        <w:r>
          <w:instrText xml:space="preserve"> PAGEREF _Toc9425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2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(三)、团队沟通与协作机制</w:t>
        </w:r>
        <w:r>
          <w:tab/>
        </w:r>
        <w:r>
          <w:fldChar w:fldCharType="begin"/>
        </w:r>
        <w:r>
          <w:instrText xml:space="preserve"> PAGEREF _Toc10923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4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(四)、项目风险管理与应对</w:t>
        </w:r>
        <w:r>
          <w:tab/>
        </w:r>
        <w:r>
          <w:fldChar w:fldCharType="begin"/>
        </w:r>
        <w:r>
          <w:instrText xml:space="preserve"> PAGEREF _Toc6546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725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八、项目实施与进度安排</w:t>
        </w:r>
        <w:r>
          <w:tab/>
        </w:r>
        <w:r>
          <w:fldChar w:fldCharType="begin"/>
        </w:r>
        <w:r>
          <w:instrText xml:space="preserve"> PAGEREF _Toc7725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8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(一)、项目计划与时间节点</w:t>
        </w:r>
        <w:r>
          <w:tab/>
        </w:r>
        <w:r>
          <w:fldChar w:fldCharType="begin"/>
        </w:r>
        <w:r>
          <w:instrText xml:space="preserve"> PAGEREF _Toc25687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7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(二)、项目进度安排</w:t>
        </w:r>
        <w:r>
          <w:tab/>
        </w:r>
        <w:r>
          <w:fldChar w:fldCharType="begin"/>
        </w:r>
        <w:r>
          <w:instrText xml:space="preserve"> PAGEREF _Toc32276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9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(三)、风险管理与对策</w:t>
        </w:r>
        <w:r>
          <w:tab/>
        </w:r>
        <w:r>
          <w:fldChar w:fldCharType="begin"/>
        </w:r>
        <w:r>
          <w:instrText xml:space="preserve"> PAGEREF _Toc29597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13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九、资金筹措与投资分析</w:t>
        </w:r>
        <w:r>
          <w:tab/>
        </w:r>
        <w:r>
          <w:fldChar w:fldCharType="begin"/>
        </w:r>
        <w:r>
          <w:instrText xml:space="preserve"> PAGEREF _Toc29813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2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(一)、资金需求与筹措计划</w:t>
        </w:r>
        <w:r>
          <w:tab/>
        </w:r>
        <w:r>
          <w:fldChar w:fldCharType="begin"/>
        </w:r>
        <w:r>
          <w:instrText xml:space="preserve"> PAGEREF _Toc4226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7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(二)、投资分析与回报预期</w:t>
        </w:r>
        <w:r>
          <w:tab/>
        </w:r>
        <w:r>
          <w:fldChar w:fldCharType="begin"/>
        </w:r>
        <w:r>
          <w:instrText xml:space="preserve"> PAGEREF _Toc22478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8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十、广告制作行业投资管理策略</w:t>
        </w:r>
        <w:r>
          <w:tab/>
        </w:r>
        <w:r>
          <w:fldChar w:fldCharType="begin"/>
        </w:r>
        <w:r>
          <w:instrText xml:space="preserve"> PAGEREF _Toc2558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(一)、广告制作行业投资估算主要内容</w:t>
        </w:r>
        <w:r>
          <w:tab/>
        </w:r>
        <w:r>
          <w:fldChar w:fldCharType="begin"/>
        </w:r>
        <w:r>
          <w:instrText xml:space="preserve"> PAGEREF _Toc3042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4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(二)、广告制作行业设备购置投资费用管理</w:t>
        </w:r>
        <w:r>
          <w:tab/>
        </w:r>
        <w:r>
          <w:fldChar w:fldCharType="begin"/>
        </w:r>
        <w:r>
          <w:instrText xml:space="preserve"> PAGEREF _Toc27342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3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(三)、广告制作行业装修施工投资费用管理</w:t>
        </w:r>
        <w:r>
          <w:tab/>
        </w:r>
        <w:r>
          <w:fldChar w:fldCharType="begin"/>
        </w:r>
        <w:r>
          <w:instrText xml:space="preserve"> PAGEREF _Toc22130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7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(四)、广告制作行业流动资金管理</w:t>
        </w:r>
        <w:r>
          <w:tab/>
        </w:r>
        <w:r>
          <w:fldChar w:fldCharType="begin"/>
        </w:r>
        <w:r>
          <w:instrText xml:space="preserve"> PAGEREF _Toc6078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07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十一、广告制作行业公司治理与社会责任</w:t>
        </w:r>
        <w:r>
          <w:tab/>
        </w:r>
        <w:r>
          <w:fldChar w:fldCharType="begin"/>
        </w:r>
        <w:r>
          <w:instrText xml:space="preserve"> PAGEREF _Toc12007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8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(一)、公司治理结构</w:t>
        </w:r>
        <w:r>
          <w:tab/>
        </w:r>
        <w:r>
          <w:fldChar w:fldCharType="begin"/>
        </w:r>
        <w:r>
          <w:instrText xml:space="preserve"> PAGEREF _Toc24883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(二)、董事会运作与决策</w:t>
        </w:r>
        <w:r>
          <w:tab/>
        </w:r>
        <w:r>
          <w:fldChar w:fldCharType="begin"/>
        </w:r>
        <w:r>
          <w:instrText xml:space="preserve"> PAGEREF _Toc2089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9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(三)、内部控制与审计</w:t>
        </w:r>
        <w:r>
          <w:tab/>
        </w:r>
        <w:r>
          <w:fldChar w:fldCharType="begin"/>
        </w:r>
        <w:r>
          <w:instrText xml:space="preserve"> PAGEREF _Toc10793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1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(四)、法律法规合规体系</w:t>
        </w:r>
        <w:r>
          <w:tab/>
        </w:r>
        <w:r>
          <w:fldChar w:fldCharType="begin"/>
        </w:r>
        <w:r>
          <w:instrText xml:space="preserve"> PAGEREF _Toc20014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4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(五)、企业社会责任与道德经营</w:t>
        </w:r>
        <w:r>
          <w:tab/>
        </w:r>
        <w:r>
          <w:fldChar w:fldCharType="begin"/>
        </w:r>
        <w:r>
          <w:instrText xml:space="preserve"> PAGEREF _Toc6147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17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十二、公司文化与社会责任</w:t>
        </w:r>
        <w:r>
          <w:tab/>
        </w:r>
        <w:r>
          <w:fldChar w:fldCharType="begin"/>
        </w:r>
        <w:r>
          <w:instrText xml:space="preserve"> PAGEREF _Toc23817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1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(一)、公司文化建设</w:t>
        </w:r>
        <w:r>
          <w:tab/>
        </w:r>
        <w:r>
          <w:fldChar w:fldCharType="begin"/>
        </w:r>
        <w:r>
          <w:instrText xml:space="preserve"> PAGEREF _Toc6612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1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(二)、企业社会责任与可持续发展</w:t>
        </w:r>
        <w:r>
          <w:tab/>
        </w:r>
        <w:r>
          <w:fldChar w:fldCharType="begin"/>
        </w:r>
        <w:r>
          <w:instrText xml:space="preserve"> PAGEREF _Toc9610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r>
        <w:fldChar w:fldCharType="end"/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https://d.book118.com/737165021033006033</w:t>
        </w:r>
      </w:hyperlink>
    </w:p>
    <w:p/>
    <w:sectPr>
      <w:headerReference w:type="default" r:id="rId9"/>
      <w:footerReference w:type="default" r:id="rId10"/>
      <w:type w:val="nextPage"/>
      <w:pgSz w:w="11906" w:h="16838"/>
      <w:pgMar w:top="1440" w:right="1800" w:bottom="1440" w:left="1800" w:header="851" w:footer="992" w:gutter="0"/>
      <w:pgNumType w:start="3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82775B3"/>
    <w:rsid w:val="02623C3C"/>
    <w:rsid w:val="03734037"/>
    <w:rsid w:val="0506524D"/>
    <w:rsid w:val="13614867"/>
    <w:rsid w:val="3DAC44EE"/>
    <w:rsid w:val="453746B4"/>
    <w:rsid w:val="482775B3"/>
    <w:rsid w:val="49C53810"/>
    <w:rsid w:val="4E155AC7"/>
    <w:rsid w:val="50930768"/>
    <w:rsid w:val="62A91464"/>
    <w:rsid w:val="692E1C42"/>
  </w:rsids>
  <w:docVars>
    <w:docVar w:name="commondata" w:val="eyJoZGlkIjoiYjEzZTI3MzIxYzUxM2E3Y2YyMDVhZDRkMWU5YjExZ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 w:qFormat="1"/>
    <w:lsdException w:name="toc 2" w:semiHidden="0" w:uiPriority="0" w:unhideWhenUsed="0" w:qFormat="1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autoRedefine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autoRedefine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  <w:autoRedefine/>
    <w:qFormat/>
  </w:style>
  <w:style w:type="paragraph" w:styleId="TOC2">
    <w:name w:val="toc 2"/>
    <w:basedOn w:val="Normal"/>
    <w:next w:val="Normal"/>
    <w:autoRedefine/>
    <w:qFormat/>
    <w:pPr>
      <w:ind w:left="420" w:leftChars="200"/>
    </w:pPr>
  </w:style>
  <w:style w:type="character" w:styleId="PageNumber">
    <w:name w:val="page number"/>
    <w:basedOn w:val="DefaultParagraphFont"/>
    <w:autoRedefine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yperlink" Target="https://d.book118.com/737165021033006033" TargetMode="Externa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小海豹</cp:lastModifiedBy>
  <cp:revision>1</cp:revision>
  <dcterms:created xsi:type="dcterms:W3CDTF">2023-12-10T12:06:00Z</dcterms:created>
  <dcterms:modified xsi:type="dcterms:W3CDTF">2024-01-17T06:14:09Z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1E39AA5D4B7F4B19B7D16FD992F8235D_13</vt:lpwstr>
  </property>
  <property fmtid="{D5CDD505-2E9C-101B-9397-08002B2CF9AE}" pid="3" name="KSOProductBuildVer">
    <vt:lpwstr>2052-12.1.0.16120</vt:lpwstr>
  </property>
</Properties>
</file>