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2018-2023年云南经贸外事职业学院高职单招（数学／语文／英语）历年常考试题库含答案解析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《五代史伶官传序》是一篇史论典范，其作者是（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欧·亨利写的唯一一部长篇小说是（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A.《最后一片藤叶》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B.《白菜与皇帝》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D.《公务员之死》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杜甫《蜀相》“长使英雄泪满襟”的前一句是（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A.三十从军今白发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B.三顾频烦天下计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D.出师未捷身先死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中国现代新诗发展史上有三个代表诗派，闻一多属于（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A.自由派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B.格律派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D.浪漫派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“望洋兴叹”一语出自（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A.《老子》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《秋水》中北海若对“自多”的态度是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C.无所谓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D.顺其自然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《米龙老爹》的故事背景是（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A.1848年革命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B.1870年的普法战争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C.1914年第一次世界大战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D.1830年七月革命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曹操《短歌行》的主旨是（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C.感慨功业无成，忧从中来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《米龙老爹》在叙述方法上的特点是（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A.顺叙方式和第一人称与第三人称叙述方式交互使用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B.顺叙之中有插叙和第三人称叙述方式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C.倒叙方式和第一人称叙述方式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D.倒叙方式和第一人称与第三人称叙述方式交互使用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《答司马谏议书》的总体行文风格是（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A.慷慨激昂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B.平易质朴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C.含蓄委婉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D.刚柔相济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王昌龄《从军行》（其四）的体裁是（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《李将军列传》选自（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中唐古文运动的倡导者是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下列句子中，划线部分翻译错误的是（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https://d.book118.com/738013120135006040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38013120135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