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特种油墨项目规划设计蓝图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88" w:history="1">
        <w:r>
          <w:rPr>
            <w:rFonts w:ascii="仿宋" w:eastAsia="仿宋" w:hAnsi="仿宋" w:cs="仿宋" w:hint="eastAsia"/>
            <w:lang w:eastAsia="zh-CN"/>
          </w:rPr>
          <w:t>前言</w:t>
        </w:r>
        <w:r>
          <w:tab/>
        </w:r>
        <w:r>
          <w:fldChar w:fldCharType="begin"/>
        </w:r>
        <w:r>
          <w:instrText xml:space="preserve"> PAGEREF _Toc12888 \h </w:instrText>
        </w:r>
        <w:r>
          <w:fldChar w:fldCharType="separate"/>
        </w:r>
        <w:r>
          <w:t>3</w:t>
        </w:r>
        <w:r>
          <w:fldChar w:fldCharType="end"/>
        </w:r>
      </w:hyperlink>
    </w:p>
    <w:p>
      <w:pPr>
        <w:pStyle w:val="TOC1"/>
        <w:tabs>
          <w:tab w:val="right" w:leader="dot" w:pos="8306"/>
        </w:tabs>
      </w:pPr>
      <w:hyperlink w:anchor="_Toc2941" w:history="1">
        <w:r>
          <w:rPr>
            <w:rFonts w:ascii="仿宋" w:eastAsia="仿宋" w:hAnsi="仿宋" w:cs="仿宋" w:hint="eastAsia"/>
            <w:lang w:eastAsia="zh-CN"/>
          </w:rPr>
          <w:t>一、工艺说明</w:t>
        </w:r>
        <w:r>
          <w:tab/>
        </w:r>
        <w:r>
          <w:fldChar w:fldCharType="begin"/>
        </w:r>
        <w:r>
          <w:instrText xml:space="preserve"> PAGEREF _Toc2941 \h </w:instrText>
        </w:r>
        <w:r>
          <w:fldChar w:fldCharType="separate"/>
        </w:r>
        <w:r>
          <w:t>3</w:t>
        </w:r>
        <w:r>
          <w:fldChar w:fldCharType="end"/>
        </w:r>
      </w:hyperlink>
    </w:p>
    <w:p>
      <w:pPr>
        <w:pStyle w:val="TOC2"/>
        <w:tabs>
          <w:tab w:val="right" w:leader="dot" w:pos="8306"/>
        </w:tabs>
      </w:pPr>
      <w:hyperlink w:anchor="_Toc30773" w:history="1">
        <w:r>
          <w:rPr>
            <w:rFonts w:ascii="仿宋" w:eastAsia="仿宋" w:hAnsi="仿宋" w:cs="仿宋" w:hint="eastAsia"/>
            <w:lang w:eastAsia="zh-CN"/>
          </w:rPr>
          <w:t>(一)、技术管理特点</w:t>
        </w:r>
        <w:r>
          <w:tab/>
        </w:r>
        <w:r>
          <w:fldChar w:fldCharType="begin"/>
        </w:r>
        <w:r>
          <w:instrText xml:space="preserve"> PAGEREF _Toc30773 \h </w:instrText>
        </w:r>
        <w:r>
          <w:fldChar w:fldCharType="separate"/>
        </w:r>
        <w:r>
          <w:t>3</w:t>
        </w:r>
        <w:r>
          <w:fldChar w:fldCharType="end"/>
        </w:r>
      </w:hyperlink>
    </w:p>
    <w:p>
      <w:pPr>
        <w:pStyle w:val="TOC2"/>
        <w:tabs>
          <w:tab w:val="right" w:leader="dot" w:pos="8306"/>
        </w:tabs>
      </w:pPr>
      <w:hyperlink w:anchor="_Toc26370" w:history="1">
        <w:r>
          <w:rPr>
            <w:rFonts w:ascii="仿宋" w:eastAsia="仿宋" w:hAnsi="仿宋" w:cs="仿宋" w:hint="eastAsia"/>
            <w:lang w:eastAsia="zh-CN"/>
          </w:rPr>
          <w:t>(二)、特种油墨项目工艺技术设计方案</w:t>
        </w:r>
        <w:r>
          <w:tab/>
        </w:r>
        <w:r>
          <w:fldChar w:fldCharType="begin"/>
        </w:r>
        <w:r>
          <w:instrText xml:space="preserve"> PAGEREF _Toc26370 \h </w:instrText>
        </w:r>
        <w:r>
          <w:fldChar w:fldCharType="separate"/>
        </w:r>
        <w:r>
          <w:t>4</w:t>
        </w:r>
        <w:r>
          <w:fldChar w:fldCharType="end"/>
        </w:r>
      </w:hyperlink>
    </w:p>
    <w:p>
      <w:pPr>
        <w:pStyle w:val="TOC2"/>
        <w:tabs>
          <w:tab w:val="right" w:leader="dot" w:pos="8306"/>
        </w:tabs>
      </w:pPr>
      <w:hyperlink w:anchor="_Toc25450" w:history="1">
        <w:r>
          <w:rPr>
            <w:rFonts w:ascii="仿宋" w:eastAsia="仿宋" w:hAnsi="仿宋" w:cs="仿宋" w:hint="eastAsia"/>
            <w:lang w:eastAsia="zh-CN"/>
          </w:rPr>
          <w:t>(三)、设备选型方案</w:t>
        </w:r>
        <w:r>
          <w:tab/>
        </w:r>
        <w:r>
          <w:fldChar w:fldCharType="begin"/>
        </w:r>
        <w:r>
          <w:instrText xml:space="preserve"> PAGEREF _Toc25450 \h </w:instrText>
        </w:r>
        <w:r>
          <w:fldChar w:fldCharType="separate"/>
        </w:r>
        <w:r>
          <w:t>5</w:t>
        </w:r>
        <w:r>
          <w:fldChar w:fldCharType="end"/>
        </w:r>
      </w:hyperlink>
    </w:p>
    <w:p>
      <w:pPr>
        <w:pStyle w:val="TOC1"/>
        <w:tabs>
          <w:tab w:val="right" w:leader="dot" w:pos="8306"/>
        </w:tabs>
      </w:pPr>
      <w:hyperlink w:anchor="_Toc7353" w:history="1">
        <w:r>
          <w:rPr>
            <w:rFonts w:ascii="仿宋" w:eastAsia="仿宋" w:hAnsi="仿宋" w:cs="仿宋" w:hint="eastAsia"/>
            <w:lang w:eastAsia="zh-CN"/>
          </w:rPr>
          <w:t>二、特种油墨项目土建工程</w:t>
        </w:r>
        <w:r>
          <w:tab/>
        </w:r>
        <w:r>
          <w:fldChar w:fldCharType="begin"/>
        </w:r>
        <w:r>
          <w:instrText xml:space="preserve"> PAGEREF _Toc7353 \h </w:instrText>
        </w:r>
        <w:r>
          <w:fldChar w:fldCharType="separate"/>
        </w:r>
        <w:r>
          <w:t>7</w:t>
        </w:r>
        <w:r>
          <w:fldChar w:fldCharType="end"/>
        </w:r>
      </w:hyperlink>
    </w:p>
    <w:p>
      <w:pPr>
        <w:pStyle w:val="TOC2"/>
        <w:tabs>
          <w:tab w:val="right" w:leader="dot" w:pos="8306"/>
        </w:tabs>
      </w:pPr>
      <w:hyperlink w:anchor="_Toc2660" w:history="1">
        <w:r>
          <w:rPr>
            <w:rFonts w:ascii="仿宋" w:eastAsia="仿宋" w:hAnsi="仿宋" w:cs="仿宋" w:hint="eastAsia"/>
            <w:lang w:eastAsia="zh-CN"/>
          </w:rPr>
          <w:t>(一)、建筑工程设计原则</w:t>
        </w:r>
        <w:r>
          <w:tab/>
        </w:r>
        <w:r>
          <w:fldChar w:fldCharType="begin"/>
        </w:r>
        <w:r>
          <w:instrText xml:space="preserve"> PAGEREF _Toc2660 \h </w:instrText>
        </w:r>
        <w:r>
          <w:fldChar w:fldCharType="separate"/>
        </w:r>
        <w:r>
          <w:t>7</w:t>
        </w:r>
        <w:r>
          <w:fldChar w:fldCharType="end"/>
        </w:r>
      </w:hyperlink>
    </w:p>
    <w:p>
      <w:pPr>
        <w:pStyle w:val="TOC2"/>
        <w:tabs>
          <w:tab w:val="right" w:leader="dot" w:pos="8306"/>
        </w:tabs>
      </w:pPr>
      <w:hyperlink w:anchor="_Toc17672" w:history="1">
        <w:r>
          <w:rPr>
            <w:rFonts w:ascii="仿宋" w:eastAsia="仿宋" w:hAnsi="仿宋" w:cs="仿宋" w:hint="eastAsia"/>
            <w:lang w:eastAsia="zh-CN"/>
          </w:rPr>
          <w:t>(二)、土建工程设计年限及安全等级</w:t>
        </w:r>
        <w:r>
          <w:tab/>
        </w:r>
        <w:r>
          <w:fldChar w:fldCharType="begin"/>
        </w:r>
        <w:r>
          <w:instrText xml:space="preserve"> PAGEREF _Toc17672 \h </w:instrText>
        </w:r>
        <w:r>
          <w:fldChar w:fldCharType="separate"/>
        </w:r>
        <w:r>
          <w:t>8</w:t>
        </w:r>
        <w:r>
          <w:fldChar w:fldCharType="end"/>
        </w:r>
      </w:hyperlink>
    </w:p>
    <w:p>
      <w:pPr>
        <w:pStyle w:val="TOC2"/>
        <w:tabs>
          <w:tab w:val="right" w:leader="dot" w:pos="8306"/>
        </w:tabs>
      </w:pPr>
      <w:hyperlink w:anchor="_Toc22754" w:history="1">
        <w:r>
          <w:rPr>
            <w:rFonts w:ascii="仿宋" w:eastAsia="仿宋" w:hAnsi="仿宋" w:cs="仿宋" w:hint="eastAsia"/>
            <w:lang w:eastAsia="zh-CN"/>
          </w:rPr>
          <w:t>(三)、建筑工程设计总体要求</w:t>
        </w:r>
        <w:r>
          <w:tab/>
        </w:r>
        <w:r>
          <w:fldChar w:fldCharType="begin"/>
        </w:r>
        <w:r>
          <w:instrText xml:space="preserve"> PAGEREF _Toc22754 \h </w:instrText>
        </w:r>
        <w:r>
          <w:fldChar w:fldCharType="separate"/>
        </w:r>
        <w:r>
          <w:t>9</w:t>
        </w:r>
        <w:r>
          <w:fldChar w:fldCharType="end"/>
        </w:r>
      </w:hyperlink>
    </w:p>
    <w:p>
      <w:pPr>
        <w:pStyle w:val="TOC2"/>
        <w:tabs>
          <w:tab w:val="right" w:leader="dot" w:pos="8306"/>
        </w:tabs>
      </w:pPr>
      <w:hyperlink w:anchor="_Toc9718" w:history="1">
        <w:r>
          <w:rPr>
            <w:rFonts w:ascii="仿宋" w:eastAsia="仿宋" w:hAnsi="仿宋" w:cs="仿宋" w:hint="eastAsia"/>
            <w:lang w:eastAsia="zh-CN"/>
          </w:rPr>
          <w:t>(四)、土建工程建设指标</w:t>
        </w:r>
        <w:r>
          <w:tab/>
        </w:r>
        <w:r>
          <w:fldChar w:fldCharType="begin"/>
        </w:r>
        <w:r>
          <w:instrText xml:space="preserve"> PAGEREF _Toc9718 \h </w:instrText>
        </w:r>
        <w:r>
          <w:fldChar w:fldCharType="separate"/>
        </w:r>
        <w:r>
          <w:t>10</w:t>
        </w:r>
        <w:r>
          <w:fldChar w:fldCharType="end"/>
        </w:r>
      </w:hyperlink>
    </w:p>
    <w:p>
      <w:pPr>
        <w:pStyle w:val="TOC1"/>
        <w:tabs>
          <w:tab w:val="right" w:leader="dot" w:pos="8306"/>
        </w:tabs>
      </w:pPr>
      <w:hyperlink w:anchor="_Toc26880" w:history="1">
        <w:r>
          <w:rPr>
            <w:rFonts w:ascii="仿宋" w:eastAsia="仿宋" w:hAnsi="仿宋" w:cs="仿宋" w:hint="eastAsia"/>
            <w:lang w:eastAsia="zh-CN"/>
          </w:rPr>
          <w:t>三、特种油墨项目危机管理</w:t>
        </w:r>
        <w:r>
          <w:tab/>
        </w:r>
        <w:r>
          <w:fldChar w:fldCharType="begin"/>
        </w:r>
        <w:r>
          <w:instrText xml:space="preserve"> PAGEREF _Toc26880 \h </w:instrText>
        </w:r>
        <w:r>
          <w:fldChar w:fldCharType="separate"/>
        </w:r>
        <w:r>
          <w:t>10</w:t>
        </w:r>
        <w:r>
          <w:fldChar w:fldCharType="end"/>
        </w:r>
      </w:hyperlink>
    </w:p>
    <w:p>
      <w:pPr>
        <w:pStyle w:val="TOC2"/>
        <w:tabs>
          <w:tab w:val="right" w:leader="dot" w:pos="8306"/>
        </w:tabs>
      </w:pPr>
      <w:hyperlink w:anchor="_Toc5249" w:history="1">
        <w:r>
          <w:rPr>
            <w:rFonts w:ascii="仿宋" w:eastAsia="仿宋" w:hAnsi="仿宋" w:cs="仿宋" w:hint="eastAsia"/>
            <w:lang w:eastAsia="zh-CN"/>
          </w:rPr>
          <w:t>(一)、危机预警与识别</w:t>
        </w:r>
        <w:r>
          <w:tab/>
        </w:r>
        <w:r>
          <w:fldChar w:fldCharType="begin"/>
        </w:r>
        <w:r>
          <w:instrText xml:space="preserve"> PAGEREF _Toc5249 \h </w:instrText>
        </w:r>
        <w:r>
          <w:fldChar w:fldCharType="separate"/>
        </w:r>
        <w:r>
          <w:t>10</w:t>
        </w:r>
        <w:r>
          <w:fldChar w:fldCharType="end"/>
        </w:r>
      </w:hyperlink>
    </w:p>
    <w:p>
      <w:pPr>
        <w:pStyle w:val="TOC2"/>
        <w:tabs>
          <w:tab w:val="right" w:leader="dot" w:pos="8306"/>
        </w:tabs>
      </w:pPr>
      <w:hyperlink w:anchor="_Toc6611" w:history="1">
        <w:r>
          <w:rPr>
            <w:rFonts w:ascii="仿宋" w:eastAsia="仿宋" w:hAnsi="仿宋" w:cs="仿宋" w:hint="eastAsia"/>
            <w:lang w:eastAsia="zh-CN"/>
          </w:rPr>
          <w:t>(二)、危机应对与恢复</w:t>
        </w:r>
        <w:r>
          <w:tab/>
        </w:r>
        <w:r>
          <w:fldChar w:fldCharType="begin"/>
        </w:r>
        <w:r>
          <w:instrText xml:space="preserve"> PAGEREF _Toc6611 \h </w:instrText>
        </w:r>
        <w:r>
          <w:fldChar w:fldCharType="separate"/>
        </w:r>
        <w:r>
          <w:t>11</w:t>
        </w:r>
        <w:r>
          <w:fldChar w:fldCharType="end"/>
        </w:r>
      </w:hyperlink>
    </w:p>
    <w:p>
      <w:pPr>
        <w:pStyle w:val="TOC1"/>
        <w:tabs>
          <w:tab w:val="right" w:leader="dot" w:pos="8306"/>
        </w:tabs>
      </w:pPr>
      <w:hyperlink w:anchor="_Toc329" w:history="1">
        <w:r>
          <w:rPr>
            <w:rFonts w:ascii="仿宋" w:eastAsia="仿宋" w:hAnsi="仿宋" w:cs="仿宋" w:hint="eastAsia"/>
            <w:lang w:eastAsia="zh-CN"/>
          </w:rPr>
          <w:t>四、特种油墨项目选址可行性分析</w:t>
        </w:r>
        <w:r>
          <w:tab/>
        </w:r>
        <w:r>
          <w:fldChar w:fldCharType="begin"/>
        </w:r>
        <w:r>
          <w:instrText xml:space="preserve"> PAGEREF _Toc329 \h </w:instrText>
        </w:r>
        <w:r>
          <w:fldChar w:fldCharType="separate"/>
        </w:r>
        <w:r>
          <w:t>12</w:t>
        </w:r>
        <w:r>
          <w:fldChar w:fldCharType="end"/>
        </w:r>
      </w:hyperlink>
    </w:p>
    <w:p>
      <w:pPr>
        <w:pStyle w:val="TOC2"/>
        <w:tabs>
          <w:tab w:val="right" w:leader="dot" w:pos="8306"/>
        </w:tabs>
      </w:pPr>
      <w:hyperlink w:anchor="_Toc30679" w:history="1">
        <w:r>
          <w:rPr>
            <w:rFonts w:ascii="仿宋" w:eastAsia="仿宋" w:hAnsi="仿宋" w:cs="仿宋" w:hint="eastAsia"/>
            <w:lang w:eastAsia="zh-CN"/>
          </w:rPr>
          <w:t>(一)、特种油墨项目选址</w:t>
        </w:r>
        <w:r>
          <w:tab/>
        </w:r>
        <w:r>
          <w:fldChar w:fldCharType="begin"/>
        </w:r>
        <w:r>
          <w:instrText xml:space="preserve"> PAGEREF _Toc30679 \h </w:instrText>
        </w:r>
        <w:r>
          <w:fldChar w:fldCharType="separate"/>
        </w:r>
        <w:r>
          <w:t>12</w:t>
        </w:r>
        <w:r>
          <w:fldChar w:fldCharType="end"/>
        </w:r>
      </w:hyperlink>
    </w:p>
    <w:p>
      <w:pPr>
        <w:pStyle w:val="TOC2"/>
        <w:tabs>
          <w:tab w:val="right" w:leader="dot" w:pos="8306"/>
        </w:tabs>
      </w:pPr>
      <w:hyperlink w:anchor="_Toc5070" w:history="1">
        <w:r>
          <w:rPr>
            <w:rFonts w:ascii="仿宋" w:eastAsia="仿宋" w:hAnsi="仿宋" w:cs="仿宋" w:hint="eastAsia"/>
            <w:lang w:eastAsia="zh-CN"/>
          </w:rPr>
          <w:t>(二)、用地控制指标</w:t>
        </w:r>
        <w:r>
          <w:tab/>
        </w:r>
        <w:r>
          <w:fldChar w:fldCharType="begin"/>
        </w:r>
        <w:r>
          <w:instrText xml:space="preserve"> PAGEREF _Toc5070 \h </w:instrText>
        </w:r>
        <w:r>
          <w:fldChar w:fldCharType="separate"/>
        </w:r>
        <w:r>
          <w:t>12</w:t>
        </w:r>
        <w:r>
          <w:fldChar w:fldCharType="end"/>
        </w:r>
      </w:hyperlink>
    </w:p>
    <w:p>
      <w:pPr>
        <w:pStyle w:val="TOC2"/>
        <w:tabs>
          <w:tab w:val="right" w:leader="dot" w:pos="8306"/>
        </w:tabs>
      </w:pPr>
      <w:hyperlink w:anchor="_Toc28079" w:history="1">
        <w:r>
          <w:rPr>
            <w:rFonts w:ascii="仿宋" w:eastAsia="仿宋" w:hAnsi="仿宋" w:cs="仿宋" w:hint="eastAsia"/>
            <w:lang w:eastAsia="zh-CN"/>
          </w:rPr>
          <w:t>(三)、节约用地措施</w:t>
        </w:r>
        <w:r>
          <w:tab/>
        </w:r>
        <w:r>
          <w:fldChar w:fldCharType="begin"/>
        </w:r>
        <w:r>
          <w:instrText xml:space="preserve"> PAGEREF _Toc28079 \h </w:instrText>
        </w:r>
        <w:r>
          <w:fldChar w:fldCharType="separate"/>
        </w:r>
        <w:r>
          <w:t>14</w:t>
        </w:r>
        <w:r>
          <w:fldChar w:fldCharType="end"/>
        </w:r>
      </w:hyperlink>
    </w:p>
    <w:p>
      <w:pPr>
        <w:pStyle w:val="TOC2"/>
        <w:tabs>
          <w:tab w:val="right" w:leader="dot" w:pos="8306"/>
        </w:tabs>
      </w:pPr>
      <w:hyperlink w:anchor="_Toc4267" w:history="1">
        <w:r>
          <w:rPr>
            <w:rFonts w:ascii="仿宋" w:eastAsia="仿宋" w:hAnsi="仿宋" w:cs="仿宋" w:hint="eastAsia"/>
            <w:lang w:eastAsia="zh-CN"/>
          </w:rPr>
          <w:t>(四)、总图布置方案</w:t>
        </w:r>
        <w:r>
          <w:tab/>
        </w:r>
        <w:r>
          <w:fldChar w:fldCharType="begin"/>
        </w:r>
        <w:r>
          <w:instrText xml:space="preserve"> PAGEREF _Toc4267 \h </w:instrText>
        </w:r>
        <w:r>
          <w:fldChar w:fldCharType="separate"/>
        </w:r>
        <w:r>
          <w:t>15</w:t>
        </w:r>
        <w:r>
          <w:fldChar w:fldCharType="end"/>
        </w:r>
      </w:hyperlink>
    </w:p>
    <w:p>
      <w:pPr>
        <w:pStyle w:val="TOC2"/>
        <w:tabs>
          <w:tab w:val="right" w:leader="dot" w:pos="8306"/>
        </w:tabs>
      </w:pPr>
      <w:hyperlink w:anchor="_Toc10252" w:history="1">
        <w:r>
          <w:rPr>
            <w:rFonts w:ascii="仿宋" w:eastAsia="仿宋" w:hAnsi="仿宋" w:cs="仿宋" w:hint="eastAsia"/>
            <w:lang w:eastAsia="zh-CN"/>
          </w:rPr>
          <w:t>(五)、选址综合评价</w:t>
        </w:r>
        <w:r>
          <w:tab/>
        </w:r>
        <w:r>
          <w:fldChar w:fldCharType="begin"/>
        </w:r>
        <w:r>
          <w:instrText xml:space="preserve"> PAGEREF _Toc10252 \h </w:instrText>
        </w:r>
        <w:r>
          <w:fldChar w:fldCharType="separate"/>
        </w:r>
        <w:r>
          <w:t>16</w:t>
        </w:r>
        <w:r>
          <w:fldChar w:fldCharType="end"/>
        </w:r>
      </w:hyperlink>
    </w:p>
    <w:p>
      <w:pPr>
        <w:pStyle w:val="TOC1"/>
        <w:tabs>
          <w:tab w:val="right" w:leader="dot" w:pos="8306"/>
        </w:tabs>
      </w:pPr>
      <w:hyperlink w:anchor="_Toc27229" w:history="1">
        <w:r>
          <w:rPr>
            <w:rFonts w:ascii="仿宋" w:eastAsia="仿宋" w:hAnsi="仿宋" w:cs="仿宋" w:hint="eastAsia"/>
            <w:lang w:eastAsia="zh-CN"/>
          </w:rPr>
          <w:t>五、特种油墨项目可持续发展</w:t>
        </w:r>
        <w:r>
          <w:tab/>
        </w:r>
        <w:r>
          <w:fldChar w:fldCharType="begin"/>
        </w:r>
        <w:r>
          <w:instrText xml:space="preserve"> PAGEREF _Toc27229 \h </w:instrText>
        </w:r>
        <w:r>
          <w:fldChar w:fldCharType="separate"/>
        </w:r>
        <w:r>
          <w:t>17</w:t>
        </w:r>
        <w:r>
          <w:fldChar w:fldCharType="end"/>
        </w:r>
      </w:hyperlink>
    </w:p>
    <w:p>
      <w:pPr>
        <w:pStyle w:val="TOC2"/>
        <w:tabs>
          <w:tab w:val="right" w:leader="dot" w:pos="8306"/>
        </w:tabs>
      </w:pPr>
      <w:hyperlink w:anchor="_Toc11707" w:history="1">
        <w:r>
          <w:rPr>
            <w:rFonts w:ascii="仿宋" w:eastAsia="仿宋" w:hAnsi="仿宋" w:cs="仿宋" w:hint="eastAsia"/>
            <w:lang w:eastAsia="zh-CN"/>
          </w:rPr>
          <w:t>(一)、可持续战略与实践</w:t>
        </w:r>
        <w:r>
          <w:tab/>
        </w:r>
        <w:r>
          <w:fldChar w:fldCharType="begin"/>
        </w:r>
        <w:r>
          <w:instrText xml:space="preserve"> PAGEREF _Toc11707 \h </w:instrText>
        </w:r>
        <w:r>
          <w:fldChar w:fldCharType="separate"/>
        </w:r>
        <w:r>
          <w:t>17</w:t>
        </w:r>
        <w:r>
          <w:fldChar w:fldCharType="end"/>
        </w:r>
      </w:hyperlink>
    </w:p>
    <w:p>
      <w:pPr>
        <w:pStyle w:val="TOC2"/>
        <w:tabs>
          <w:tab w:val="right" w:leader="dot" w:pos="8306"/>
        </w:tabs>
      </w:pPr>
      <w:hyperlink w:anchor="_Toc6561" w:history="1">
        <w:r>
          <w:rPr>
            <w:rFonts w:ascii="仿宋" w:eastAsia="仿宋" w:hAnsi="仿宋" w:cs="仿宋" w:hint="eastAsia"/>
            <w:lang w:eastAsia="zh-CN"/>
          </w:rPr>
          <w:t>(二)、环保与社会责任</w:t>
        </w:r>
        <w:r>
          <w:tab/>
        </w:r>
        <w:r>
          <w:fldChar w:fldCharType="begin"/>
        </w:r>
        <w:r>
          <w:instrText xml:space="preserve"> PAGEREF _Toc6561 \h </w:instrText>
        </w:r>
        <w:r>
          <w:fldChar w:fldCharType="separate"/>
        </w:r>
        <w:r>
          <w:t>18</w:t>
        </w:r>
        <w:r>
          <w:fldChar w:fldCharType="end"/>
        </w:r>
      </w:hyperlink>
    </w:p>
    <w:p>
      <w:pPr>
        <w:pStyle w:val="TOC1"/>
        <w:tabs>
          <w:tab w:val="right" w:leader="dot" w:pos="8306"/>
        </w:tabs>
      </w:pPr>
      <w:hyperlink w:anchor="_Toc29987" w:history="1">
        <w:r>
          <w:rPr>
            <w:rFonts w:ascii="仿宋" w:eastAsia="仿宋" w:hAnsi="仿宋" w:cs="仿宋" w:hint="eastAsia"/>
            <w:lang w:eastAsia="zh-CN"/>
          </w:rPr>
          <w:t>六、特种油墨项目建设背景及必要性分析</w:t>
        </w:r>
        <w:r>
          <w:tab/>
        </w:r>
        <w:r>
          <w:fldChar w:fldCharType="begin"/>
        </w:r>
        <w:r>
          <w:instrText xml:space="preserve"> PAGEREF _Toc29987 \h </w:instrText>
        </w:r>
        <w:r>
          <w:fldChar w:fldCharType="separate"/>
        </w:r>
        <w:r>
          <w:t>19</w:t>
        </w:r>
        <w:r>
          <w:fldChar w:fldCharType="end"/>
        </w:r>
      </w:hyperlink>
    </w:p>
    <w:p>
      <w:pPr>
        <w:pStyle w:val="TOC2"/>
        <w:tabs>
          <w:tab w:val="right" w:leader="dot" w:pos="8306"/>
        </w:tabs>
      </w:pPr>
      <w:hyperlink w:anchor="_Toc368" w:history="1">
        <w:r>
          <w:rPr>
            <w:rFonts w:ascii="仿宋" w:eastAsia="仿宋" w:hAnsi="仿宋" w:cs="仿宋" w:hint="eastAsia"/>
            <w:lang w:eastAsia="zh-CN"/>
          </w:rPr>
          <w:t>(一)、特种油墨项目背景分析</w:t>
        </w:r>
        <w:r>
          <w:tab/>
        </w:r>
        <w:r>
          <w:fldChar w:fldCharType="begin"/>
        </w:r>
        <w:r>
          <w:instrText xml:space="preserve"> PAGEREF _Toc368 \h </w:instrText>
        </w:r>
        <w:r>
          <w:fldChar w:fldCharType="separate"/>
        </w:r>
        <w:r>
          <w:t>19</w:t>
        </w:r>
        <w:r>
          <w:fldChar w:fldCharType="end"/>
        </w:r>
      </w:hyperlink>
    </w:p>
    <w:p>
      <w:pPr>
        <w:pStyle w:val="TOC2"/>
        <w:tabs>
          <w:tab w:val="right" w:leader="dot" w:pos="8306"/>
        </w:tabs>
      </w:pPr>
      <w:hyperlink w:anchor="_Toc19135" w:history="1">
        <w:r>
          <w:rPr>
            <w:rFonts w:ascii="仿宋" w:eastAsia="仿宋" w:hAnsi="仿宋" w:cs="仿宋" w:hint="eastAsia"/>
            <w:lang w:eastAsia="zh-CN"/>
          </w:rPr>
          <w:t>(二)、特种油墨项目建设必要性分析</w:t>
        </w:r>
        <w:r>
          <w:tab/>
        </w:r>
        <w:r>
          <w:fldChar w:fldCharType="begin"/>
        </w:r>
        <w:r>
          <w:instrText xml:space="preserve"> PAGEREF _Toc19135 \h </w:instrText>
        </w:r>
        <w:r>
          <w:fldChar w:fldCharType="separate"/>
        </w:r>
        <w:r>
          <w:t>21</w:t>
        </w:r>
        <w:r>
          <w:fldChar w:fldCharType="end"/>
        </w:r>
      </w:hyperlink>
    </w:p>
    <w:p>
      <w:pPr>
        <w:pStyle w:val="TOC1"/>
        <w:tabs>
          <w:tab w:val="right" w:leader="dot" w:pos="8306"/>
        </w:tabs>
      </w:pPr>
      <w:hyperlink w:anchor="_Toc1052" w:history="1">
        <w:r>
          <w:rPr>
            <w:rFonts w:ascii="仿宋" w:eastAsia="仿宋" w:hAnsi="仿宋" w:cs="仿宋" w:hint="eastAsia"/>
            <w:lang w:eastAsia="zh-CN"/>
          </w:rPr>
          <w:t>七、特种油墨项目风险管理</w:t>
        </w:r>
        <w:r>
          <w:tab/>
        </w:r>
        <w:r>
          <w:fldChar w:fldCharType="begin"/>
        </w:r>
        <w:r>
          <w:instrText xml:space="preserve"> PAGEREF _Toc1052 \h </w:instrText>
        </w:r>
        <w:r>
          <w:fldChar w:fldCharType="separate"/>
        </w:r>
        <w:r>
          <w:t>22</w:t>
        </w:r>
        <w:r>
          <w:fldChar w:fldCharType="end"/>
        </w:r>
      </w:hyperlink>
    </w:p>
    <w:p>
      <w:pPr>
        <w:pStyle w:val="TOC2"/>
        <w:tabs>
          <w:tab w:val="right" w:leader="dot" w:pos="8306"/>
        </w:tabs>
      </w:pPr>
      <w:hyperlink w:anchor="_Toc14424" w:history="1">
        <w:r>
          <w:rPr>
            <w:rFonts w:ascii="仿宋" w:eastAsia="仿宋" w:hAnsi="仿宋" w:cs="仿宋" w:hint="eastAsia"/>
            <w:lang w:eastAsia="zh-CN"/>
          </w:rPr>
          <w:t>(一)、风险识别与评估</w:t>
        </w:r>
        <w:r>
          <w:tab/>
        </w:r>
        <w:r>
          <w:fldChar w:fldCharType="begin"/>
        </w:r>
        <w:r>
          <w:instrText xml:space="preserve"> PAGEREF _Toc14424 \h </w:instrText>
        </w:r>
        <w:r>
          <w:fldChar w:fldCharType="separate"/>
        </w:r>
        <w:r>
          <w:t>22</w:t>
        </w:r>
        <w:r>
          <w:fldChar w:fldCharType="end"/>
        </w:r>
      </w:hyperlink>
    </w:p>
    <w:p>
      <w:pPr>
        <w:pStyle w:val="TOC2"/>
        <w:tabs>
          <w:tab w:val="right" w:leader="dot" w:pos="8306"/>
        </w:tabs>
      </w:pPr>
      <w:hyperlink w:anchor="_Toc23072" w:history="1">
        <w:r>
          <w:rPr>
            <w:rFonts w:ascii="仿宋" w:eastAsia="仿宋" w:hAnsi="仿宋" w:cs="仿宋" w:hint="eastAsia"/>
            <w:lang w:eastAsia="zh-CN"/>
          </w:rPr>
          <w:t>(二)、风险应对策略</w:t>
        </w:r>
        <w:r>
          <w:tab/>
        </w:r>
        <w:r>
          <w:fldChar w:fldCharType="begin"/>
        </w:r>
        <w:r>
          <w:instrText xml:space="preserve"> PAGEREF _Toc23072 \h </w:instrText>
        </w:r>
        <w:r>
          <w:fldChar w:fldCharType="separate"/>
        </w:r>
        <w:r>
          <w:t>23</w:t>
        </w:r>
        <w:r>
          <w:fldChar w:fldCharType="end"/>
        </w:r>
      </w:hyperlink>
    </w:p>
    <w:p>
      <w:pPr>
        <w:pStyle w:val="TOC2"/>
        <w:tabs>
          <w:tab w:val="right" w:leader="dot" w:pos="8306"/>
        </w:tabs>
      </w:pPr>
      <w:hyperlink w:anchor="_Toc23298" w:history="1">
        <w:r>
          <w:rPr>
            <w:rFonts w:ascii="仿宋" w:eastAsia="仿宋" w:hAnsi="仿宋" w:cs="仿宋" w:hint="eastAsia"/>
            <w:lang w:eastAsia="zh-CN"/>
          </w:rPr>
          <w:t>(三)、风险监控与控制</w:t>
        </w:r>
        <w:r>
          <w:tab/>
        </w:r>
        <w:r>
          <w:fldChar w:fldCharType="begin"/>
        </w:r>
        <w:r>
          <w:instrText xml:space="preserve"> PAGEREF _Toc23298 \h </w:instrText>
        </w:r>
        <w:r>
          <w:fldChar w:fldCharType="separate"/>
        </w:r>
        <w:r>
          <w:t>25</w:t>
        </w:r>
        <w:r>
          <w:fldChar w:fldCharType="end"/>
        </w:r>
      </w:hyperlink>
    </w:p>
    <w:p>
      <w:pPr>
        <w:pStyle w:val="TOC1"/>
        <w:tabs>
          <w:tab w:val="right" w:leader="dot" w:pos="8306"/>
        </w:tabs>
      </w:pPr>
      <w:hyperlink w:anchor="_Toc157" w:history="1">
        <w:r>
          <w:rPr>
            <w:rFonts w:ascii="仿宋" w:eastAsia="仿宋" w:hAnsi="仿宋" w:cs="仿宋" w:hint="eastAsia"/>
            <w:lang w:eastAsia="zh-CN"/>
          </w:rPr>
          <w:t>八、特种油墨项目环境影响分析</w:t>
        </w:r>
        <w:r>
          <w:tab/>
        </w:r>
        <w:r>
          <w:fldChar w:fldCharType="begin"/>
        </w:r>
        <w:r>
          <w:instrText xml:space="preserve"> PAGEREF _Toc157 \h </w:instrText>
        </w:r>
        <w:r>
          <w:fldChar w:fldCharType="separate"/>
        </w:r>
        <w:r>
          <w:t>26</w:t>
        </w:r>
        <w:r>
          <w:fldChar w:fldCharType="end"/>
        </w:r>
      </w:hyperlink>
    </w:p>
    <w:p>
      <w:pPr>
        <w:pStyle w:val="TOC2"/>
        <w:tabs>
          <w:tab w:val="right" w:leader="dot" w:pos="8306"/>
        </w:tabs>
      </w:pPr>
      <w:hyperlink w:anchor="_Toc17973" w:history="1">
        <w:r>
          <w:rPr>
            <w:rFonts w:ascii="仿宋" w:eastAsia="仿宋" w:hAnsi="仿宋" w:cs="仿宋" w:hint="eastAsia"/>
            <w:lang w:eastAsia="zh-CN"/>
          </w:rPr>
          <w:t>(一)、建设区域环境质量现状</w:t>
        </w:r>
        <w:r>
          <w:tab/>
        </w:r>
        <w:r>
          <w:fldChar w:fldCharType="begin"/>
        </w:r>
        <w:r>
          <w:instrText xml:space="preserve"> PAGEREF _Toc17973 \h </w:instrText>
        </w:r>
        <w:r>
          <w:fldChar w:fldCharType="separate"/>
        </w:r>
        <w:r>
          <w:t>26</w:t>
        </w:r>
        <w:r>
          <w:fldChar w:fldCharType="end"/>
        </w:r>
      </w:hyperlink>
    </w:p>
    <w:p>
      <w:pPr>
        <w:pStyle w:val="TOC2"/>
        <w:tabs>
          <w:tab w:val="right" w:leader="dot" w:pos="8306"/>
        </w:tabs>
      </w:pPr>
      <w:hyperlink w:anchor="_Toc1185" w:history="1">
        <w:r>
          <w:rPr>
            <w:rFonts w:ascii="仿宋" w:eastAsia="仿宋" w:hAnsi="仿宋" w:cs="仿宋" w:hint="eastAsia"/>
            <w:lang w:eastAsia="zh-CN"/>
          </w:rPr>
          <w:t>(二)、建设期环境保护</w:t>
        </w:r>
        <w:r>
          <w:tab/>
        </w:r>
        <w:r>
          <w:fldChar w:fldCharType="begin"/>
        </w:r>
        <w:r>
          <w:instrText xml:space="preserve"> PAGEREF _Toc1185 \h </w:instrText>
        </w:r>
        <w:r>
          <w:fldChar w:fldCharType="separate"/>
        </w:r>
        <w:r>
          <w:t>27</w:t>
        </w:r>
        <w:r>
          <w:fldChar w:fldCharType="end"/>
        </w:r>
      </w:hyperlink>
    </w:p>
    <w:p>
      <w:pPr>
        <w:pStyle w:val="TOC2"/>
        <w:tabs>
          <w:tab w:val="right" w:leader="dot" w:pos="8306"/>
        </w:tabs>
      </w:pPr>
      <w:hyperlink w:anchor="_Toc17525" w:history="1">
        <w:r>
          <w:rPr>
            <w:rFonts w:ascii="仿宋" w:eastAsia="仿宋" w:hAnsi="仿宋" w:cs="仿宋" w:hint="eastAsia"/>
            <w:lang w:eastAsia="zh-CN"/>
          </w:rPr>
          <w:t>(三)、运营期环境保护</w:t>
        </w:r>
        <w:r>
          <w:tab/>
        </w:r>
        <w:r>
          <w:fldChar w:fldCharType="begin"/>
        </w:r>
        <w:r>
          <w:instrText xml:space="preserve"> PAGEREF _Toc17525 \h </w:instrText>
        </w:r>
        <w:r>
          <w:fldChar w:fldCharType="separate"/>
        </w:r>
        <w:r>
          <w:t>29</w:t>
        </w:r>
        <w:r>
          <w:fldChar w:fldCharType="end"/>
        </w:r>
      </w:hyperlink>
    </w:p>
    <w:p>
      <w:pPr>
        <w:pStyle w:val="TOC2"/>
        <w:tabs>
          <w:tab w:val="right" w:leader="dot" w:pos="8306"/>
        </w:tabs>
      </w:pPr>
      <w:hyperlink w:anchor="_Toc22942" w:history="1">
        <w:r>
          <w:rPr>
            <w:rFonts w:ascii="仿宋" w:eastAsia="仿宋" w:hAnsi="仿宋" w:cs="仿宋" w:hint="eastAsia"/>
            <w:lang w:eastAsia="zh-CN"/>
          </w:rPr>
          <w:t>(四)、特种油墨项目建设对区域经济的影响</w:t>
        </w:r>
        <w:r>
          <w:tab/>
        </w:r>
        <w:r>
          <w:fldChar w:fldCharType="begin"/>
        </w:r>
        <w:r>
          <w:instrText xml:space="preserve"> PAGEREF _Toc22942 \h </w:instrText>
        </w:r>
        <w:r>
          <w:fldChar w:fldCharType="separate"/>
        </w:r>
        <w:r>
          <w:t>30</w:t>
        </w:r>
        <w:r>
          <w:fldChar w:fldCharType="end"/>
        </w:r>
      </w:hyperlink>
    </w:p>
    <w:p>
      <w:pPr>
        <w:pStyle w:val="TOC2"/>
        <w:tabs>
          <w:tab w:val="right" w:leader="dot" w:pos="8306"/>
        </w:tabs>
      </w:pPr>
      <w:hyperlink w:anchor="_Toc2659" w:history="1">
        <w:r>
          <w:rPr>
            <w:rFonts w:ascii="仿宋" w:eastAsia="仿宋" w:hAnsi="仿宋" w:cs="仿宋" w:hint="eastAsia"/>
            <w:lang w:eastAsia="zh-CN"/>
          </w:rPr>
          <w:t>(五)、废弃物处理</w:t>
        </w:r>
        <w:r>
          <w:tab/>
        </w:r>
        <w:r>
          <w:fldChar w:fldCharType="begin"/>
        </w:r>
        <w:r>
          <w:instrText xml:space="preserve"> PAGEREF _Toc2659 \h </w:instrText>
        </w:r>
        <w:r>
          <w:fldChar w:fldCharType="separate"/>
        </w:r>
        <w:r>
          <w:t>32</w:t>
        </w:r>
        <w:r>
          <w:fldChar w:fldCharType="end"/>
        </w:r>
      </w:hyperlink>
    </w:p>
    <w:p>
      <w:pPr>
        <w:pStyle w:val="TOC2"/>
        <w:tabs>
          <w:tab w:val="right" w:leader="dot" w:pos="8306"/>
        </w:tabs>
      </w:pPr>
      <w:hyperlink w:anchor="_Toc7367" w:history="1">
        <w:r>
          <w:rPr>
            <w:rFonts w:ascii="仿宋" w:eastAsia="仿宋" w:hAnsi="仿宋" w:cs="仿宋" w:hint="eastAsia"/>
            <w:lang w:eastAsia="zh-CN"/>
          </w:rPr>
          <w:t>(六)、特殊环境影响分析</w:t>
        </w:r>
        <w:r>
          <w:tab/>
        </w:r>
        <w:r>
          <w:fldChar w:fldCharType="begin"/>
        </w:r>
        <w:r>
          <w:instrText xml:space="preserve"> PAGEREF _Toc7367 \h </w:instrText>
        </w:r>
        <w:r>
          <w:fldChar w:fldCharType="separate"/>
        </w:r>
        <w:r>
          <w:t>33</w:t>
        </w:r>
        <w:r>
          <w:fldChar w:fldCharType="end"/>
        </w:r>
      </w:hyperlink>
    </w:p>
    <w:p>
      <w:pPr>
        <w:pStyle w:val="TOC2"/>
        <w:tabs>
          <w:tab w:val="right" w:leader="dot" w:pos="8306"/>
        </w:tabs>
      </w:pPr>
      <w:hyperlink w:anchor="_Toc22319" w:history="1">
        <w:r>
          <w:rPr>
            <w:rFonts w:ascii="仿宋" w:eastAsia="仿宋" w:hAnsi="仿宋" w:cs="仿宋" w:hint="eastAsia"/>
            <w:lang w:eastAsia="zh-CN"/>
          </w:rPr>
          <w:t>(七)、清洁生产</w:t>
        </w:r>
        <w:r>
          <w:tab/>
        </w:r>
        <w:r>
          <w:fldChar w:fldCharType="begin"/>
        </w:r>
        <w:r>
          <w:instrText xml:space="preserve"> PAGEREF _Toc22319 \h </w:instrText>
        </w:r>
        <w:r>
          <w:fldChar w:fldCharType="separate"/>
        </w:r>
        <w:r>
          <w:t>34</w:t>
        </w:r>
        <w:r>
          <w:fldChar w:fldCharType="end"/>
        </w:r>
      </w:hyperlink>
    </w:p>
    <w:p>
      <w:pPr>
        <w:pStyle w:val="TOC2"/>
        <w:tabs>
          <w:tab w:val="right" w:leader="dot" w:pos="8306"/>
        </w:tabs>
      </w:pPr>
      <w:hyperlink w:anchor="_Toc29742" w:history="1">
        <w:r>
          <w:rPr>
            <w:rFonts w:ascii="仿宋" w:eastAsia="仿宋" w:hAnsi="仿宋" w:cs="仿宋" w:hint="eastAsia"/>
            <w:lang w:eastAsia="zh-CN"/>
          </w:rPr>
          <w:t>(八)、环境保护综合评价</w:t>
        </w:r>
        <w:r>
          <w:tab/>
        </w:r>
        <w:r>
          <w:fldChar w:fldCharType="begin"/>
        </w:r>
        <w:r>
          <w:instrText xml:space="preserve"> PAGEREF _Toc29742 \h </w:instrText>
        </w:r>
        <w:r>
          <w:fldChar w:fldCharType="separate"/>
        </w:r>
        <w:r>
          <w:t>35</w:t>
        </w:r>
        <w:r>
          <w:fldChar w:fldCharType="end"/>
        </w:r>
      </w:hyperlink>
    </w:p>
    <w:p>
      <w:pPr>
        <w:pStyle w:val="TOC1"/>
        <w:tabs>
          <w:tab w:val="right" w:leader="dot" w:pos="8306"/>
        </w:tabs>
      </w:pPr>
      <w:hyperlink w:anchor="_Toc5569" w:history="1">
        <w:r>
          <w:rPr>
            <w:rFonts w:ascii="仿宋" w:eastAsia="仿宋" w:hAnsi="仿宋" w:cs="仿宋" w:hint="eastAsia"/>
            <w:lang w:eastAsia="zh-CN"/>
          </w:rPr>
          <w:t>九、特种油墨项目人力资源培养与发展</w:t>
        </w:r>
        <w:r>
          <w:tab/>
        </w:r>
        <w:r>
          <w:fldChar w:fldCharType="begin"/>
        </w:r>
        <w:r>
          <w:instrText xml:space="preserve"> PAGEREF _Toc5569 \h </w:instrText>
        </w:r>
        <w:r>
          <w:fldChar w:fldCharType="separate"/>
        </w:r>
        <w:r>
          <w:t>37</w:t>
        </w:r>
        <w:r>
          <w:fldChar w:fldCharType="end"/>
        </w:r>
      </w:hyperlink>
    </w:p>
    <w:p>
      <w:pPr>
        <w:pStyle w:val="TOC2"/>
        <w:tabs>
          <w:tab w:val="right" w:leader="dot" w:pos="8306"/>
        </w:tabs>
      </w:pPr>
      <w:hyperlink w:anchor="_Toc28617" w:history="1">
        <w:r>
          <w:rPr>
            <w:rFonts w:ascii="仿宋" w:eastAsia="仿宋" w:hAnsi="仿宋" w:cs="仿宋" w:hint="eastAsia"/>
            <w:lang w:eastAsia="zh-CN"/>
          </w:rPr>
          <w:t>(一)、人才需求与规划</w:t>
        </w:r>
        <w:r>
          <w:tab/>
        </w:r>
        <w:r>
          <w:fldChar w:fldCharType="begin"/>
        </w:r>
        <w:r>
          <w:instrText xml:space="preserve"> PAGEREF _Toc28617 \h </w:instrText>
        </w:r>
        <w:r>
          <w:fldChar w:fldCharType="separate"/>
        </w:r>
        <w:r>
          <w:t>37</w:t>
        </w:r>
        <w:r>
          <w:fldChar w:fldCharType="end"/>
        </w:r>
      </w:hyperlink>
    </w:p>
    <w:p>
      <w:pPr>
        <w:pStyle w:val="TOC2"/>
        <w:tabs>
          <w:tab w:val="right" w:leader="dot" w:pos="8306"/>
        </w:tabs>
      </w:pPr>
      <w:hyperlink w:anchor="_Toc27673" w:history="1">
        <w:r>
          <w:rPr>
            <w:rFonts w:ascii="仿宋" w:eastAsia="仿宋" w:hAnsi="仿宋" w:cs="仿宋" w:hint="eastAsia"/>
            <w:lang w:eastAsia="zh-CN"/>
          </w:rPr>
          <w:t>(二)、培训与发展计划</w:t>
        </w:r>
        <w:r>
          <w:tab/>
        </w:r>
        <w:r>
          <w:fldChar w:fldCharType="begin"/>
        </w:r>
        <w:r>
          <w:instrText xml:space="preserve"> PAGEREF _Toc27673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71" w:history="1">
        <w:r>
          <w:rPr>
            <w:rFonts w:ascii="仿宋" w:eastAsia="仿宋" w:hAnsi="仿宋" w:cs="仿宋" w:hint="eastAsia"/>
            <w:lang w:eastAsia="zh-CN"/>
          </w:rPr>
          <w:t>十、特种油墨项目创新与研发</w:t>
        </w:r>
        <w:r>
          <w:tab/>
        </w:r>
        <w:r>
          <w:fldChar w:fldCharType="begin"/>
        </w:r>
        <w:r>
          <w:instrText xml:space="preserve"> PAGEREF _Toc17371 \h </w:instrText>
        </w:r>
        <w:r>
          <w:fldChar w:fldCharType="separate"/>
        </w:r>
        <w:r>
          <w:t>38</w:t>
        </w:r>
        <w:r>
          <w:fldChar w:fldCharType="end"/>
        </w:r>
      </w:hyperlink>
    </w:p>
    <w:p>
      <w:pPr>
        <w:pStyle w:val="TOC2"/>
        <w:tabs>
          <w:tab w:val="right" w:leader="dot" w:pos="8306"/>
        </w:tabs>
      </w:pPr>
      <w:hyperlink w:anchor="_Toc21171" w:history="1">
        <w:r>
          <w:rPr>
            <w:rFonts w:ascii="仿宋" w:eastAsia="仿宋" w:hAnsi="仿宋" w:cs="仿宋" w:hint="eastAsia"/>
            <w:lang w:eastAsia="zh-CN"/>
          </w:rPr>
          <w:t>(一)、创新策略与方向</w:t>
        </w:r>
        <w:r>
          <w:tab/>
        </w:r>
        <w:r>
          <w:fldChar w:fldCharType="begin"/>
        </w:r>
        <w:r>
          <w:instrText xml:space="preserve"> PAGEREF _Toc21171 \h </w:instrText>
        </w:r>
        <w:r>
          <w:fldChar w:fldCharType="separate"/>
        </w:r>
        <w:r>
          <w:t>38</w:t>
        </w:r>
        <w:r>
          <w:fldChar w:fldCharType="end"/>
        </w:r>
      </w:hyperlink>
    </w:p>
    <w:p>
      <w:pPr>
        <w:pStyle w:val="TOC2"/>
        <w:tabs>
          <w:tab w:val="right" w:leader="dot" w:pos="8306"/>
        </w:tabs>
      </w:pPr>
      <w:hyperlink w:anchor="_Toc12102" w:history="1">
        <w:r>
          <w:rPr>
            <w:rFonts w:ascii="仿宋" w:eastAsia="仿宋" w:hAnsi="仿宋" w:cs="仿宋" w:hint="eastAsia"/>
            <w:lang w:eastAsia="zh-CN"/>
          </w:rPr>
          <w:t>(二)、研发规划与投入</w:t>
        </w:r>
        <w:r>
          <w:tab/>
        </w:r>
        <w:r>
          <w:fldChar w:fldCharType="begin"/>
        </w:r>
        <w:r>
          <w:instrText xml:space="preserve"> PAGEREF _Toc12102 \h </w:instrText>
        </w:r>
        <w:r>
          <w:fldChar w:fldCharType="separate"/>
        </w:r>
        <w:r>
          <w:t>39</w:t>
        </w:r>
        <w:r>
          <w:fldChar w:fldCharType="end"/>
        </w:r>
      </w:hyperlink>
    </w:p>
    <w:p>
      <w:pPr>
        <w:pStyle w:val="TOC1"/>
        <w:tabs>
          <w:tab w:val="right" w:leader="dot" w:pos="8306"/>
        </w:tabs>
      </w:pPr>
      <w:hyperlink w:anchor="_Toc23531" w:history="1">
        <w:r>
          <w:rPr>
            <w:rFonts w:ascii="仿宋" w:eastAsia="仿宋" w:hAnsi="仿宋" w:cs="仿宋" w:hint="eastAsia"/>
            <w:lang w:eastAsia="zh-CN"/>
          </w:rPr>
          <w:t>十一、特种油墨项目人力资源管理</w:t>
        </w:r>
        <w:r>
          <w:tab/>
        </w:r>
        <w:r>
          <w:fldChar w:fldCharType="begin"/>
        </w:r>
        <w:r>
          <w:instrText xml:space="preserve"> PAGEREF _Toc23531 \h </w:instrText>
        </w:r>
        <w:r>
          <w:fldChar w:fldCharType="separate"/>
        </w:r>
        <w:r>
          <w:t>41</w:t>
        </w:r>
        <w:r>
          <w:fldChar w:fldCharType="end"/>
        </w:r>
      </w:hyperlink>
    </w:p>
    <w:p>
      <w:pPr>
        <w:pStyle w:val="TOC2"/>
        <w:tabs>
          <w:tab w:val="right" w:leader="dot" w:pos="8306"/>
        </w:tabs>
      </w:pPr>
      <w:hyperlink w:anchor="_Toc13780" w:history="1">
        <w:r>
          <w:rPr>
            <w:rFonts w:ascii="仿宋" w:eastAsia="仿宋" w:hAnsi="仿宋" w:cs="仿宋" w:hint="eastAsia"/>
            <w:lang w:eastAsia="zh-CN"/>
          </w:rPr>
          <w:t>(一)、建立健全的预算管理制度</w:t>
        </w:r>
        <w:r>
          <w:tab/>
        </w:r>
        <w:r>
          <w:fldChar w:fldCharType="begin"/>
        </w:r>
        <w:r>
          <w:instrText xml:space="preserve"> PAGEREF _Toc13780 \h </w:instrText>
        </w:r>
        <w:r>
          <w:fldChar w:fldCharType="separate"/>
        </w:r>
        <w:r>
          <w:t>41</w:t>
        </w:r>
        <w:r>
          <w:fldChar w:fldCharType="end"/>
        </w:r>
      </w:hyperlink>
    </w:p>
    <w:p>
      <w:pPr>
        <w:pStyle w:val="TOC2"/>
        <w:tabs>
          <w:tab w:val="right" w:leader="dot" w:pos="8306"/>
        </w:tabs>
      </w:pPr>
      <w:hyperlink w:anchor="_Toc21437" w:history="1">
        <w:r>
          <w:rPr>
            <w:rFonts w:ascii="仿宋" w:eastAsia="仿宋" w:hAnsi="仿宋" w:cs="仿宋" w:hint="eastAsia"/>
            <w:lang w:eastAsia="zh-CN"/>
          </w:rPr>
          <w:t>(二)、加强资金流动监控</w:t>
        </w:r>
        <w:r>
          <w:tab/>
        </w:r>
        <w:r>
          <w:fldChar w:fldCharType="begin"/>
        </w:r>
        <w:r>
          <w:instrText xml:space="preserve"> PAGEREF _Toc21437 \h </w:instrText>
        </w:r>
        <w:r>
          <w:fldChar w:fldCharType="separate"/>
        </w:r>
        <w:r>
          <w:t>43</w:t>
        </w:r>
        <w:r>
          <w:fldChar w:fldCharType="end"/>
        </w:r>
      </w:hyperlink>
    </w:p>
    <w:p>
      <w:pPr>
        <w:pStyle w:val="TOC2"/>
        <w:tabs>
          <w:tab w:val="right" w:leader="dot" w:pos="8306"/>
        </w:tabs>
      </w:pPr>
      <w:hyperlink w:anchor="_Toc21893" w:history="1">
        <w:r>
          <w:rPr>
            <w:rFonts w:ascii="仿宋" w:eastAsia="仿宋" w:hAnsi="仿宋" w:cs="仿宋" w:hint="eastAsia"/>
            <w:lang w:eastAsia="zh-CN"/>
          </w:rPr>
          <w:t>(三)、制定完善的风险控制机制</w:t>
        </w:r>
        <w:r>
          <w:tab/>
        </w:r>
        <w:r>
          <w:fldChar w:fldCharType="begin"/>
        </w:r>
        <w:r>
          <w:instrText xml:space="preserve"> PAGEREF _Toc21893 \h </w:instrText>
        </w:r>
        <w:r>
          <w:fldChar w:fldCharType="separate"/>
        </w:r>
        <w:r>
          <w:t>44</w:t>
        </w:r>
        <w:r>
          <w:fldChar w:fldCharType="end"/>
        </w:r>
      </w:hyperlink>
    </w:p>
    <w:p>
      <w:pPr>
        <w:pStyle w:val="TOC2"/>
        <w:tabs>
          <w:tab w:val="right" w:leader="dot" w:pos="8306"/>
        </w:tabs>
      </w:pPr>
      <w:hyperlink w:anchor="_Toc25175" w:history="1">
        <w:r>
          <w:rPr>
            <w:rFonts w:ascii="仿宋" w:eastAsia="仿宋" w:hAnsi="仿宋" w:cs="仿宋" w:hint="eastAsia"/>
            <w:lang w:eastAsia="zh-CN"/>
          </w:rPr>
          <w:t>(四)、优化成本管理</w:t>
        </w:r>
        <w:r>
          <w:tab/>
        </w:r>
        <w:r>
          <w:fldChar w:fldCharType="begin"/>
        </w:r>
        <w:r>
          <w:instrText xml:space="preserve"> PAGEREF _Toc25175 \h </w:instrText>
        </w:r>
        <w:r>
          <w:fldChar w:fldCharType="separate"/>
        </w:r>
        <w:r>
          <w:t>45</w:t>
        </w:r>
        <w:r>
          <w:fldChar w:fldCharType="end"/>
        </w:r>
      </w:hyperlink>
    </w:p>
    <w:p>
      <w:pPr>
        <w:pStyle w:val="TOC1"/>
        <w:tabs>
          <w:tab w:val="right" w:leader="dot" w:pos="8306"/>
        </w:tabs>
      </w:pPr>
      <w:hyperlink w:anchor="_Toc22351" w:history="1">
        <w:r>
          <w:rPr>
            <w:rFonts w:ascii="仿宋" w:eastAsia="仿宋" w:hAnsi="仿宋" w:cs="仿宋" w:hint="eastAsia"/>
            <w:lang w:eastAsia="zh-CN"/>
          </w:rPr>
          <w:t>十二、特种油墨项目财务管理</w:t>
        </w:r>
        <w:r>
          <w:tab/>
        </w:r>
        <w:r>
          <w:fldChar w:fldCharType="begin"/>
        </w:r>
        <w:r>
          <w:instrText xml:space="preserve"> PAGEREF _Toc22351 \h </w:instrText>
        </w:r>
        <w:r>
          <w:fldChar w:fldCharType="separate"/>
        </w:r>
        <w:r>
          <w:t>46</w:t>
        </w:r>
        <w:r>
          <w:fldChar w:fldCharType="end"/>
        </w:r>
      </w:hyperlink>
    </w:p>
    <w:p>
      <w:pPr>
        <w:pStyle w:val="TOC2"/>
        <w:tabs>
          <w:tab w:val="right" w:leader="dot" w:pos="8306"/>
        </w:tabs>
      </w:pPr>
      <w:hyperlink w:anchor="_Toc28752" w:history="1">
        <w:r>
          <w:rPr>
            <w:rFonts w:ascii="仿宋" w:eastAsia="仿宋" w:hAnsi="仿宋" w:cs="仿宋" w:hint="eastAsia"/>
            <w:lang w:eastAsia="zh-CN"/>
          </w:rPr>
          <w:t>(一)、资金需求大</w:t>
        </w:r>
        <w:r>
          <w:tab/>
        </w:r>
        <w:r>
          <w:fldChar w:fldCharType="begin"/>
        </w:r>
        <w:r>
          <w:instrText xml:space="preserve"> PAGEREF _Toc28752 \h </w:instrText>
        </w:r>
        <w:r>
          <w:fldChar w:fldCharType="separate"/>
        </w:r>
        <w:r>
          <w:t>46</w:t>
        </w:r>
        <w:r>
          <w:fldChar w:fldCharType="end"/>
        </w:r>
      </w:hyperlink>
    </w:p>
    <w:p>
      <w:pPr>
        <w:pStyle w:val="TOC2"/>
        <w:tabs>
          <w:tab w:val="right" w:leader="dot" w:pos="8306"/>
        </w:tabs>
      </w:pPr>
      <w:hyperlink w:anchor="_Toc7937" w:history="1">
        <w:r>
          <w:rPr>
            <w:rFonts w:ascii="仿宋" w:eastAsia="仿宋" w:hAnsi="仿宋" w:cs="仿宋" w:hint="eastAsia"/>
            <w:lang w:eastAsia="zh-CN"/>
          </w:rPr>
          <w:t>(二)、研发周期长</w:t>
        </w:r>
        <w:r>
          <w:tab/>
        </w:r>
        <w:r>
          <w:fldChar w:fldCharType="begin"/>
        </w:r>
        <w:r>
          <w:instrText xml:space="preserve"> PAGEREF _Toc7937 \h </w:instrText>
        </w:r>
        <w:r>
          <w:fldChar w:fldCharType="separate"/>
        </w:r>
        <w:r>
          <w:t>47</w:t>
        </w:r>
        <w:r>
          <w:fldChar w:fldCharType="end"/>
        </w:r>
      </w:hyperlink>
    </w:p>
    <w:p>
      <w:pPr>
        <w:pStyle w:val="TOC2"/>
        <w:tabs>
          <w:tab w:val="right" w:leader="dot" w:pos="8306"/>
        </w:tabs>
      </w:pPr>
      <w:hyperlink w:anchor="_Toc16771" w:history="1">
        <w:r>
          <w:rPr>
            <w:rFonts w:ascii="仿宋" w:eastAsia="仿宋" w:hAnsi="仿宋" w:cs="仿宋" w:hint="eastAsia"/>
            <w:lang w:eastAsia="zh-CN"/>
          </w:rPr>
          <w:t>(三)、市场风险大</w:t>
        </w:r>
        <w:r>
          <w:tab/>
        </w:r>
        <w:r>
          <w:fldChar w:fldCharType="begin"/>
        </w:r>
        <w:r>
          <w:instrText xml:space="preserve"> PAGEREF _Toc16771 \h </w:instrText>
        </w:r>
        <w:r>
          <w:fldChar w:fldCharType="separate"/>
        </w:r>
        <w:r>
          <w:t>48</w:t>
        </w:r>
        <w:r>
          <w:fldChar w:fldCharType="end"/>
        </w:r>
      </w:hyperlink>
    </w:p>
    <w:p>
      <w:pPr>
        <w:pStyle w:val="TOC2"/>
        <w:tabs>
          <w:tab w:val="right" w:leader="dot" w:pos="8306"/>
        </w:tabs>
      </w:pPr>
      <w:hyperlink w:anchor="_Toc15145" w:history="1">
        <w:r>
          <w:rPr>
            <w:rFonts w:ascii="仿宋" w:eastAsia="仿宋" w:hAnsi="仿宋" w:cs="仿宋" w:hint="eastAsia"/>
            <w:lang w:eastAsia="zh-CN"/>
          </w:rPr>
          <w:t>(四)、利润率高</w:t>
        </w:r>
        <w:r>
          <w:tab/>
        </w:r>
        <w:r>
          <w:fldChar w:fldCharType="begin"/>
        </w:r>
        <w:r>
          <w:instrText xml:space="preserve"> PAGEREF _Toc15145 \h </w:instrText>
        </w:r>
        <w:r>
          <w:fldChar w:fldCharType="separate"/>
        </w:r>
        <w:r>
          <w:t>51</w:t>
        </w:r>
        <w:r>
          <w:fldChar w:fldCharType="end"/>
        </w:r>
      </w:hyperlink>
    </w:p>
    <w:p>
      <w:pPr>
        <w:pStyle w:val="TOC1"/>
        <w:tabs>
          <w:tab w:val="right" w:leader="dot" w:pos="8306"/>
        </w:tabs>
      </w:pPr>
      <w:hyperlink w:anchor="_Toc9187" w:history="1">
        <w:r>
          <w:rPr>
            <w:rFonts w:ascii="仿宋" w:eastAsia="仿宋" w:hAnsi="仿宋" w:cs="仿宋" w:hint="eastAsia"/>
            <w:lang w:eastAsia="zh-CN"/>
          </w:rPr>
          <w:t>十三、利益相关者分析与沟通计划</w:t>
        </w:r>
        <w:r>
          <w:tab/>
        </w:r>
        <w:r>
          <w:fldChar w:fldCharType="begin"/>
        </w:r>
        <w:r>
          <w:instrText xml:space="preserve"> PAGEREF _Toc9187 \h </w:instrText>
        </w:r>
        <w:r>
          <w:fldChar w:fldCharType="separate"/>
        </w:r>
        <w:r>
          <w:t>53</w:t>
        </w:r>
        <w:r>
          <w:fldChar w:fldCharType="end"/>
        </w:r>
      </w:hyperlink>
    </w:p>
    <w:p>
      <w:pPr>
        <w:pStyle w:val="TOC2"/>
        <w:tabs>
          <w:tab w:val="right" w:leader="dot" w:pos="8306"/>
        </w:tabs>
      </w:pPr>
      <w:hyperlink w:anchor="_Toc15653" w:history="1">
        <w:r>
          <w:rPr>
            <w:rFonts w:ascii="仿宋" w:eastAsia="仿宋" w:hAnsi="仿宋" w:cs="仿宋" w:hint="eastAsia"/>
            <w:lang w:eastAsia="zh-CN"/>
          </w:rPr>
          <w:t>(一)、利益相关者分析</w:t>
        </w:r>
        <w:r>
          <w:tab/>
        </w:r>
        <w:r>
          <w:fldChar w:fldCharType="begin"/>
        </w:r>
        <w:r>
          <w:instrText xml:space="preserve"> PAGEREF _Toc15653 \h </w:instrText>
        </w:r>
        <w:r>
          <w:fldChar w:fldCharType="separate"/>
        </w:r>
        <w:r>
          <w:t>53</w:t>
        </w:r>
        <w:r>
          <w:fldChar w:fldCharType="end"/>
        </w:r>
      </w:hyperlink>
    </w:p>
    <w:p>
      <w:pPr>
        <w:pStyle w:val="TOC2"/>
        <w:tabs>
          <w:tab w:val="right" w:leader="dot" w:pos="8306"/>
        </w:tabs>
      </w:pPr>
      <w:hyperlink w:anchor="_Toc14781" w:history="1">
        <w:r>
          <w:rPr>
            <w:rFonts w:ascii="仿宋" w:eastAsia="仿宋" w:hAnsi="仿宋" w:cs="仿宋" w:hint="eastAsia"/>
            <w:lang w:eastAsia="zh-CN"/>
          </w:rPr>
          <w:t>(二)、沟通计划</w:t>
        </w:r>
        <w:r>
          <w:tab/>
        </w:r>
        <w:r>
          <w:fldChar w:fldCharType="begin"/>
        </w:r>
        <w:r>
          <w:instrText xml:space="preserve"> PAGEREF _Toc14781 \h </w:instrText>
        </w:r>
        <w:r>
          <w:fldChar w:fldCharType="separate"/>
        </w:r>
        <w:r>
          <w:t>54</w:t>
        </w:r>
        <w:r>
          <w:fldChar w:fldCharType="end"/>
        </w:r>
      </w:hyperlink>
    </w:p>
    <w:p>
      <w:pPr>
        <w:pStyle w:val="TOC1"/>
        <w:tabs>
          <w:tab w:val="right" w:leader="dot" w:pos="8306"/>
        </w:tabs>
      </w:pPr>
      <w:hyperlink w:anchor="_Toc25292" w:history="1">
        <w:r>
          <w:rPr>
            <w:rFonts w:ascii="仿宋" w:eastAsia="仿宋" w:hAnsi="仿宋" w:cs="仿宋" w:hint="eastAsia"/>
            <w:lang w:eastAsia="zh-CN"/>
          </w:rPr>
          <w:t>十四、质量管理体系</w:t>
        </w:r>
        <w:r>
          <w:tab/>
        </w:r>
        <w:r>
          <w:fldChar w:fldCharType="begin"/>
        </w:r>
        <w:r>
          <w:instrText xml:space="preserve"> PAGEREF _Toc25292 \h </w:instrText>
        </w:r>
        <w:r>
          <w:fldChar w:fldCharType="separate"/>
        </w:r>
        <w:r>
          <w:t>56</w:t>
        </w:r>
        <w:r>
          <w:fldChar w:fldCharType="end"/>
        </w:r>
      </w:hyperlink>
    </w:p>
    <w:p>
      <w:pPr>
        <w:pStyle w:val="TOC2"/>
        <w:tabs>
          <w:tab w:val="right" w:leader="dot" w:pos="8306"/>
        </w:tabs>
      </w:pPr>
      <w:hyperlink w:anchor="_Toc25414" w:history="1">
        <w:r>
          <w:rPr>
            <w:rFonts w:ascii="仿宋" w:eastAsia="仿宋" w:hAnsi="仿宋" w:cs="仿宋" w:hint="eastAsia"/>
            <w:lang w:eastAsia="zh-CN"/>
          </w:rPr>
          <w:t>(一)、质量目标与方针</w:t>
        </w:r>
        <w:r>
          <w:tab/>
        </w:r>
        <w:r>
          <w:fldChar w:fldCharType="begin"/>
        </w:r>
        <w:r>
          <w:instrText xml:space="preserve"> PAGEREF _Toc25414 \h </w:instrText>
        </w:r>
        <w:r>
          <w:fldChar w:fldCharType="separate"/>
        </w:r>
        <w:r>
          <w:t>56</w:t>
        </w:r>
        <w:r>
          <w:fldChar w:fldCharType="end"/>
        </w:r>
      </w:hyperlink>
    </w:p>
    <w:p>
      <w:pPr>
        <w:pStyle w:val="TOC2"/>
        <w:tabs>
          <w:tab w:val="right" w:leader="dot" w:pos="8306"/>
        </w:tabs>
      </w:pPr>
      <w:hyperlink w:anchor="_Toc9812" w:history="1">
        <w:r>
          <w:rPr>
            <w:rFonts w:ascii="仿宋" w:eastAsia="仿宋" w:hAnsi="仿宋" w:cs="仿宋" w:hint="eastAsia"/>
            <w:lang w:eastAsia="zh-CN"/>
          </w:rPr>
          <w:t>(二)、质量管理责任</w:t>
        </w:r>
        <w:r>
          <w:tab/>
        </w:r>
        <w:r>
          <w:fldChar w:fldCharType="begin"/>
        </w:r>
        <w:r>
          <w:instrText xml:space="preserve"> PAGEREF _Toc9812 \h </w:instrText>
        </w:r>
        <w:r>
          <w:fldChar w:fldCharType="separate"/>
        </w:r>
        <w:r>
          <w:t>57</w:t>
        </w:r>
        <w:r>
          <w:fldChar w:fldCharType="end"/>
        </w:r>
      </w:hyperlink>
    </w:p>
    <w:p>
      <w:pPr>
        <w:pStyle w:val="TOC2"/>
        <w:tabs>
          <w:tab w:val="right" w:leader="dot" w:pos="8306"/>
        </w:tabs>
      </w:pPr>
      <w:hyperlink w:anchor="_Toc10603" w:history="1">
        <w:r>
          <w:rPr>
            <w:rFonts w:ascii="仿宋" w:eastAsia="仿宋" w:hAnsi="仿宋" w:cs="仿宋" w:hint="eastAsia"/>
            <w:lang w:eastAsia="zh-CN"/>
          </w:rPr>
          <w:t>(三)、质量管理体系文件</w:t>
        </w:r>
        <w:r>
          <w:tab/>
        </w:r>
        <w:r>
          <w:fldChar w:fldCharType="begin"/>
        </w:r>
        <w:r>
          <w:instrText xml:space="preserve"> PAGEREF _Toc10603 \h </w:instrText>
        </w:r>
        <w:r>
          <w:fldChar w:fldCharType="separate"/>
        </w:r>
        <w:r>
          <w:t>58</w:t>
        </w:r>
        <w:r>
          <w:fldChar w:fldCharType="end"/>
        </w:r>
      </w:hyperlink>
    </w:p>
    <w:p>
      <w:pPr>
        <w:pStyle w:val="TOC2"/>
        <w:tabs>
          <w:tab w:val="right" w:leader="dot" w:pos="8306"/>
        </w:tabs>
      </w:pPr>
      <w:hyperlink w:anchor="_Toc11862" w:history="1">
        <w:r>
          <w:rPr>
            <w:rFonts w:ascii="仿宋" w:eastAsia="仿宋" w:hAnsi="仿宋" w:cs="仿宋" w:hint="eastAsia"/>
            <w:lang w:eastAsia="zh-CN"/>
          </w:rPr>
          <w:t>(四)、质量培训与教育</w:t>
        </w:r>
        <w:r>
          <w:tab/>
        </w:r>
        <w:r>
          <w:fldChar w:fldCharType="begin"/>
        </w:r>
        <w:r>
          <w:instrText xml:space="preserve"> PAGEREF _Toc11862 \h </w:instrText>
        </w:r>
        <w:r>
          <w:fldChar w:fldCharType="separate"/>
        </w:r>
        <w:r>
          <w:t>60</w:t>
        </w:r>
        <w:r>
          <w:fldChar w:fldCharType="end"/>
        </w:r>
      </w:hyperlink>
    </w:p>
    <w:p>
      <w:pPr>
        <w:pStyle w:val="TOC2"/>
        <w:tabs>
          <w:tab w:val="right" w:leader="dot" w:pos="8306"/>
        </w:tabs>
      </w:pPr>
      <w:hyperlink w:anchor="_Toc23603" w:history="1">
        <w:r>
          <w:rPr>
            <w:rFonts w:ascii="仿宋" w:eastAsia="仿宋" w:hAnsi="仿宋" w:cs="仿宋" w:hint="eastAsia"/>
            <w:lang w:eastAsia="zh-CN"/>
          </w:rPr>
          <w:t>(五)、质量审核与评价</w:t>
        </w:r>
        <w:r>
          <w:tab/>
        </w:r>
        <w:r>
          <w:fldChar w:fldCharType="begin"/>
        </w:r>
        <w:r>
          <w:instrText xml:space="preserve"> PAGEREF _Toc23603 \h </w:instrText>
        </w:r>
        <w:r>
          <w:fldChar w:fldCharType="separate"/>
        </w:r>
        <w:r>
          <w:t>61</w:t>
        </w:r>
        <w:r>
          <w:fldChar w:fldCharType="end"/>
        </w:r>
      </w:hyperlink>
    </w:p>
    <w:p>
      <w:pPr>
        <w:pStyle w:val="TOC2"/>
        <w:tabs>
          <w:tab w:val="right" w:leader="dot" w:pos="8306"/>
        </w:tabs>
      </w:pPr>
      <w:hyperlink w:anchor="_Toc10028" w:history="1">
        <w:r>
          <w:rPr>
            <w:rFonts w:ascii="仿宋" w:eastAsia="仿宋" w:hAnsi="仿宋" w:cs="仿宋" w:hint="eastAsia"/>
            <w:lang w:eastAsia="zh-CN"/>
          </w:rPr>
          <w:t>(六)、不符合与纠正措施</w:t>
        </w:r>
        <w:r>
          <w:tab/>
        </w:r>
        <w:r>
          <w:fldChar w:fldCharType="begin"/>
        </w:r>
        <w:r>
          <w:instrText xml:space="preserve"> PAGEREF _Toc10028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4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7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的技术管理特点体现在其创新导向。通过引入最先进的技术趋势和解决方案，特种油墨项目致力于提升科技含量、提高质量和效率水平。这意味着我们将采用最新的工具和方法，确保特种油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油墨项目技术管理的显著特征。通过整合不同领域的技术资源，我们实现了跨学科的协同工作。这有助于优化技术架构，提高整体效能。此外，整合性策略还促进了不同技术团队之间的紧密沟通和高效合作，确保特种油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油墨项目所采用的技术。通过不断优化技术方案，特种油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油墨项目团队将在特种油墨项目初期识别可能的技术风险，并采取相应的预防和应对措施。通过建立健全的风险评估机制，特种油墨项目能够在实施过程中及时发现并解决潜在的技术问题，保障特种油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油墨项目中，技术将成为特种油墨项目成功的有力支持。这一深度剖析揭示了技术管理在特种油墨项目实施中的关键作用，为特种油墨项目的技术基础奠定了坚实的基础。</w:t>
      </w:r>
    </w:p>
    <w:p>
      <w:pPr>
        <w:pStyle w:val="Heading2"/>
        <w:ind w:firstLine="560" w:firstLineChars="200"/>
        <w:rPr>
          <w:rFonts w:ascii="仿宋" w:eastAsia="仿宋" w:hAnsi="仿宋" w:cs="仿宋" w:hint="eastAsia"/>
          <w:sz w:val="28"/>
          <w:lang w:eastAsia="zh-CN"/>
        </w:rPr>
      </w:pPr>
      <w:bookmarkStart w:id="4" w:name="_Toc26370"/>
      <w:r>
        <w:rPr>
          <w:rFonts w:ascii="仿宋" w:eastAsia="仿宋" w:hAnsi="仿宋" w:cs="仿宋" w:hint="eastAsia"/>
          <w:sz w:val="28"/>
          <w:lang w:eastAsia="zh-CN"/>
        </w:rPr>
        <w:t>(二)、特种油墨项目工艺技术设计方案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油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油墨项目将严格按照相关行业规范要求进行组织。通过有效控制产品质量，特种油墨项目将致力于为顾客提供优质的特种油墨项目产品和良好的服务。这体现了特种油墨项目对于生产活动合规性和质量标准的高度重视，为特种油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油墨项目注重生态效益和清洁生产原则。特种油墨项目建设将紧密结合地方特色经济发展，与社会经济发展规划和区域环境保护规划方案相协调一致。通过与当地区域自然生态系统的结合，特种油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油墨项目产品具有多样化的客户需求和个性化的特点。因此，特种油墨项目产品规格品种多样，且单批生产数量较小。为满足这一特点，特种油墨项目承办单位将建设先进的柔性制造生产线。通过广泛应用柔性制造技术，特种油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油墨项目采用的技术具有较高的技术含量和自动化水平，处于国内先进水平。这一技术选用不仅体现了对生产效率、质量和环境友好性的高标准要求，同时为特种油墨项目的可持续发展奠定了坚实的基础。</w:t>
      </w:r>
    </w:p>
    <w:p>
      <w:pPr>
        <w:pStyle w:val="Heading2"/>
        <w:ind w:firstLine="560" w:firstLineChars="200"/>
        <w:rPr>
          <w:rFonts w:ascii="仿宋" w:eastAsia="仿宋" w:hAnsi="仿宋" w:cs="仿宋" w:hint="eastAsia"/>
          <w:sz w:val="28"/>
          <w:lang w:eastAsia="zh-CN"/>
        </w:rPr>
      </w:pPr>
      <w:bookmarkStart w:id="5" w:name="_Toc254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为确保特种油墨项目的高效生产和技术实施，我们制定了一套精心设计的设备选型方案，以满足特种油墨项目生产、质量和环保的要求。该方案的主要特点如下：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油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针对特种油墨项目产品的多样性和小批量生产的特点，我们将建设柔性制造生产线。通过在设备选型中考虑柔性制造技术，可以灵活应对不同产品规格和生产需求，实现生产线的高度灵活性和适应性。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353"/>
      <w:r>
        <w:rPr>
          <w:rFonts w:ascii="仿宋" w:eastAsia="仿宋" w:hAnsi="仿宋" w:cs="仿宋" w:hint="eastAsia"/>
          <w:sz w:val="28"/>
          <w:lang w:eastAsia="zh-CN"/>
        </w:rPr>
        <w:t>二、特种油墨项目土建工程</w:t>
      </w:r>
      <w:bookmarkEnd w:id="6"/>
    </w:p>
    <w:p>
      <w:pPr>
        <w:pStyle w:val="Heading2"/>
        <w:rPr>
          <w:rFonts w:ascii="仿宋" w:eastAsia="仿宋" w:hAnsi="仿宋" w:cs="仿宋" w:hint="eastAsia"/>
          <w:lang w:eastAsia="zh-CN"/>
        </w:rPr>
      </w:pPr>
      <w:bookmarkStart w:id="7" w:name="_Toc266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在特种油墨项目的建筑工程设计中，我们将秉承一系列重要的设计原则，以确保特种油墨项目建筑在功能、美观、可持续性等方面达到最佳效果。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首要原则是确保建筑的功能性得到最大化的发挥。我们将充分理解特种油墨项目的实际需求，合理布局各个功能区域，保证建筑在满足业务需求的同时，提供高效的工作环境。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在建筑设计中，我们将综合考虑建设和运营成本。通过精细的经济效益分析，确保设计方案在高效利用资源的同时，对特种油墨项目的长期盈利能力有积极的贡献。</w:t>
      </w:r>
    </w:p>
    <w:p>
      <w:pPr>
        <w:pStyle w:val="Heading2"/>
        <w:ind w:firstLine="560" w:firstLineChars="200"/>
        <w:rPr>
          <w:rFonts w:ascii="仿宋" w:eastAsia="仿宋" w:hAnsi="仿宋" w:cs="仿宋" w:hint="eastAsia"/>
          <w:sz w:val="28"/>
          <w:lang w:eastAsia="zh-CN"/>
        </w:rPr>
      </w:pPr>
      <w:bookmarkStart w:id="8" w:name="_Toc1767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的土建工程设计中，我们将精准设定设计年限，结合特种油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油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275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特种油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油墨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油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971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本期工程特种油墨项目预计总建筑面积XXX平方米，其中：计容建筑面积XXX平方米，计划建筑工程投资XX万元，占特种油墨项目总投资的XX%。</w:t>
      </w:r>
    </w:p>
    <w:p>
      <w:pPr>
        <w:pStyle w:val="Heading1"/>
        <w:ind w:firstLine="560" w:firstLineChars="200"/>
        <w:rPr>
          <w:rFonts w:ascii="仿宋" w:eastAsia="仿宋" w:hAnsi="仿宋" w:cs="仿宋" w:hint="eastAsia"/>
          <w:sz w:val="28"/>
          <w:lang w:eastAsia="zh-CN"/>
        </w:rPr>
      </w:pPr>
      <w:bookmarkStart w:id="11" w:name="_Toc26880"/>
      <w:r>
        <w:rPr>
          <w:rFonts w:ascii="仿宋" w:eastAsia="仿宋" w:hAnsi="仿宋" w:cs="仿宋" w:hint="eastAsia"/>
          <w:sz w:val="28"/>
          <w:lang w:eastAsia="zh-CN"/>
        </w:rPr>
        <w:t>三、特种油墨项目危机管理</w:t>
      </w:r>
      <w:bookmarkEnd w:id="11"/>
    </w:p>
    <w:p>
      <w:pPr>
        <w:pStyle w:val="Heading2"/>
        <w:rPr>
          <w:rFonts w:ascii="仿宋" w:eastAsia="仿宋" w:hAnsi="仿宋" w:cs="仿宋" w:hint="eastAsia"/>
          <w:lang w:eastAsia="zh-CN"/>
        </w:rPr>
      </w:pPr>
      <w:bookmarkStart w:id="12" w:name="_Toc524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危机管理中，危机预警与识别是确保特种油墨项目稳健运行的核心步骤。通过建立全面的监测机制，特种油墨项目团队旨在及时发现和理解潜在的风险和危机因素，以便采取及时的预防和应对措施，确保特种油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首先，通过深入的风险评估，特种油墨项目团队全面分析了整个特种油墨项目和各个阶段可能存在的威胁。这包括准确评估每个潜在风险的发生概率和可能影响的程度，为后续危机预警提供了有力支持。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油墨项目团队着重于明确定义特种油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油墨项目进展的持续监控，团队能够及时发现潜在问题并作出迅速反应。特种油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在这一阶段，团队的专业素养和反应速度将发挥至关重要的作用，以确保潜在危机能够在初期得到有效的处理，最大程度地减轻负面影响。通过危机预警与识别，特种油墨项目得以更有序、可控地推进。</w:t>
      </w:r>
    </w:p>
    <w:p>
      <w:pPr>
        <w:pStyle w:val="Heading2"/>
        <w:ind w:firstLine="560" w:firstLineChars="200"/>
        <w:rPr>
          <w:rFonts w:ascii="仿宋" w:eastAsia="仿宋" w:hAnsi="仿宋" w:cs="仿宋" w:hint="eastAsia"/>
          <w:sz w:val="28"/>
          <w:lang w:eastAsia="zh-CN"/>
        </w:rPr>
      </w:pPr>
      <w:bookmarkStart w:id="13" w:name="_Toc661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在危机发生时，特种油墨项目团队立即行动，成立了应急小组。该小组的任务是迅速制定并实施紧急应对措施，以最小化潜在损失。以下是采取的主要措施：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暂停特种油墨项目进度：为遏制危机蔓延，特种油墨项目暂时停止进行，以便全面评估当前状况。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资源重新分配：重新评估特种油墨项目资源的分配，确保最大限度地减小损失。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实时沟通：与关键利益相关者建立实时沟通机制，向他们传递特种油墨项目危机的实际状况，保障特种油墨项目核心利益。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在紧急应对的同时，特种油墨项目团队强调了团队协作和有效沟通的重要性。以下是团队协作的关键举措：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信息共享机制：建立了信息共享平台，确保团队成员能够及时获取特种油墨项目危机的实时信息。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领导者沟通：特种油墨项目领导者通过定期会议和即时沟通工具，指导团队应对危机，保持团队稳定运行。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随着危机得到初步控制，特种油墨项目团队转向制定恢复计划，以确保特种油墨项目能够从中迅速恢复。主要恢复计划包括：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修复受损的进度计划：重新评估特种油墨项目进度，制定修复计划，确保特种油墨项目尽快回归正常进程。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重新调整资源分配：优化资源分配，确保特种油墨项目在有限资源下高效运转。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风险管理机制加强：对特种油墨项目风险进行全面评估，制定更强化的风险管理策略，以预防未来可能的危机。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29"/>
      <w:r>
        <w:rPr>
          <w:rFonts w:ascii="仿宋" w:eastAsia="仿宋" w:hAnsi="仿宋" w:cs="仿宋" w:hint="eastAsia"/>
          <w:sz w:val="28"/>
          <w:lang w:eastAsia="zh-CN"/>
        </w:rPr>
        <w:t>四、特种油墨项目选址可行性分析</w:t>
      </w:r>
      <w:bookmarkEnd w:id="14"/>
    </w:p>
    <w:p>
      <w:pPr>
        <w:pStyle w:val="Heading2"/>
        <w:rPr>
          <w:rFonts w:ascii="仿宋" w:eastAsia="仿宋" w:hAnsi="仿宋" w:cs="仿宋" w:hint="eastAsia"/>
          <w:lang w:eastAsia="zh-CN"/>
        </w:rPr>
      </w:pPr>
      <w:bookmarkStart w:id="15" w:name="_Toc30679"/>
      <w:r>
        <w:rPr>
          <w:rFonts w:ascii="仿宋" w:eastAsia="仿宋" w:hAnsi="仿宋" w:cs="仿宋" w:hint="eastAsia"/>
          <w:lang w:eastAsia="zh-CN"/>
        </w:rPr>
        <w:t>(一)、特种油墨项目选址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该特种油墨项目选址位于XX省XX市XX区XXX街道</w:t>
      </w:r>
    </w:p>
    <w:p>
      <w:pPr>
        <w:pStyle w:val="Heading2"/>
        <w:ind w:firstLine="560" w:firstLineChars="200"/>
        <w:rPr>
          <w:rFonts w:ascii="仿宋" w:eastAsia="仿宋" w:hAnsi="仿宋" w:cs="仿宋" w:hint="eastAsia"/>
          <w:sz w:val="28"/>
          <w:lang w:eastAsia="zh-CN"/>
        </w:rPr>
      </w:pPr>
      <w:bookmarkStart w:id="16" w:name="_Toc507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特种油墨项目的征地面积将根据特种油墨项目的实际规模和需求进行精确规划。具体面积XXX平方米，旨在确保特种油墨项目不仅能够满足当前的发展需求，还能够预留空间以适应未来的扩展。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净用地面积是在征地面积基础上去除不可利用面积后的实际可开发用地。具体面积XXX平方米，考虑到环保、交通、安全等多方面因素，以确保特种油墨项目在整体利用效率上达到最优。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特种油墨项目计划建设的建筑总规模具体面积XXX平方米。这一规模的确定综合考虑了特种油墨项目的性质、规模，以及城市规划的相关要求，确保建筑布局与周边环境协调一致。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绿地率是特种油墨项目用地中被规划为绿地的比例。具体面积XXX平方米，旨在通过合理规划绿地，改善特种油墨项目周边环境，提升居民生活质量，并符合城市整体绿化规划。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容积率是用地上可以建设的建筑总体积与用地面积之比。具体面积XXX，通过合理的容积率规划，确保特种油墨项目建筑规模与周边环境和谐共生。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确保特种油墨项目选址与当地城市规划相一致，具体面积XXX平方米。通过与城市规划部门深入沟通，确保特种油墨项目不仅符合城市的整体发展方向，还能够融入城市的发展布局，为城市的长远发展贡献力量。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油墨项目选址符合当地产业政策，具体面积XXX平方米。这包括特种油墨项目对当地经济的促进作用，以及对相关产业的带动效应，确保特种油墨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用地总体要求必须符合环保和可持续发展的原则，具体面积XXX平方米。通过采用绿色建筑设计、节能减排等措施，确保特种油墨项目在建设和运营过程中对环境的影响最小化，达到可持续发展的要求。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确保特种油墨项目选址具备必要的公共设施配套，具体面积XXX平方米。这包括交通便利性、教育、医疗等基础设施，以提高居民生活品质，使得特种油墨项目选址更具吸引力。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考虑用地总体要求对当地社会稳定性的影响，具体面积XXX平方米。通过深入了解当地社区反馈，确保特种油墨项目的选址和建设过程对当地社会和谐稳定产生积极作用。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油墨项目选址不仅符合法规和规划，还在实际操作中具有可行性。这一全面规划将为特种油墨项目的成功实施提供坚实的基础，确保特种油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807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油墨项目的设备规划和空间设计中，我们将采取灵活设备布局的措施。设备布局将根据实际需求进行灵活设计，避免不必要的浪费。通过合理规划设备摆放位置，我们将提高设备的利用率，减少设备间距，以确保特种油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油墨项目内部引入共享设施的概念，例如共享会议室、办公区等。通过这种方式，我们可以减少对资源的重复建设，提高资源共享效率，从而减小特种油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426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特种油墨项目的总图布置中，我们将不同功能区域进行明确的规划，以最大程度满足特种油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025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https://d.book118.com/738020004122006024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F7A55"/>
    <w:rsid w:val="017F7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2000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2024-01-09T00:52:00Z</dcterms:created>
  <dcterms:modified xsi:type="dcterms:W3CDTF">2024-01-09T00:52:44Z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D1BF753B5F4F44B0920A576AAF01D31B_11</vt:lpwstr>
  </property>
  <property fmtid="{D5CDD505-2E9C-101B-9397-08002B2CF9AE}" pid="3" name="KSOProductBuildVer">
    <vt:lpwstr>2052-12.1.0.16120</vt:lpwstr>
  </property>
</Properties>
</file>