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26"/>
        </w:rPr>
      </w:pPr>
    </w:p>
    <w:p>
      <w:pPr>
        <w:pStyle w:val="Title"/>
      </w:pPr>
      <w:r>
        <w:rPr>
          <w:w w:val="95"/>
        </w:rPr>
        <w:t>成都财宝中心工程可行性争论报告</w:t>
      </w:r>
    </w:p>
    <w:p>
      <w:pPr>
        <w:pStyle w:val="BodyText"/>
        <w:rPr>
          <w:b/>
          <w:sz w:val="48"/>
        </w:rPr>
      </w:pPr>
    </w:p>
    <w:p>
      <w:pPr>
        <w:pStyle w:val="BodyText"/>
        <w:spacing w:before="3"/>
        <w:rPr>
          <w:b/>
          <w:sz w:val="48"/>
        </w:rPr>
      </w:pPr>
    </w:p>
    <w:p>
      <w:pPr>
        <w:pStyle w:val="Heading1"/>
        <w:tabs>
          <w:tab w:val="left" w:pos="2113"/>
        </w:tabs>
        <w:ind w:left="0" w:right="695"/>
        <w:jc w:val="center"/>
      </w:pPr>
      <w:r>
        <w:t>第一章</w:t>
        <w:tab/>
      </w:r>
      <w:r>
        <w:rPr>
          <w:w w:val="95"/>
        </w:rPr>
        <w:t>工程总论</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spacing w:before="208"/>
        <w:ind w:left="657" w:right="0" w:firstLine="0"/>
        <w:jc w:val="left"/>
        <w:rPr>
          <w:b/>
          <w:sz w:val="42"/>
        </w:rPr>
      </w:pPr>
      <w:r>
        <w:rPr>
          <w:b/>
          <w:w w:val="95"/>
          <w:sz w:val="42"/>
        </w:rPr>
        <w:t>一、工程名称</w:t>
      </w:r>
    </w:p>
    <w:p>
      <w:pPr>
        <w:pStyle w:val="BodyText"/>
        <w:spacing w:before="3"/>
        <w:rPr>
          <w:b/>
          <w:sz w:val="48"/>
        </w:rPr>
      </w:pPr>
    </w:p>
    <w:p>
      <w:pPr>
        <w:pStyle w:val="BodyText"/>
        <w:ind w:left="1496"/>
      </w:pPr>
      <w:r>
        <w:t>成都财宝中心</w:t>
      </w:r>
    </w:p>
    <w:p>
      <w:pPr>
        <w:pStyle w:val="BodyText"/>
      </w:pPr>
    </w:p>
    <w:p>
      <w:pPr>
        <w:pStyle w:val="BodyText"/>
      </w:pPr>
    </w:p>
    <w:p>
      <w:pPr>
        <w:pStyle w:val="BodyText"/>
        <w:spacing w:before="2"/>
        <w:rPr>
          <w:sz w:val="32"/>
        </w:rPr>
      </w:pPr>
    </w:p>
    <w:p>
      <w:pPr>
        <w:pStyle w:val="Heading1"/>
        <w:spacing w:before="1"/>
      </w:pPr>
      <w:r>
        <w:rPr>
          <w:w w:val="95"/>
        </w:rPr>
        <w:t>二、建设地点</w:t>
      </w:r>
    </w:p>
    <w:p>
      <w:pPr>
        <w:pStyle w:val="BodyText"/>
        <w:spacing w:before="333"/>
        <w:ind w:left="1496"/>
      </w:pPr>
      <w:r>
        <w:rPr>
          <w:spacing w:val="-21"/>
        </w:rPr>
        <w:t>成都市锦江区青石桥片区内，处于大业路、朝阳路及青石桥路交汇处。</w:t>
      </w:r>
    </w:p>
    <w:p>
      <w:pPr>
        <w:pStyle w:val="BodyText"/>
      </w:pPr>
    </w:p>
    <w:p>
      <w:pPr>
        <w:pStyle w:val="BodyText"/>
        <w:spacing w:before="9"/>
        <w:rPr>
          <w:sz w:val="51"/>
        </w:rPr>
      </w:pPr>
    </w:p>
    <w:p>
      <w:pPr>
        <w:pStyle w:val="Heading1"/>
      </w:pPr>
      <w:r>
        <w:rPr>
          <w:w w:val="95"/>
        </w:rPr>
        <w:t>三、工程开发性质</w:t>
      </w:r>
    </w:p>
    <w:p>
      <w:pPr>
        <w:pStyle w:val="BodyText"/>
        <w:spacing w:before="333"/>
        <w:ind w:left="1496"/>
      </w:pPr>
      <w:r>
        <w:t>商业、住宅、办公综合性物业。</w:t>
      </w:r>
    </w:p>
    <w:p>
      <w:pPr>
        <w:pStyle w:val="BodyText"/>
      </w:pPr>
    </w:p>
    <w:p>
      <w:pPr>
        <w:pStyle w:val="BodyText"/>
        <w:spacing w:before="9"/>
        <w:rPr>
          <w:sz w:val="51"/>
        </w:rPr>
      </w:pPr>
    </w:p>
    <w:p>
      <w:pPr>
        <w:pStyle w:val="Heading1"/>
      </w:pPr>
      <w:r>
        <w:rPr>
          <w:w w:val="95"/>
        </w:rPr>
        <w:t>四、工程法人状况</w:t>
      </w:r>
    </w:p>
    <w:p>
      <w:pPr>
        <w:pStyle w:val="BodyText"/>
        <w:spacing w:before="334" w:line="388" w:lineRule="auto"/>
        <w:ind w:left="657" w:right="1559" w:firstLine="845"/>
      </w:pPr>
      <w:r>
        <w:t>本工程由成都市联华房地产开发及成都汉高实业进展有限责任公司联合开发建设</w:t>
      </w:r>
    </w:p>
    <w:p>
      <w:pPr>
        <w:pStyle w:val="BodyText"/>
      </w:pPr>
    </w:p>
    <w:p>
      <w:pPr>
        <w:pStyle w:val="BodyText"/>
        <w:spacing w:before="329" w:line="388" w:lineRule="auto"/>
        <w:ind w:left="1463" w:right="7459" w:hanging="807"/>
      </w:pPr>
      <w:r>
        <w:t>〔一〕成都市联华房地产开发1、法人代表：吴军</w:t>
      </w:r>
    </w:p>
    <w:p>
      <w:pPr>
        <w:pStyle w:val="BodyText"/>
        <w:spacing w:line="533" w:lineRule="exact"/>
        <w:ind w:left="1463"/>
      </w:pPr>
      <w:r>
        <w:t>2</w:t>
      </w:r>
      <w:r>
        <w:rPr>
          <w:spacing w:val="-7"/>
        </w:rPr>
        <w:t xml:space="preserve">、法定地址：成都市二环路东一段桃蹊路 </w:t>
      </w:r>
      <w:r>
        <w:t>68</w:t>
      </w:r>
      <w:r>
        <w:rPr>
          <w:spacing w:val="-51"/>
        </w:rPr>
        <w:t xml:space="preserve"> 号</w:t>
      </w:r>
    </w:p>
    <w:p>
      <w:pPr>
        <w:pStyle w:val="BodyText"/>
        <w:spacing w:before="333"/>
        <w:ind w:left="1463"/>
      </w:pPr>
      <w:r>
        <w:t>3、注册资本：2023</w:t>
      </w:r>
      <w:r>
        <w:rPr>
          <w:spacing w:val="-20"/>
        </w:rPr>
        <w:t xml:space="preserve"> 万元人民币</w:t>
      </w:r>
    </w:p>
    <w:p>
      <w:pPr>
        <w:pStyle w:val="BodyText"/>
        <w:spacing w:before="333"/>
        <w:ind w:left="1463"/>
      </w:pPr>
      <w:r>
        <w:t>4、经营范围：房地产开发</w:t>
      </w:r>
    </w:p>
    <w:p>
      <w:pPr>
        <w:spacing w:after="0"/>
        <w:sectPr>
          <w:headerReference w:type="default" r:id="rId4"/>
          <w:footerReference w:type="default" r:id="rId5"/>
          <w:type w:val="continuous"/>
          <w:pgSz w:w="17860" w:h="25260"/>
          <w:pgMar w:top="1520" w:right="940" w:bottom="1740" w:left="1640" w:header="1037" w:footer="1549"/>
          <w:pgNumType w:start="1"/>
          <w:cols w:space="708"/>
        </w:sectPr>
      </w:pPr>
    </w:p>
    <w:p>
      <w:pPr>
        <w:pStyle w:val="BodyText"/>
        <w:spacing w:before="5"/>
        <w:rPr>
          <w:sz w:val="17"/>
        </w:rPr>
      </w:pPr>
    </w:p>
    <w:p>
      <w:pPr>
        <w:pStyle w:val="BodyText"/>
        <w:spacing w:before="42" w:line="388" w:lineRule="auto"/>
        <w:ind w:left="657" w:right="1307" w:firstLine="806"/>
        <w:jc w:val="both"/>
      </w:pPr>
      <w:r>
        <w:t>5、公司概况：成都联华房地产开发经成都市建设治理委员会成建委发[1995</w:t>
      </w:r>
      <w:r>
        <w:rPr>
          <w:spacing w:val="-21"/>
        </w:rPr>
        <w:t xml:space="preserve">]房字表 </w:t>
      </w:r>
      <w:r>
        <w:t>9</w:t>
      </w:r>
      <w:r>
        <w:rPr>
          <w:spacing w:val="-29"/>
        </w:rPr>
        <w:t xml:space="preserve"> 号文件批准于 </w:t>
      </w:r>
      <w:r>
        <w:t>1995</w:t>
      </w:r>
      <w:r>
        <w:rPr>
          <w:spacing w:val="-71"/>
        </w:rPr>
        <w:t xml:space="preserve"> 年 </w:t>
      </w:r>
      <w:r>
        <w:t>3</w:t>
      </w:r>
      <w:r>
        <w:rPr>
          <w:spacing w:val="-69"/>
        </w:rPr>
        <w:t xml:space="preserve"> 月 </w:t>
      </w:r>
      <w:r>
        <w:t>20</w:t>
      </w:r>
      <w:r>
        <w:rPr>
          <w:spacing w:val="-37"/>
        </w:rPr>
        <w:t xml:space="preserve"> 日成立，具有开</w:t>
      </w:r>
      <w:r>
        <w:rPr>
          <w:spacing w:val="-13"/>
        </w:rPr>
        <w:t>发大型房地产工程的开发资质。公司成立之初就担当了“水碾河磨子村小</w:t>
      </w:r>
      <w:r>
        <w:rPr>
          <w:spacing w:val="-105"/>
          <w:w w:val="100"/>
        </w:rPr>
        <w:t>区”</w:t>
      </w:r>
      <w:r>
        <w:rPr>
          <w:w w:val="100"/>
        </w:rPr>
        <w:t>〔总建筑面积</w:t>
      </w:r>
      <w:r>
        <w:rPr>
          <w:spacing w:val="-95"/>
        </w:rPr>
        <w:t xml:space="preserve"> </w:t>
      </w:r>
      <w:r>
        <w:rPr>
          <w:w w:val="100"/>
        </w:rPr>
        <w:t>2</w:t>
      </w:r>
      <w:r>
        <w:rPr>
          <w:spacing w:val="-89"/>
        </w:rPr>
        <w:t xml:space="preserve"> </w:t>
      </w:r>
      <w:r>
        <w:rPr>
          <w:w w:val="100"/>
        </w:rPr>
        <w:t>万多平米〕旧城改造工程、成都市重点安置小区“联</w:t>
      </w:r>
      <w:r>
        <w:rPr>
          <w:spacing w:val="-54"/>
          <w:w w:val="100"/>
        </w:rPr>
        <w:t>合小区”</w:t>
      </w:r>
      <w:r>
        <w:rPr>
          <w:spacing w:val="-4"/>
          <w:w w:val="100"/>
        </w:rPr>
        <w:t>〔</w:t>
      </w:r>
      <w:r>
        <w:rPr>
          <w:w w:val="100"/>
        </w:rPr>
        <w:t>4</w:t>
      </w:r>
      <w:r>
        <w:rPr>
          <w:spacing w:val="-93"/>
        </w:rPr>
        <w:t xml:space="preserve"> </w:t>
      </w:r>
      <w:r>
        <w:rPr>
          <w:w w:val="100"/>
        </w:rPr>
        <w:t>万多平米〕</w:t>
      </w:r>
      <w:r>
        <w:rPr>
          <w:spacing w:val="-2"/>
          <w:w w:val="100"/>
        </w:rPr>
        <w:t>与成华区重点道路扩建工程等，</w:t>
      </w:r>
      <w:r>
        <w:rPr>
          <w:w w:val="100"/>
        </w:rPr>
        <w:t>98</w:t>
      </w:r>
      <w:r>
        <w:rPr>
          <w:spacing w:val="-99"/>
        </w:rPr>
        <w:t xml:space="preserve"> </w:t>
      </w:r>
      <w:r>
        <w:rPr>
          <w:w w:val="100"/>
        </w:rPr>
        <w:t>年</w:t>
      </w:r>
      <w:r>
        <w:rPr>
          <w:spacing w:val="-98"/>
        </w:rPr>
        <w:t xml:space="preserve"> </w:t>
      </w:r>
      <w:r>
        <w:rPr>
          <w:w w:val="100"/>
        </w:rPr>
        <w:t>8</w:t>
      </w:r>
      <w:r>
        <w:rPr>
          <w:spacing w:val="-93"/>
        </w:rPr>
        <w:t xml:space="preserve"> </w:t>
      </w:r>
      <w:r>
        <w:rPr>
          <w:w w:val="100"/>
        </w:rPr>
        <w:t>月公司成功</w:t>
      </w:r>
      <w:r>
        <w:rPr>
          <w:spacing w:val="-12"/>
        </w:rPr>
        <w:t xml:space="preserve">开发了八里小区 </w:t>
      </w:r>
      <w:r>
        <w:t>3.3</w:t>
      </w:r>
      <w:r>
        <w:rPr>
          <w:spacing w:val="-11"/>
        </w:rPr>
        <w:t xml:space="preserve"> 万平米的首个电梯公寓，</w:t>
      </w:r>
      <w:r>
        <w:t>6</w:t>
      </w:r>
      <w:r>
        <w:rPr>
          <w:spacing w:val="-29"/>
        </w:rPr>
        <w:t xml:space="preserve"> 个月取得了 </w:t>
      </w:r>
      <w:r>
        <w:t>100％的销</w:t>
      </w:r>
      <w:r>
        <w:rPr>
          <w:spacing w:val="-2"/>
        </w:rPr>
        <w:t>售业绩。2023</w:t>
      </w:r>
      <w:r>
        <w:rPr>
          <w:spacing w:val="-12"/>
        </w:rPr>
        <w:t xml:space="preserve"> 年公司又在武侯区小天路开发了米兰.风度工程</w:t>
      </w:r>
      <w:r>
        <w:rPr>
          <w:spacing w:val="-1"/>
        </w:rPr>
        <w:t>〔总建筑面</w:t>
      </w:r>
      <w:r>
        <w:rPr>
          <w:w w:val="100"/>
        </w:rPr>
        <w:t>积</w:t>
      </w:r>
      <w:r>
        <w:rPr>
          <w:spacing w:val="-106"/>
        </w:rPr>
        <w:t xml:space="preserve"> </w:t>
      </w:r>
      <w:r>
        <w:rPr>
          <w:w w:val="100"/>
        </w:rPr>
        <w:t>1.6</w:t>
      </w:r>
      <w:r>
        <w:rPr>
          <w:spacing w:val="-104"/>
        </w:rPr>
        <w:t xml:space="preserve"> </w:t>
      </w:r>
      <w:r>
        <w:rPr>
          <w:w w:val="100"/>
        </w:rPr>
        <w:t>万平米</w:t>
      </w:r>
      <w:r>
        <w:rPr>
          <w:spacing w:val="-217"/>
          <w:w w:val="100"/>
        </w:rPr>
        <w:t>〕</w:t>
      </w:r>
      <w:r>
        <w:rPr>
          <w:w w:val="100"/>
        </w:rPr>
        <w:t>，3</w:t>
      </w:r>
      <w:r>
        <w:rPr>
          <w:spacing w:val="-107"/>
        </w:rPr>
        <w:t xml:space="preserve"> </w:t>
      </w:r>
      <w:r>
        <w:rPr>
          <w:w w:val="100"/>
        </w:rPr>
        <w:t>个月内完成工程销售。</w:t>
      </w:r>
    </w:p>
    <w:p>
      <w:pPr>
        <w:pStyle w:val="BodyText"/>
      </w:pPr>
    </w:p>
    <w:p>
      <w:pPr>
        <w:pStyle w:val="BodyText"/>
        <w:spacing w:before="319" w:line="388" w:lineRule="auto"/>
        <w:ind w:left="1463" w:right="8303" w:hanging="807"/>
      </w:pPr>
      <w:r>
        <w:t>〔二〕成都东云实业有限责任公司1、法人代表：程云磊</w:t>
      </w:r>
    </w:p>
    <w:p>
      <w:pPr>
        <w:pStyle w:val="BodyText"/>
        <w:spacing w:line="537" w:lineRule="exact"/>
        <w:ind w:left="1463"/>
      </w:pPr>
      <w:r>
        <w:t>2</w:t>
      </w:r>
      <w:r>
        <w:rPr>
          <w:spacing w:val="-8"/>
        </w:rPr>
        <w:t xml:space="preserve">、法定地址：成都市锦江区大慈寺路 </w:t>
      </w:r>
      <w:r>
        <w:t>17</w:t>
      </w:r>
      <w:r>
        <w:rPr>
          <w:spacing w:val="-51"/>
        </w:rPr>
        <w:t xml:space="preserve"> 号</w:t>
      </w:r>
    </w:p>
    <w:p>
      <w:pPr>
        <w:pStyle w:val="BodyText"/>
        <w:spacing w:before="330"/>
        <w:ind w:left="1463"/>
      </w:pPr>
      <w:r>
        <w:t>3、注册资本：1600</w:t>
      </w:r>
      <w:r>
        <w:rPr>
          <w:spacing w:val="-20"/>
        </w:rPr>
        <w:t xml:space="preserve"> 万元人民币</w:t>
      </w:r>
    </w:p>
    <w:p>
      <w:pPr>
        <w:pStyle w:val="BodyText"/>
        <w:spacing w:before="333"/>
        <w:ind w:left="1463"/>
      </w:pPr>
      <w:r>
        <w:t>4、经营范围：房地产开发</w:t>
      </w:r>
    </w:p>
    <w:p>
      <w:pPr>
        <w:pStyle w:val="BodyText"/>
        <w:spacing w:before="333" w:line="386" w:lineRule="auto"/>
        <w:ind w:left="657" w:right="1334" w:firstLine="806"/>
      </w:pPr>
      <w:r>
        <w:t>5</w:t>
      </w:r>
      <w:r>
        <w:rPr>
          <w:spacing w:val="-10"/>
        </w:rPr>
        <w:t xml:space="preserve">、公司是由省展览管于 </w:t>
      </w:r>
      <w:r>
        <w:t>2023</w:t>
      </w:r>
      <w:r>
        <w:rPr>
          <w:spacing w:val="-62"/>
        </w:rPr>
        <w:t xml:space="preserve"> 年 </w:t>
      </w:r>
      <w:r>
        <w:t>6</w:t>
      </w:r>
      <w:r>
        <w:rPr>
          <w:spacing w:val="-61"/>
        </w:rPr>
        <w:t xml:space="preserve"> 月 </w:t>
      </w:r>
      <w:r>
        <w:t>19</w:t>
      </w:r>
      <w:r>
        <w:rPr>
          <w:spacing w:val="-11"/>
        </w:rPr>
        <w:t xml:space="preserve"> 日发起设立特地开发建设该</w:t>
      </w:r>
      <w:r>
        <w:t>地块的公司。两公司通过联营形式对该工程进展整体规划、联合开发。</w:t>
      </w:r>
    </w:p>
    <w:p>
      <w:pPr>
        <w:pStyle w:val="BodyText"/>
      </w:pPr>
    </w:p>
    <w:p>
      <w:pPr>
        <w:pStyle w:val="BodyText"/>
        <w:spacing w:before="339"/>
        <w:ind w:left="657"/>
      </w:pPr>
      <w:r>
        <w:t>〔三〕投资商介绍</w:t>
      </w:r>
    </w:p>
    <w:p>
      <w:pPr>
        <w:pStyle w:val="BodyText"/>
        <w:spacing w:before="330"/>
        <w:ind w:left="1737"/>
      </w:pPr>
      <w:r>
        <w:t>1</w:t>
      </w:r>
      <w:r>
        <w:rPr>
          <w:spacing w:val="-6"/>
        </w:rPr>
        <w:t>、 投资商：成都汉高实业进展有限责任公司</w:t>
      </w:r>
    </w:p>
    <w:p>
      <w:pPr>
        <w:pStyle w:val="BodyText"/>
        <w:spacing w:before="334"/>
        <w:ind w:left="1737"/>
      </w:pPr>
      <w:r>
        <w:t>2</w:t>
      </w:r>
      <w:r>
        <w:rPr>
          <w:spacing w:val="-6"/>
        </w:rPr>
        <w:t>、 法定代表：杨燕</w:t>
      </w:r>
    </w:p>
    <w:p>
      <w:pPr>
        <w:pStyle w:val="BodyText"/>
        <w:spacing w:before="333"/>
        <w:ind w:left="1737"/>
      </w:pPr>
      <w:r>
        <w:t>3</w:t>
      </w:r>
      <w:r>
        <w:rPr>
          <w:spacing w:val="-13"/>
        </w:rPr>
        <w:t xml:space="preserve">、 法定地址：成都市锦江区开街 </w:t>
      </w:r>
      <w:r>
        <w:t>15</w:t>
      </w:r>
      <w:r>
        <w:rPr>
          <w:spacing w:val="-52"/>
        </w:rPr>
        <w:t xml:space="preserve"> 号</w:t>
      </w:r>
    </w:p>
    <w:p>
      <w:pPr>
        <w:pStyle w:val="BodyText"/>
        <w:spacing w:before="330"/>
        <w:ind w:left="1737"/>
      </w:pPr>
      <w:r>
        <w:t>4</w:t>
      </w:r>
      <w:r>
        <w:rPr>
          <w:spacing w:val="-6"/>
        </w:rPr>
        <w:t>、 注册资本：</w:t>
      </w:r>
      <w:r>
        <w:t>300</w:t>
      </w:r>
      <w:r>
        <w:rPr>
          <w:spacing w:val="-27"/>
        </w:rPr>
        <w:t xml:space="preserve"> 万美元</w:t>
      </w:r>
    </w:p>
    <w:p>
      <w:pPr>
        <w:pStyle w:val="BodyText"/>
        <w:spacing w:before="333" w:line="388" w:lineRule="auto"/>
        <w:ind w:left="1737" w:right="1325"/>
      </w:pPr>
      <w:r>
        <w:t>5</w:t>
      </w:r>
      <w:r>
        <w:rPr>
          <w:spacing w:val="-16"/>
        </w:rPr>
        <w:t>、公司介绍：成都汉高实业进展有限责任公司是一家拥有雄厚资金</w:t>
      </w:r>
      <w:r>
        <w:t>实力和先进治理阅历的大型合资企业。</w:t>
      </w:r>
    </w:p>
    <w:p>
      <w:pPr>
        <w:spacing w:after="0" w:line="388"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https://d.book118.com/738035051110006022</w:t>
        </w:r>
      </w:hyperlink>
    </w:p>
    <w:p>
      <w:pPr>
        <w:spacing w:after="0" w:line="388" w:lineRule="auto"/>
      </w:pPr>
    </w:p>
    <w:sectPr>
      <w:headerReference w:type="default" r:id="rId7"/>
      <w:footerReference w:type="default" r:id="rId8"/>
      <w:pgSz w:w="17860" w:h="25260"/>
      <w:pgMar w:top="1520" w:right="940" w:bottom="1740" w:left="1640" w:header="1037" w:footer="1549"/>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Narrow">
    <w:altName w:val="Arial Narrow"/>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6121400</wp:posOffset>
          </wp:positionH>
          <wp:positionV relativeFrom="page">
            <wp:posOffset>14928088</wp:posOffset>
          </wp:positionV>
          <wp:extent cx="37592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 cstate="print"/>
                  <a:stretch>
                    <a:fillRect/>
                  </a:stretch>
                </pic:blipFill>
                <pic:spPr>
                  <a:xfrm>
                    <a:off x="0" y="0"/>
                    <a:ext cx="3759200" cy="38100"/>
                  </a:xfrm>
                  <a:prstGeom prst="rect">
                    <a:avLst/>
                  </a:prstGeom>
                </pic:spPr>
              </pic:pic>
            </a:graphicData>
          </a:graphic>
        </wp:anchor>
      </w:drawing>
    </w:r>
    <w:r>
      <w:pict>
        <v:line id="_x0000_s2050" style="mso-position-horizontal-relative:page;mso-position-vertical-relative:page;position:absolute;z-index:-251657216" from="119pt,1176.45pt" to="415pt,1176.45pt" stroked="t" strokecolor="black" strokeweight="2pt">
          <v:stroke dashstyle="longDash"/>
        </v:line>
      </w:pict>
    </w:r>
    <w:r>
      <w:pict>
        <v:shapetype id="_x0000_t202" coordsize="21600,21600" o:spt="202" path="m,l,21600r21600,l21600,xe">
          <v:stroke joinstyle="miter"/>
          <v:path gradientshapeok="t" o:connecttype="rect"/>
        </v:shapetype>
        <v:shape id="_x0000_s2051" type="#_x0000_t202" style="width:59pt;height:22.55pt;margin-top:1174.06pt;margin-left:418.48pt;mso-position-horizontal-relative:page;mso-position-vertical-relative:page;position:absolute;z-index:-251656192" filled="f" stroked="f">
          <v:textbox inset="0,0,0,0">
            <w:txbxContent>
              <w:p>
                <w:pPr>
                  <w:spacing w:before="20" w:line="431" w:lineRule="exact"/>
                  <w:ind w:left="20" w:right="0" w:firstLine="0"/>
                  <w:jc w:val="left"/>
                  <w:rPr>
                    <w:sz w:val="36"/>
                  </w:rPr>
                </w:pPr>
                <w:r>
                  <w:rPr>
                    <w:w w:val="105"/>
                    <w:sz w:val="36"/>
                  </w:rPr>
                  <w:t>第</w:t>
                </w:r>
                <w:r>
                  <w:fldChar w:fldCharType="begin"/>
                </w:r>
                <w:r>
                  <w:rPr>
                    <w:rFonts w:ascii="Arial Narrow" w:eastAsia="Arial Narrow"/>
                    <w:w w:val="105"/>
                    <w:sz w:val="36"/>
                  </w:rPr>
                  <w:instrText xml:space="preserve">  </w:instrText>
                </w:r>
                <w:r>
                  <w:fldChar w:fldCharType="separate"/>
                </w:r>
                <w:r>
                  <w:t>10</w:t>
                </w:r>
                <w:r>
                  <w:fldChar w:fldCharType="end"/>
                </w:r>
                <w:r>
                  <w:rPr>
                    <w:w w:val="105"/>
                    <w:sz w:val="36"/>
                  </w:rPr>
                  <w:t>页</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6121400</wp:posOffset>
          </wp:positionH>
          <wp:positionV relativeFrom="page">
            <wp:posOffset>14928088</wp:posOffset>
          </wp:positionV>
          <wp:extent cx="3759200" cy="38100"/>
          <wp:effectExtent l="0" t="0" r="0" b="0"/>
          <wp:wrapNone/>
          <wp:docPr id="21311833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183325" name="image2.png"/>
                  <pic:cNvPicPr/>
                </pic:nvPicPr>
                <pic:blipFill>
                  <a:blip xmlns:r="http://schemas.openxmlformats.org/officeDocument/2006/relationships" r:embed="rId1" cstate="print"/>
                  <a:stretch>
                    <a:fillRect/>
                  </a:stretch>
                </pic:blipFill>
                <pic:spPr>
                  <a:xfrm>
                    <a:off x="0" y="0"/>
                    <a:ext cx="3759200" cy="38100"/>
                  </a:xfrm>
                  <a:prstGeom prst="rect">
                    <a:avLst/>
                  </a:prstGeom>
                </pic:spPr>
              </pic:pic>
            </a:graphicData>
          </a:graphic>
        </wp:anchor>
      </w:drawing>
    </w:r>
    <w:r>
      <w:pict>
        <v:line id="_x0000_s2053" style="mso-position-horizontal-relative:page;mso-position-vertical-relative:page;position:absolute;z-index:-251654144" from="119pt,1176.45pt" to="415pt,1176.45pt" stroked="t" strokecolor="black" strokeweight="2pt">
          <v:stroke dashstyle="longDash"/>
        </v:line>
      </w:pict>
    </w:r>
    <w:r>
      <w:pict>
        <v:shapetype id="_x0000_t202" coordsize="21600,21600" o:spt="202" path="m,l,21600r21600,l21600,xe">
          <v:stroke joinstyle="miter"/>
          <v:path gradientshapeok="t" o:connecttype="rect"/>
        </v:shapetype>
        <v:shape id="_x0000_s2054" type="#_x0000_t202" style="width:59pt;height:22.55pt;margin-top:1174.06pt;margin-left:418.48pt;mso-position-horizontal-relative:page;mso-position-vertical-relative:page;position:absolute;z-index:-251653120" filled="f" stroked="f">
          <v:textbox inset="0,0,0,0">
            <w:txbxContent>
              <w:p>
                <w:pPr>
                  <w:spacing w:before="20" w:line="431" w:lineRule="exact"/>
                  <w:ind w:left="20" w:right="0" w:firstLine="0"/>
                  <w:jc w:val="left"/>
                  <w:rPr>
                    <w:sz w:val="36"/>
                  </w:rPr>
                </w:pPr>
                <w:r>
                  <w:rPr>
                    <w:w w:val="105"/>
                    <w:sz w:val="36"/>
                  </w:rPr>
                  <w:t>第</w:t>
                </w:r>
                <w:r>
                  <w:fldChar w:fldCharType="begin"/>
                </w:r>
                <w:r>
                  <w:rPr>
                    <w:rFonts w:ascii="Arial Narrow" w:eastAsia="Arial Narrow"/>
                    <w:w w:val="105"/>
                    <w:sz w:val="36"/>
                  </w:rPr>
                  <w:instrText xml:space="preserve">  </w:instrText>
                </w:r>
                <w:r>
                  <w:fldChar w:fldCharType="separate"/>
                </w:r>
                <w:r>
                  <w:t>10</w:t>
                </w:r>
                <w:r>
                  <w:fldChar w:fldCharType="end"/>
                </w:r>
                <w:r>
                  <w:rPr>
                    <w:w w:val="105"/>
                    <w:sz w:val="36"/>
                  </w:rPr>
                  <w:t>页</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1422400</wp:posOffset>
          </wp:positionH>
          <wp:positionV relativeFrom="page">
            <wp:posOffset>927100</wp:posOffset>
          </wp:positionV>
          <wp:extent cx="8509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272pt;height:20pt;margin-top:50.85pt;margin-left:506.17pt;mso-position-horizontal-relative:page;mso-position-vertical-relative:page;position:absolute;z-index:-251657216" filled="f" stroked="f">
          <v:textbox inset="0,0,0,0">
            <w:txbxContent>
              <w:p>
                <w:pPr>
                  <w:spacing w:before="0" w:line="400" w:lineRule="exact"/>
                  <w:ind w:left="20" w:right="0" w:firstLine="0"/>
                  <w:jc w:val="left"/>
                  <w:rPr>
                    <w:rFonts w:ascii="幼圆" w:eastAsia="幼圆" w:hint="eastAsia"/>
                    <w:b/>
                    <w:sz w:val="36"/>
                  </w:rPr>
                </w:pPr>
                <w:r>
                  <w:rPr>
                    <w:rFonts w:ascii="幼圆" w:eastAsia="幼圆" w:hint="eastAsia"/>
                    <w:b/>
                    <w:w w:val="95"/>
                    <w:sz w:val="36"/>
                  </w:rPr>
                  <w:t>成都财宝中心工程可行性分析报告</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1422400</wp:posOffset>
          </wp:positionH>
          <wp:positionV relativeFrom="page">
            <wp:posOffset>927100</wp:posOffset>
          </wp:positionV>
          <wp:extent cx="8509000" cy="38100"/>
          <wp:effectExtent l="0" t="0" r="0" b="0"/>
          <wp:wrapNone/>
          <wp:docPr id="15483252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325289"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272pt;height:20pt;margin-top:50.85pt;margin-left:506.17pt;mso-position-horizontal-relative:page;mso-position-vertical-relative:page;position:absolute;z-index:-251655168" filled="f" stroked="f">
          <v:textbox inset="0,0,0,0">
            <w:txbxContent>
              <w:p>
                <w:pPr>
                  <w:spacing w:before="0" w:line="400" w:lineRule="exact"/>
                  <w:ind w:left="20" w:right="0" w:firstLine="0"/>
                  <w:jc w:val="left"/>
                  <w:rPr>
                    <w:rFonts w:ascii="幼圆" w:eastAsia="幼圆" w:hint="eastAsia"/>
                    <w:b/>
                    <w:sz w:val="36"/>
                  </w:rPr>
                </w:pPr>
                <w:r>
                  <w:rPr>
                    <w:rFonts w:ascii="幼圆" w:eastAsia="幼圆" w:hint="eastAsia"/>
                    <w:b/>
                    <w:w w:val="95"/>
                    <w:sz w:val="36"/>
                  </w:rPr>
                  <w:t>成都财宝中心工程可行性分析报告</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33171B"/>
    <w:multiLevelType w:val="hybridMultilevel"/>
    <w:tmpl w:val="00000000"/>
    <w:lvl w:ilvl="0">
      <w:start w:val="1"/>
      <w:numFmt w:val="decimal"/>
      <w:lvlText w:val="（%1）"/>
      <w:lvlJc w:val="left"/>
      <w:pPr>
        <w:ind w:left="1713" w:hanging="1056"/>
        <w:jc w:val="left"/>
      </w:pPr>
      <w:rPr>
        <w:rFonts w:ascii="宋体" w:eastAsia="宋体" w:hAnsi="宋体" w:cs="宋体" w:hint="default"/>
        <w:spacing w:val="-1"/>
        <w:w w:val="100"/>
        <w:sz w:val="40"/>
        <w:szCs w:val="40"/>
      </w:rPr>
    </w:lvl>
    <w:lvl w:ilvl="1">
      <w:start w:val="0"/>
      <w:numFmt w:val="bullet"/>
      <w:lvlText w:val="•"/>
      <w:lvlJc w:val="left"/>
      <w:pPr>
        <w:ind w:left="3075" w:hanging="1056"/>
      </w:pPr>
      <w:rPr>
        <w:rFonts w:hint="default"/>
      </w:rPr>
    </w:lvl>
    <w:lvl w:ilvl="2">
      <w:start w:val="0"/>
      <w:numFmt w:val="bullet"/>
      <w:lvlText w:val="•"/>
      <w:lvlJc w:val="left"/>
      <w:pPr>
        <w:ind w:left="4431" w:hanging="1056"/>
      </w:pPr>
      <w:rPr>
        <w:rFonts w:hint="default"/>
      </w:rPr>
    </w:lvl>
    <w:lvl w:ilvl="3">
      <w:start w:val="0"/>
      <w:numFmt w:val="bullet"/>
      <w:lvlText w:val="•"/>
      <w:lvlJc w:val="left"/>
      <w:pPr>
        <w:ind w:left="5787" w:hanging="1056"/>
      </w:pPr>
      <w:rPr>
        <w:rFonts w:hint="default"/>
      </w:rPr>
    </w:lvl>
    <w:lvl w:ilvl="4">
      <w:start w:val="0"/>
      <w:numFmt w:val="bullet"/>
      <w:lvlText w:val="•"/>
      <w:lvlJc w:val="left"/>
      <w:pPr>
        <w:ind w:left="7143" w:hanging="1056"/>
      </w:pPr>
      <w:rPr>
        <w:rFonts w:hint="default"/>
      </w:rPr>
    </w:lvl>
    <w:lvl w:ilvl="5">
      <w:start w:val="0"/>
      <w:numFmt w:val="bullet"/>
      <w:lvlText w:val="•"/>
      <w:lvlJc w:val="left"/>
      <w:pPr>
        <w:ind w:left="8499" w:hanging="1056"/>
      </w:pPr>
      <w:rPr>
        <w:rFonts w:hint="default"/>
      </w:rPr>
    </w:lvl>
    <w:lvl w:ilvl="6">
      <w:start w:val="0"/>
      <w:numFmt w:val="bullet"/>
      <w:lvlText w:val="•"/>
      <w:lvlJc w:val="left"/>
      <w:pPr>
        <w:ind w:left="9855" w:hanging="1056"/>
      </w:pPr>
      <w:rPr>
        <w:rFonts w:hint="default"/>
      </w:rPr>
    </w:lvl>
    <w:lvl w:ilvl="7">
      <w:start w:val="0"/>
      <w:numFmt w:val="bullet"/>
      <w:lvlText w:val="•"/>
      <w:lvlJc w:val="left"/>
      <w:pPr>
        <w:ind w:left="11211" w:hanging="1056"/>
      </w:pPr>
      <w:rPr>
        <w:rFonts w:hint="default"/>
      </w:rPr>
    </w:lvl>
    <w:lvl w:ilvl="8">
      <w:start w:val="0"/>
      <w:numFmt w:val="bullet"/>
      <w:lvlText w:val="•"/>
      <w:lvlJc w:val="left"/>
      <w:pPr>
        <w:ind w:left="12567" w:hanging="1056"/>
      </w:pPr>
      <w:rPr>
        <w:rFonts w:hint="default"/>
      </w:rPr>
    </w:lvl>
  </w:abstractNum>
  <w:abstractNum w:abstractNumId="1">
    <w:nsid w:val="42F95772"/>
    <w:multiLevelType w:val="hybridMultilevel"/>
    <w:tmpl w:val="00000000"/>
    <w:lvl w:ilvl="0">
      <w:start w:val="2"/>
      <w:numFmt w:val="decimal"/>
      <w:lvlText w:val="%1."/>
      <w:lvlJc w:val="left"/>
      <w:pPr>
        <w:ind w:left="1922" w:hanging="423"/>
        <w:jc w:val="left"/>
      </w:pPr>
      <w:rPr>
        <w:rFonts w:ascii="宋体" w:eastAsia="宋体" w:hAnsi="宋体" w:cs="宋体" w:hint="default"/>
        <w:w w:val="100"/>
        <w:sz w:val="40"/>
        <w:szCs w:val="40"/>
      </w:rPr>
    </w:lvl>
    <w:lvl w:ilvl="1">
      <w:start w:val="0"/>
      <w:numFmt w:val="bullet"/>
      <w:lvlText w:val="•"/>
      <w:lvlJc w:val="left"/>
      <w:pPr>
        <w:ind w:left="3255" w:hanging="423"/>
      </w:pPr>
      <w:rPr>
        <w:rFonts w:hint="default"/>
      </w:rPr>
    </w:lvl>
    <w:lvl w:ilvl="2">
      <w:start w:val="0"/>
      <w:numFmt w:val="bullet"/>
      <w:lvlText w:val="•"/>
      <w:lvlJc w:val="left"/>
      <w:pPr>
        <w:ind w:left="4591" w:hanging="423"/>
      </w:pPr>
      <w:rPr>
        <w:rFonts w:hint="default"/>
      </w:rPr>
    </w:lvl>
    <w:lvl w:ilvl="3">
      <w:start w:val="0"/>
      <w:numFmt w:val="bullet"/>
      <w:lvlText w:val="•"/>
      <w:lvlJc w:val="left"/>
      <w:pPr>
        <w:ind w:left="5927" w:hanging="423"/>
      </w:pPr>
      <w:rPr>
        <w:rFonts w:hint="default"/>
      </w:rPr>
    </w:lvl>
    <w:lvl w:ilvl="4">
      <w:start w:val="0"/>
      <w:numFmt w:val="bullet"/>
      <w:lvlText w:val="•"/>
      <w:lvlJc w:val="left"/>
      <w:pPr>
        <w:ind w:left="7263" w:hanging="423"/>
      </w:pPr>
      <w:rPr>
        <w:rFonts w:hint="default"/>
      </w:rPr>
    </w:lvl>
    <w:lvl w:ilvl="5">
      <w:start w:val="0"/>
      <w:numFmt w:val="bullet"/>
      <w:lvlText w:val="•"/>
      <w:lvlJc w:val="left"/>
      <w:pPr>
        <w:ind w:left="8599" w:hanging="423"/>
      </w:pPr>
      <w:rPr>
        <w:rFonts w:hint="default"/>
      </w:rPr>
    </w:lvl>
    <w:lvl w:ilvl="6">
      <w:start w:val="0"/>
      <w:numFmt w:val="bullet"/>
      <w:lvlText w:val="•"/>
      <w:lvlJc w:val="left"/>
      <w:pPr>
        <w:ind w:left="9935" w:hanging="423"/>
      </w:pPr>
      <w:rPr>
        <w:rFonts w:hint="default"/>
      </w:rPr>
    </w:lvl>
    <w:lvl w:ilvl="7">
      <w:start w:val="0"/>
      <w:numFmt w:val="bullet"/>
      <w:lvlText w:val="•"/>
      <w:lvlJc w:val="left"/>
      <w:pPr>
        <w:ind w:left="11271" w:hanging="423"/>
      </w:pPr>
      <w:rPr>
        <w:rFonts w:hint="default"/>
      </w:rPr>
    </w:lvl>
    <w:lvl w:ilvl="8">
      <w:start w:val="0"/>
      <w:numFmt w:val="bullet"/>
      <w:lvlText w:val="•"/>
      <w:lvlJc w:val="left"/>
      <w:pPr>
        <w:ind w:left="12607" w:hanging="423"/>
      </w:pPr>
      <w:rPr>
        <w:rFonts w:hint="default"/>
      </w:rPr>
    </w:lvl>
  </w:abstractNum>
  <w:abstractNum w:abstractNumId="2">
    <w:nsid w:val="7DADB1C6"/>
    <w:multiLevelType w:val="hybridMultilevel"/>
    <w:tmpl w:val="00000000"/>
    <w:lvl w:ilvl="0">
      <w:start w:val="1"/>
      <w:numFmt w:val="decimal"/>
      <w:lvlText w:val="（%1）"/>
      <w:lvlJc w:val="left"/>
      <w:pPr>
        <w:ind w:left="1713" w:hanging="1056"/>
        <w:jc w:val="left"/>
      </w:pPr>
      <w:rPr>
        <w:rFonts w:ascii="宋体" w:eastAsia="宋体" w:hAnsi="宋体" w:cs="宋体" w:hint="default"/>
        <w:b/>
        <w:bCs/>
        <w:spacing w:val="-1"/>
        <w:w w:val="99"/>
        <w:sz w:val="40"/>
        <w:szCs w:val="40"/>
      </w:rPr>
    </w:lvl>
    <w:lvl w:ilvl="1">
      <w:start w:val="0"/>
      <w:numFmt w:val="bullet"/>
      <w:lvlText w:val="•"/>
      <w:lvlJc w:val="left"/>
      <w:pPr>
        <w:ind w:left="3075" w:hanging="1056"/>
      </w:pPr>
      <w:rPr>
        <w:rFonts w:hint="default"/>
      </w:rPr>
    </w:lvl>
    <w:lvl w:ilvl="2">
      <w:start w:val="0"/>
      <w:numFmt w:val="bullet"/>
      <w:lvlText w:val="•"/>
      <w:lvlJc w:val="left"/>
      <w:pPr>
        <w:ind w:left="4431" w:hanging="1056"/>
      </w:pPr>
      <w:rPr>
        <w:rFonts w:hint="default"/>
      </w:rPr>
    </w:lvl>
    <w:lvl w:ilvl="3">
      <w:start w:val="0"/>
      <w:numFmt w:val="bullet"/>
      <w:lvlText w:val="•"/>
      <w:lvlJc w:val="left"/>
      <w:pPr>
        <w:ind w:left="5787" w:hanging="1056"/>
      </w:pPr>
      <w:rPr>
        <w:rFonts w:hint="default"/>
      </w:rPr>
    </w:lvl>
    <w:lvl w:ilvl="4">
      <w:start w:val="0"/>
      <w:numFmt w:val="bullet"/>
      <w:lvlText w:val="•"/>
      <w:lvlJc w:val="left"/>
      <w:pPr>
        <w:ind w:left="7143" w:hanging="1056"/>
      </w:pPr>
      <w:rPr>
        <w:rFonts w:hint="default"/>
      </w:rPr>
    </w:lvl>
    <w:lvl w:ilvl="5">
      <w:start w:val="0"/>
      <w:numFmt w:val="bullet"/>
      <w:lvlText w:val="•"/>
      <w:lvlJc w:val="left"/>
      <w:pPr>
        <w:ind w:left="8499" w:hanging="1056"/>
      </w:pPr>
      <w:rPr>
        <w:rFonts w:hint="default"/>
      </w:rPr>
    </w:lvl>
    <w:lvl w:ilvl="6">
      <w:start w:val="0"/>
      <w:numFmt w:val="bullet"/>
      <w:lvlText w:val="•"/>
      <w:lvlJc w:val="left"/>
      <w:pPr>
        <w:ind w:left="9855" w:hanging="1056"/>
      </w:pPr>
      <w:rPr>
        <w:rFonts w:hint="default"/>
      </w:rPr>
    </w:lvl>
    <w:lvl w:ilvl="7">
      <w:start w:val="0"/>
      <w:numFmt w:val="bullet"/>
      <w:lvlText w:val="•"/>
      <w:lvlJc w:val="left"/>
      <w:pPr>
        <w:ind w:left="11211" w:hanging="1056"/>
      </w:pPr>
      <w:rPr>
        <w:rFonts w:hint="default"/>
      </w:rPr>
    </w:lvl>
    <w:lvl w:ilvl="8">
      <w:start w:val="0"/>
      <w:numFmt w:val="bullet"/>
      <w:lvlText w:val="•"/>
      <w:lvlJc w:val="left"/>
      <w:pPr>
        <w:ind w:left="12567" w:hanging="1056"/>
      </w:pPr>
      <w:rPr>
        <w:rFont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宋体" w:eastAsia="宋体" w:hAnsi="宋体" w:cs="宋体"/>
      <w:sz w:val="42"/>
      <w:szCs w:val="42"/>
    </w:rPr>
  </w:style>
  <w:style w:type="paragraph" w:customStyle="1" w:styleId="Heading1">
    <w:name w:val="Heading 1"/>
    <w:basedOn w:val="Normal"/>
    <w:uiPriority w:val="1"/>
    <w:qFormat/>
    <w:pPr>
      <w:ind w:left="657"/>
      <w:outlineLvl w:val="1"/>
    </w:pPr>
    <w:rPr>
      <w:rFonts w:ascii="宋体" w:eastAsia="宋体" w:hAnsi="宋体" w:cs="宋体"/>
      <w:b/>
      <w:bCs/>
      <w:sz w:val="42"/>
      <w:szCs w:val="42"/>
    </w:rPr>
  </w:style>
  <w:style w:type="paragraph" w:styleId="Title">
    <w:name w:val="Title"/>
    <w:basedOn w:val="Normal"/>
    <w:uiPriority w:val="1"/>
    <w:qFormat/>
    <w:pPr>
      <w:spacing w:before="31"/>
      <w:ind w:right="747"/>
      <w:jc w:val="center"/>
    </w:pPr>
    <w:rPr>
      <w:rFonts w:ascii="宋体" w:eastAsia="宋体" w:hAnsi="宋体" w:cs="宋体"/>
      <w:b/>
      <w:bCs/>
      <w:sz w:val="48"/>
      <w:szCs w:val="48"/>
    </w:rPr>
  </w:style>
  <w:style w:type="paragraph" w:styleId="ListParagraph">
    <w:name w:val="List Paragraph"/>
    <w:basedOn w:val="Normal"/>
    <w:uiPriority w:val="1"/>
    <w:qFormat/>
    <w:pPr>
      <w:ind w:left="1713" w:hanging="1057"/>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yperlink" Target="https://d.book118.com/738035051110006022" TargetMode="Externa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theme" Target="theme/theme1.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2023-10-08T12:24:47Z</dcterms:created>
  <dcterms:modified xsi:type="dcterms:W3CDTF">2023-10-08T12:24:47Z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2023-04-18T00:00:00Z</vt:filetime>
  </property>
  <property fmtid="{D5CDD505-2E9C-101B-9397-08002B2CF9AE}" pid="3" name="LastSaved">
    <vt:filetime>2023-10-08T00:00:00Z</vt:filetime>
  </property>
</Properties>
</file>