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2018-2023年陕西艺术职业学院高职单招（数学／语文／英语）历年常考试题库含答案解析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《麦琪的礼物》中男女主人公的名字分别是（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A.姚纳和万卡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B.安娜和吉姆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C.吉姆和德拉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D.罗密欧和朱丽叶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被人称为“七绝圣手”的诗人是（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A.王之涣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C.王昌龄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艾青的成名作是（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B.《我爱这士地》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C.《向太阳》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D.《大堰河——我的保姆》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鲁迅短篇小说《风波》的结构线索是（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A.张勋复辟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B.九斤老太的唠叨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C.七斤的苦闷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D.辫子事件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奠定巴金在现代文学史上地位的长篇小说是（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B.《灭亡》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C.《家》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茅盾的《香市》一文选自他著名的散文集（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A.《闲书》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B.《速写与随笔》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C.《话匣子》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D.《印象·感想·回忆》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曹禺创作的第一部剧作是（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B.《原野》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C.《雷雨》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D.《北京人》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契诃夫著名的戏剧作品有（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A.《万卡》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B.《万尼亚舅舅》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C.《哈姆雷特》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D.《胖子与瘦子》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生活在南北宋交替之际的诗人是（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柳宗元《种树郭橐驼传》的主要写作意图是（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A.赞扬郭橐驼的种树技术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B.传播郭橐驼的植树经验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C.记述乡间访民的情景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D.阐述“养民治国”的思想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陆游是（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A.北宋爱国诗人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B.南宋爱国诗人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C.北宋现实主义诗人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D.南宋现实主义诗人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培根《论学问》中采用最多的两种修辞手法是（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A.排比和对偶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B.排比和比喻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C.比喻和对偶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D.比喻和比拟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贯穿《谏逐客书》一文始终的论证方法是（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A.对比论证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C.演绎论证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先秦诸子散文中最富于浪漫色彩的是（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https://d.book118.com/738040116132006040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738040116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