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豪华客车项目规划设计纲要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3" w:history="1">
        <w:r>
          <w:rPr>
            <w:rFonts w:ascii="仿宋" w:eastAsia="仿宋" w:hAnsi="仿宋" w:cs="仿宋" w:hint="eastAsia"/>
            <w:lang w:eastAsia="zh-CN"/>
          </w:rPr>
          <w:t>前言</w:t>
        </w:r>
        <w:r>
          <w:tab/>
        </w:r>
        <w:r>
          <w:fldChar w:fldCharType="begin"/>
        </w:r>
        <w:r>
          <w:instrText xml:space="preserve"> PAGEREF _Toc10553 \h </w:instrText>
        </w:r>
        <w:r>
          <w:fldChar w:fldCharType="separate"/>
        </w:r>
        <w:r>
          <w:t>3</w:t>
        </w:r>
        <w:r>
          <w:fldChar w:fldCharType="end"/>
        </w:r>
      </w:hyperlink>
    </w:p>
    <w:p>
      <w:pPr>
        <w:pStyle w:val="TOC1"/>
        <w:tabs>
          <w:tab w:val="right" w:leader="dot" w:pos="8306"/>
        </w:tabs>
      </w:pPr>
      <w:hyperlink w:anchor="_Toc11840" w:history="1">
        <w:r>
          <w:rPr>
            <w:rFonts w:ascii="仿宋" w:eastAsia="仿宋" w:hAnsi="仿宋" w:cs="仿宋" w:hint="eastAsia"/>
            <w:lang w:eastAsia="zh-CN"/>
          </w:rPr>
          <w:t>一、市场分析、调研</w:t>
        </w:r>
        <w:r>
          <w:tab/>
        </w:r>
        <w:r>
          <w:fldChar w:fldCharType="begin"/>
        </w:r>
        <w:r>
          <w:instrText xml:space="preserve"> PAGEREF _Toc11840 \h </w:instrText>
        </w:r>
        <w:r>
          <w:fldChar w:fldCharType="separate"/>
        </w:r>
        <w:r>
          <w:t>3</w:t>
        </w:r>
        <w:r>
          <w:fldChar w:fldCharType="end"/>
        </w:r>
      </w:hyperlink>
    </w:p>
    <w:p>
      <w:pPr>
        <w:pStyle w:val="TOC2"/>
        <w:tabs>
          <w:tab w:val="right" w:leader="dot" w:pos="8306"/>
        </w:tabs>
      </w:pPr>
      <w:hyperlink w:anchor="_Toc29317" w:history="1">
        <w:r>
          <w:rPr>
            <w:rFonts w:ascii="仿宋" w:eastAsia="仿宋" w:hAnsi="仿宋" w:cs="仿宋" w:hint="eastAsia"/>
            <w:lang w:eastAsia="zh-CN"/>
          </w:rPr>
          <w:t>(一)、豪华客车行业分析</w:t>
        </w:r>
        <w:r>
          <w:tab/>
        </w:r>
        <w:r>
          <w:fldChar w:fldCharType="begin"/>
        </w:r>
        <w:r>
          <w:instrText xml:space="preserve"> PAGEREF _Toc29317 \h </w:instrText>
        </w:r>
        <w:r>
          <w:fldChar w:fldCharType="separate"/>
        </w:r>
        <w:r>
          <w:t>3</w:t>
        </w:r>
        <w:r>
          <w:fldChar w:fldCharType="end"/>
        </w:r>
      </w:hyperlink>
    </w:p>
    <w:p>
      <w:pPr>
        <w:pStyle w:val="TOC2"/>
        <w:tabs>
          <w:tab w:val="right" w:leader="dot" w:pos="8306"/>
        </w:tabs>
      </w:pPr>
      <w:hyperlink w:anchor="_Toc9691" w:history="1">
        <w:r>
          <w:rPr>
            <w:rFonts w:ascii="仿宋" w:eastAsia="仿宋" w:hAnsi="仿宋" w:cs="仿宋" w:hint="eastAsia"/>
            <w:lang w:eastAsia="zh-CN"/>
          </w:rPr>
          <w:t>(二)、豪华客车市场分析预测</w:t>
        </w:r>
        <w:r>
          <w:tab/>
        </w:r>
        <w:r>
          <w:fldChar w:fldCharType="begin"/>
        </w:r>
        <w:r>
          <w:instrText xml:space="preserve"> PAGEREF _Toc9691 \h </w:instrText>
        </w:r>
        <w:r>
          <w:fldChar w:fldCharType="separate"/>
        </w:r>
        <w:r>
          <w:t>4</w:t>
        </w:r>
        <w:r>
          <w:fldChar w:fldCharType="end"/>
        </w:r>
      </w:hyperlink>
    </w:p>
    <w:p>
      <w:pPr>
        <w:pStyle w:val="TOC1"/>
        <w:tabs>
          <w:tab w:val="right" w:leader="dot" w:pos="8306"/>
        </w:tabs>
      </w:pPr>
      <w:hyperlink w:anchor="_Toc23768" w:history="1">
        <w:r>
          <w:rPr>
            <w:rFonts w:ascii="仿宋" w:eastAsia="仿宋" w:hAnsi="仿宋" w:cs="仿宋" w:hint="eastAsia"/>
            <w:lang w:eastAsia="zh-CN"/>
          </w:rPr>
          <w:t>二、豪华客车项目建设单位说明</w:t>
        </w:r>
        <w:r>
          <w:tab/>
        </w:r>
        <w:r>
          <w:fldChar w:fldCharType="begin"/>
        </w:r>
        <w:r>
          <w:instrText xml:space="preserve"> PAGEREF _Toc23768 \h </w:instrText>
        </w:r>
        <w:r>
          <w:fldChar w:fldCharType="separate"/>
        </w:r>
        <w:r>
          <w:t>5</w:t>
        </w:r>
        <w:r>
          <w:fldChar w:fldCharType="end"/>
        </w:r>
      </w:hyperlink>
    </w:p>
    <w:p>
      <w:pPr>
        <w:pStyle w:val="TOC2"/>
        <w:tabs>
          <w:tab w:val="right" w:leader="dot" w:pos="8306"/>
        </w:tabs>
      </w:pPr>
      <w:hyperlink w:anchor="_Toc4243" w:history="1">
        <w:r>
          <w:rPr>
            <w:rFonts w:ascii="仿宋" w:eastAsia="仿宋" w:hAnsi="仿宋" w:cs="仿宋" w:hint="eastAsia"/>
            <w:lang w:eastAsia="zh-CN"/>
          </w:rPr>
          <w:t>(一)、豪华客车项目承办单位基本情况</w:t>
        </w:r>
        <w:r>
          <w:tab/>
        </w:r>
        <w:r>
          <w:fldChar w:fldCharType="begin"/>
        </w:r>
        <w:r>
          <w:instrText xml:space="preserve"> PAGEREF _Toc4243 \h </w:instrText>
        </w:r>
        <w:r>
          <w:fldChar w:fldCharType="separate"/>
        </w:r>
        <w:r>
          <w:t>5</w:t>
        </w:r>
        <w:r>
          <w:fldChar w:fldCharType="end"/>
        </w:r>
      </w:hyperlink>
    </w:p>
    <w:p>
      <w:pPr>
        <w:pStyle w:val="TOC2"/>
        <w:tabs>
          <w:tab w:val="right" w:leader="dot" w:pos="8306"/>
        </w:tabs>
      </w:pPr>
      <w:hyperlink w:anchor="_Toc18491" w:history="1">
        <w:r>
          <w:rPr>
            <w:rFonts w:ascii="仿宋" w:eastAsia="仿宋" w:hAnsi="仿宋" w:cs="仿宋" w:hint="eastAsia"/>
            <w:lang w:eastAsia="zh-CN"/>
          </w:rPr>
          <w:t>(二)、公司经济效益分析</w:t>
        </w:r>
        <w:r>
          <w:tab/>
        </w:r>
        <w:r>
          <w:fldChar w:fldCharType="begin"/>
        </w:r>
        <w:r>
          <w:instrText xml:space="preserve"> PAGEREF _Toc18491 \h </w:instrText>
        </w:r>
        <w:r>
          <w:fldChar w:fldCharType="separate"/>
        </w:r>
        <w:r>
          <w:t>5</w:t>
        </w:r>
        <w:r>
          <w:fldChar w:fldCharType="end"/>
        </w:r>
      </w:hyperlink>
    </w:p>
    <w:p>
      <w:pPr>
        <w:pStyle w:val="TOC1"/>
        <w:tabs>
          <w:tab w:val="right" w:leader="dot" w:pos="8306"/>
        </w:tabs>
      </w:pPr>
      <w:hyperlink w:anchor="_Toc20970" w:history="1">
        <w:r>
          <w:rPr>
            <w:rFonts w:ascii="仿宋" w:eastAsia="仿宋" w:hAnsi="仿宋" w:cs="仿宋" w:hint="eastAsia"/>
            <w:lang w:eastAsia="zh-CN"/>
          </w:rPr>
          <w:t>三、豪华客车项目选址可行性分析</w:t>
        </w:r>
        <w:r>
          <w:tab/>
        </w:r>
        <w:r>
          <w:fldChar w:fldCharType="begin"/>
        </w:r>
        <w:r>
          <w:instrText xml:space="preserve"> PAGEREF _Toc20970 \h </w:instrText>
        </w:r>
        <w:r>
          <w:fldChar w:fldCharType="separate"/>
        </w:r>
        <w:r>
          <w:t>6</w:t>
        </w:r>
        <w:r>
          <w:fldChar w:fldCharType="end"/>
        </w:r>
      </w:hyperlink>
    </w:p>
    <w:p>
      <w:pPr>
        <w:pStyle w:val="TOC2"/>
        <w:tabs>
          <w:tab w:val="right" w:leader="dot" w:pos="8306"/>
        </w:tabs>
      </w:pPr>
      <w:hyperlink w:anchor="_Toc26458" w:history="1">
        <w:r>
          <w:rPr>
            <w:rFonts w:ascii="仿宋" w:eastAsia="仿宋" w:hAnsi="仿宋" w:cs="仿宋" w:hint="eastAsia"/>
            <w:lang w:eastAsia="zh-CN"/>
          </w:rPr>
          <w:t>(一)、豪华客车项目选址</w:t>
        </w:r>
        <w:r>
          <w:tab/>
        </w:r>
        <w:r>
          <w:fldChar w:fldCharType="begin"/>
        </w:r>
        <w:r>
          <w:instrText xml:space="preserve"> PAGEREF _Toc26458 \h </w:instrText>
        </w:r>
        <w:r>
          <w:fldChar w:fldCharType="separate"/>
        </w:r>
        <w:r>
          <w:t>6</w:t>
        </w:r>
        <w:r>
          <w:fldChar w:fldCharType="end"/>
        </w:r>
      </w:hyperlink>
    </w:p>
    <w:p>
      <w:pPr>
        <w:pStyle w:val="TOC2"/>
        <w:tabs>
          <w:tab w:val="right" w:leader="dot" w:pos="8306"/>
        </w:tabs>
      </w:pPr>
      <w:hyperlink w:anchor="_Toc578" w:history="1">
        <w:r>
          <w:rPr>
            <w:rFonts w:ascii="仿宋" w:eastAsia="仿宋" w:hAnsi="仿宋" w:cs="仿宋" w:hint="eastAsia"/>
            <w:lang w:eastAsia="zh-CN"/>
          </w:rPr>
          <w:t>(二)、用地控制指标</w:t>
        </w:r>
        <w:r>
          <w:tab/>
        </w:r>
        <w:r>
          <w:fldChar w:fldCharType="begin"/>
        </w:r>
        <w:r>
          <w:instrText xml:space="preserve"> PAGEREF _Toc578 \h </w:instrText>
        </w:r>
        <w:r>
          <w:fldChar w:fldCharType="separate"/>
        </w:r>
        <w:r>
          <w:t>6</w:t>
        </w:r>
        <w:r>
          <w:fldChar w:fldCharType="end"/>
        </w:r>
      </w:hyperlink>
    </w:p>
    <w:p>
      <w:pPr>
        <w:pStyle w:val="TOC2"/>
        <w:tabs>
          <w:tab w:val="right" w:leader="dot" w:pos="8306"/>
        </w:tabs>
      </w:pPr>
      <w:hyperlink w:anchor="_Toc2000" w:history="1">
        <w:r>
          <w:rPr>
            <w:rFonts w:ascii="仿宋" w:eastAsia="仿宋" w:hAnsi="仿宋" w:cs="仿宋" w:hint="eastAsia"/>
            <w:lang w:eastAsia="zh-CN"/>
          </w:rPr>
          <w:t>(三)、节约用地措施</w:t>
        </w:r>
        <w:r>
          <w:tab/>
        </w:r>
        <w:r>
          <w:fldChar w:fldCharType="begin"/>
        </w:r>
        <w:r>
          <w:instrText xml:space="preserve"> PAGEREF _Toc2000 \h </w:instrText>
        </w:r>
        <w:r>
          <w:fldChar w:fldCharType="separate"/>
        </w:r>
        <w:r>
          <w:t>8</w:t>
        </w:r>
        <w:r>
          <w:fldChar w:fldCharType="end"/>
        </w:r>
      </w:hyperlink>
    </w:p>
    <w:p>
      <w:pPr>
        <w:pStyle w:val="TOC2"/>
        <w:tabs>
          <w:tab w:val="right" w:leader="dot" w:pos="8306"/>
        </w:tabs>
      </w:pPr>
      <w:hyperlink w:anchor="_Toc31880" w:history="1">
        <w:r>
          <w:rPr>
            <w:rFonts w:ascii="仿宋" w:eastAsia="仿宋" w:hAnsi="仿宋" w:cs="仿宋" w:hint="eastAsia"/>
            <w:lang w:eastAsia="zh-CN"/>
          </w:rPr>
          <w:t>(四)、总图布置方案</w:t>
        </w:r>
        <w:r>
          <w:tab/>
        </w:r>
        <w:r>
          <w:fldChar w:fldCharType="begin"/>
        </w:r>
        <w:r>
          <w:instrText xml:space="preserve"> PAGEREF _Toc31880 \h </w:instrText>
        </w:r>
        <w:r>
          <w:fldChar w:fldCharType="separate"/>
        </w:r>
        <w:r>
          <w:t>9</w:t>
        </w:r>
        <w:r>
          <w:fldChar w:fldCharType="end"/>
        </w:r>
      </w:hyperlink>
    </w:p>
    <w:p>
      <w:pPr>
        <w:pStyle w:val="TOC2"/>
        <w:tabs>
          <w:tab w:val="right" w:leader="dot" w:pos="8306"/>
        </w:tabs>
      </w:pPr>
      <w:hyperlink w:anchor="_Toc13735" w:history="1">
        <w:r>
          <w:rPr>
            <w:rFonts w:ascii="仿宋" w:eastAsia="仿宋" w:hAnsi="仿宋" w:cs="仿宋" w:hint="eastAsia"/>
            <w:lang w:eastAsia="zh-CN"/>
          </w:rPr>
          <w:t>(五)、选址综合评价</w:t>
        </w:r>
        <w:r>
          <w:tab/>
        </w:r>
        <w:r>
          <w:fldChar w:fldCharType="begin"/>
        </w:r>
        <w:r>
          <w:instrText xml:space="preserve"> PAGEREF _Toc13735 \h </w:instrText>
        </w:r>
        <w:r>
          <w:fldChar w:fldCharType="separate"/>
        </w:r>
        <w:r>
          <w:t>10</w:t>
        </w:r>
        <w:r>
          <w:fldChar w:fldCharType="end"/>
        </w:r>
      </w:hyperlink>
    </w:p>
    <w:p>
      <w:pPr>
        <w:pStyle w:val="TOC1"/>
        <w:tabs>
          <w:tab w:val="right" w:leader="dot" w:pos="8306"/>
        </w:tabs>
      </w:pPr>
      <w:hyperlink w:anchor="_Toc3622" w:history="1">
        <w:r>
          <w:rPr>
            <w:rFonts w:ascii="仿宋" w:eastAsia="仿宋" w:hAnsi="仿宋" w:cs="仿宋" w:hint="eastAsia"/>
            <w:lang w:eastAsia="zh-CN"/>
          </w:rPr>
          <w:t>四、豪华客车项目可持续发展</w:t>
        </w:r>
        <w:r>
          <w:tab/>
        </w:r>
        <w:r>
          <w:fldChar w:fldCharType="begin"/>
        </w:r>
        <w:r>
          <w:instrText xml:space="preserve"> PAGEREF _Toc3622 \h </w:instrText>
        </w:r>
        <w:r>
          <w:fldChar w:fldCharType="separate"/>
        </w:r>
        <w:r>
          <w:t>11</w:t>
        </w:r>
        <w:r>
          <w:fldChar w:fldCharType="end"/>
        </w:r>
      </w:hyperlink>
    </w:p>
    <w:p>
      <w:pPr>
        <w:pStyle w:val="TOC2"/>
        <w:tabs>
          <w:tab w:val="right" w:leader="dot" w:pos="8306"/>
        </w:tabs>
      </w:pPr>
      <w:hyperlink w:anchor="_Toc23557" w:history="1">
        <w:r>
          <w:rPr>
            <w:rFonts w:ascii="仿宋" w:eastAsia="仿宋" w:hAnsi="仿宋" w:cs="仿宋" w:hint="eastAsia"/>
            <w:lang w:eastAsia="zh-CN"/>
          </w:rPr>
          <w:t>(一)、可持续战略与实践</w:t>
        </w:r>
        <w:r>
          <w:tab/>
        </w:r>
        <w:r>
          <w:fldChar w:fldCharType="begin"/>
        </w:r>
        <w:r>
          <w:instrText xml:space="preserve"> PAGEREF _Toc23557 \h </w:instrText>
        </w:r>
        <w:r>
          <w:fldChar w:fldCharType="separate"/>
        </w:r>
        <w:r>
          <w:t>11</w:t>
        </w:r>
        <w:r>
          <w:fldChar w:fldCharType="end"/>
        </w:r>
      </w:hyperlink>
    </w:p>
    <w:p>
      <w:pPr>
        <w:pStyle w:val="TOC2"/>
        <w:tabs>
          <w:tab w:val="right" w:leader="dot" w:pos="8306"/>
        </w:tabs>
      </w:pPr>
      <w:hyperlink w:anchor="_Toc901" w:history="1">
        <w:r>
          <w:rPr>
            <w:rFonts w:ascii="仿宋" w:eastAsia="仿宋" w:hAnsi="仿宋" w:cs="仿宋" w:hint="eastAsia"/>
            <w:lang w:eastAsia="zh-CN"/>
          </w:rPr>
          <w:t>(二)、环保与社会责任</w:t>
        </w:r>
        <w:r>
          <w:tab/>
        </w:r>
        <w:r>
          <w:fldChar w:fldCharType="begin"/>
        </w:r>
        <w:r>
          <w:instrText xml:space="preserve"> PAGEREF _Toc901 \h </w:instrText>
        </w:r>
        <w:r>
          <w:fldChar w:fldCharType="separate"/>
        </w:r>
        <w:r>
          <w:t>12</w:t>
        </w:r>
        <w:r>
          <w:fldChar w:fldCharType="end"/>
        </w:r>
      </w:hyperlink>
    </w:p>
    <w:p>
      <w:pPr>
        <w:pStyle w:val="TOC1"/>
        <w:tabs>
          <w:tab w:val="right" w:leader="dot" w:pos="8306"/>
        </w:tabs>
      </w:pPr>
      <w:hyperlink w:anchor="_Toc21536" w:history="1">
        <w:r>
          <w:rPr>
            <w:rFonts w:ascii="仿宋" w:eastAsia="仿宋" w:hAnsi="仿宋" w:cs="仿宋" w:hint="eastAsia"/>
            <w:lang w:eastAsia="zh-CN"/>
          </w:rPr>
          <w:t>五、豪华客车项目危机管理</w:t>
        </w:r>
        <w:r>
          <w:tab/>
        </w:r>
        <w:r>
          <w:fldChar w:fldCharType="begin"/>
        </w:r>
        <w:r>
          <w:instrText xml:space="preserve"> PAGEREF _Toc21536 \h </w:instrText>
        </w:r>
        <w:r>
          <w:fldChar w:fldCharType="separate"/>
        </w:r>
        <w:r>
          <w:t>13</w:t>
        </w:r>
        <w:r>
          <w:fldChar w:fldCharType="end"/>
        </w:r>
      </w:hyperlink>
    </w:p>
    <w:p>
      <w:pPr>
        <w:pStyle w:val="TOC2"/>
        <w:tabs>
          <w:tab w:val="right" w:leader="dot" w:pos="8306"/>
        </w:tabs>
      </w:pPr>
      <w:hyperlink w:anchor="_Toc23977" w:history="1">
        <w:r>
          <w:rPr>
            <w:rFonts w:ascii="仿宋" w:eastAsia="仿宋" w:hAnsi="仿宋" w:cs="仿宋" w:hint="eastAsia"/>
            <w:lang w:eastAsia="zh-CN"/>
          </w:rPr>
          <w:t>(一)、危机预警与识别</w:t>
        </w:r>
        <w:r>
          <w:tab/>
        </w:r>
        <w:r>
          <w:fldChar w:fldCharType="begin"/>
        </w:r>
        <w:r>
          <w:instrText xml:space="preserve"> PAGEREF _Toc23977 \h </w:instrText>
        </w:r>
        <w:r>
          <w:fldChar w:fldCharType="separate"/>
        </w:r>
        <w:r>
          <w:t>13</w:t>
        </w:r>
        <w:r>
          <w:fldChar w:fldCharType="end"/>
        </w:r>
      </w:hyperlink>
    </w:p>
    <w:p>
      <w:pPr>
        <w:pStyle w:val="TOC2"/>
        <w:tabs>
          <w:tab w:val="right" w:leader="dot" w:pos="8306"/>
        </w:tabs>
      </w:pPr>
      <w:hyperlink w:anchor="_Toc7406" w:history="1">
        <w:r>
          <w:rPr>
            <w:rFonts w:ascii="仿宋" w:eastAsia="仿宋" w:hAnsi="仿宋" w:cs="仿宋" w:hint="eastAsia"/>
            <w:lang w:eastAsia="zh-CN"/>
          </w:rPr>
          <w:t>(二)、危机应对与恢复</w:t>
        </w:r>
        <w:r>
          <w:tab/>
        </w:r>
        <w:r>
          <w:fldChar w:fldCharType="begin"/>
        </w:r>
        <w:r>
          <w:instrText xml:space="preserve"> PAGEREF _Toc7406 \h </w:instrText>
        </w:r>
        <w:r>
          <w:fldChar w:fldCharType="separate"/>
        </w:r>
        <w:r>
          <w:t>14</w:t>
        </w:r>
        <w:r>
          <w:fldChar w:fldCharType="end"/>
        </w:r>
      </w:hyperlink>
    </w:p>
    <w:p>
      <w:pPr>
        <w:pStyle w:val="TOC1"/>
        <w:tabs>
          <w:tab w:val="right" w:leader="dot" w:pos="8306"/>
        </w:tabs>
      </w:pPr>
      <w:hyperlink w:anchor="_Toc8624" w:history="1">
        <w:r>
          <w:rPr>
            <w:rFonts w:ascii="仿宋" w:eastAsia="仿宋" w:hAnsi="仿宋" w:cs="仿宋" w:hint="eastAsia"/>
            <w:lang w:eastAsia="zh-CN"/>
          </w:rPr>
          <w:t>六、豪华客车项目文档管理</w:t>
        </w:r>
        <w:r>
          <w:tab/>
        </w:r>
        <w:r>
          <w:fldChar w:fldCharType="begin"/>
        </w:r>
        <w:r>
          <w:instrText xml:space="preserve"> PAGEREF _Toc8624 \h </w:instrText>
        </w:r>
        <w:r>
          <w:fldChar w:fldCharType="separate"/>
        </w:r>
        <w:r>
          <w:t>15</w:t>
        </w:r>
        <w:r>
          <w:fldChar w:fldCharType="end"/>
        </w:r>
      </w:hyperlink>
    </w:p>
    <w:p>
      <w:pPr>
        <w:pStyle w:val="TOC2"/>
        <w:tabs>
          <w:tab w:val="right" w:leader="dot" w:pos="8306"/>
        </w:tabs>
      </w:pPr>
      <w:hyperlink w:anchor="_Toc2344" w:history="1">
        <w:r>
          <w:rPr>
            <w:rFonts w:ascii="仿宋" w:eastAsia="仿宋" w:hAnsi="仿宋" w:cs="仿宋" w:hint="eastAsia"/>
            <w:lang w:eastAsia="zh-CN"/>
          </w:rPr>
          <w:t>(一)、文档编制与审查</w:t>
        </w:r>
        <w:r>
          <w:tab/>
        </w:r>
        <w:r>
          <w:fldChar w:fldCharType="begin"/>
        </w:r>
        <w:r>
          <w:instrText xml:space="preserve"> PAGEREF _Toc2344 \h </w:instrText>
        </w:r>
        <w:r>
          <w:fldChar w:fldCharType="separate"/>
        </w:r>
        <w:r>
          <w:t>15</w:t>
        </w:r>
        <w:r>
          <w:fldChar w:fldCharType="end"/>
        </w:r>
      </w:hyperlink>
    </w:p>
    <w:p>
      <w:pPr>
        <w:pStyle w:val="TOC2"/>
        <w:tabs>
          <w:tab w:val="right" w:leader="dot" w:pos="8306"/>
        </w:tabs>
      </w:pPr>
      <w:hyperlink w:anchor="_Toc31030" w:history="1">
        <w:r>
          <w:rPr>
            <w:rFonts w:ascii="仿宋" w:eastAsia="仿宋" w:hAnsi="仿宋" w:cs="仿宋" w:hint="eastAsia"/>
            <w:lang w:eastAsia="zh-CN"/>
          </w:rPr>
          <w:t>(二)、文档发布与分发</w:t>
        </w:r>
        <w:r>
          <w:tab/>
        </w:r>
        <w:r>
          <w:fldChar w:fldCharType="begin"/>
        </w:r>
        <w:r>
          <w:instrText xml:space="preserve"> PAGEREF _Toc31030 \h </w:instrText>
        </w:r>
        <w:r>
          <w:fldChar w:fldCharType="separate"/>
        </w:r>
        <w:r>
          <w:t>17</w:t>
        </w:r>
        <w:r>
          <w:fldChar w:fldCharType="end"/>
        </w:r>
      </w:hyperlink>
    </w:p>
    <w:p>
      <w:pPr>
        <w:pStyle w:val="TOC2"/>
        <w:tabs>
          <w:tab w:val="right" w:leader="dot" w:pos="8306"/>
        </w:tabs>
      </w:pPr>
      <w:hyperlink w:anchor="_Toc24219" w:history="1">
        <w:r>
          <w:rPr>
            <w:rFonts w:ascii="仿宋" w:eastAsia="仿宋" w:hAnsi="仿宋" w:cs="仿宋" w:hint="eastAsia"/>
            <w:lang w:eastAsia="zh-CN"/>
          </w:rPr>
          <w:t>(三)、文档存档与归档</w:t>
        </w:r>
        <w:r>
          <w:tab/>
        </w:r>
        <w:r>
          <w:fldChar w:fldCharType="begin"/>
        </w:r>
        <w:r>
          <w:instrText xml:space="preserve"> PAGEREF _Toc24219 \h </w:instrText>
        </w:r>
        <w:r>
          <w:fldChar w:fldCharType="separate"/>
        </w:r>
        <w:r>
          <w:t>18</w:t>
        </w:r>
        <w:r>
          <w:fldChar w:fldCharType="end"/>
        </w:r>
      </w:hyperlink>
    </w:p>
    <w:p>
      <w:pPr>
        <w:pStyle w:val="TOC1"/>
        <w:tabs>
          <w:tab w:val="right" w:leader="dot" w:pos="8306"/>
        </w:tabs>
      </w:pPr>
      <w:hyperlink w:anchor="_Toc21229" w:history="1">
        <w:r>
          <w:rPr>
            <w:rFonts w:ascii="仿宋" w:eastAsia="仿宋" w:hAnsi="仿宋" w:cs="仿宋" w:hint="eastAsia"/>
            <w:lang w:eastAsia="zh-CN"/>
          </w:rPr>
          <w:t>七、豪华客车项目社会影响</w:t>
        </w:r>
        <w:r>
          <w:tab/>
        </w:r>
        <w:r>
          <w:fldChar w:fldCharType="begin"/>
        </w:r>
        <w:r>
          <w:instrText xml:space="preserve"> PAGEREF _Toc21229 \h </w:instrText>
        </w:r>
        <w:r>
          <w:fldChar w:fldCharType="separate"/>
        </w:r>
        <w:r>
          <w:t>19</w:t>
        </w:r>
        <w:r>
          <w:fldChar w:fldCharType="end"/>
        </w:r>
      </w:hyperlink>
    </w:p>
    <w:p>
      <w:pPr>
        <w:pStyle w:val="TOC2"/>
        <w:tabs>
          <w:tab w:val="right" w:leader="dot" w:pos="8306"/>
        </w:tabs>
      </w:pPr>
      <w:hyperlink w:anchor="_Toc30947" w:history="1">
        <w:r>
          <w:rPr>
            <w:rFonts w:ascii="仿宋" w:eastAsia="仿宋" w:hAnsi="仿宋" w:cs="仿宋" w:hint="eastAsia"/>
            <w:lang w:eastAsia="zh-CN"/>
          </w:rPr>
          <w:t>(一)、社会责任与义务</w:t>
        </w:r>
        <w:r>
          <w:tab/>
        </w:r>
        <w:r>
          <w:fldChar w:fldCharType="begin"/>
        </w:r>
        <w:r>
          <w:instrText xml:space="preserve"> PAGEREF _Toc30947 \h </w:instrText>
        </w:r>
        <w:r>
          <w:fldChar w:fldCharType="separate"/>
        </w:r>
        <w:r>
          <w:t>19</w:t>
        </w:r>
        <w:r>
          <w:fldChar w:fldCharType="end"/>
        </w:r>
      </w:hyperlink>
    </w:p>
    <w:p>
      <w:pPr>
        <w:pStyle w:val="TOC2"/>
        <w:tabs>
          <w:tab w:val="right" w:leader="dot" w:pos="8306"/>
        </w:tabs>
      </w:pPr>
      <w:hyperlink w:anchor="_Toc27886" w:history="1">
        <w:r>
          <w:rPr>
            <w:rFonts w:ascii="仿宋" w:eastAsia="仿宋" w:hAnsi="仿宋" w:cs="仿宋" w:hint="eastAsia"/>
            <w:lang w:eastAsia="zh-CN"/>
          </w:rPr>
          <w:t>(二)、社会参与与沟通</w:t>
        </w:r>
        <w:r>
          <w:tab/>
        </w:r>
        <w:r>
          <w:fldChar w:fldCharType="begin"/>
        </w:r>
        <w:r>
          <w:instrText xml:space="preserve"> PAGEREF _Toc27886 \h </w:instrText>
        </w:r>
        <w:r>
          <w:fldChar w:fldCharType="separate"/>
        </w:r>
        <w:r>
          <w:t>19</w:t>
        </w:r>
        <w:r>
          <w:fldChar w:fldCharType="end"/>
        </w:r>
      </w:hyperlink>
    </w:p>
    <w:p>
      <w:pPr>
        <w:pStyle w:val="TOC1"/>
        <w:tabs>
          <w:tab w:val="right" w:leader="dot" w:pos="8306"/>
        </w:tabs>
      </w:pPr>
      <w:hyperlink w:anchor="_Toc21240" w:history="1">
        <w:r>
          <w:rPr>
            <w:rFonts w:ascii="仿宋" w:eastAsia="仿宋" w:hAnsi="仿宋" w:cs="仿宋" w:hint="eastAsia"/>
            <w:lang w:eastAsia="zh-CN"/>
          </w:rPr>
          <w:t>八、豪华客车项目投资规划</w:t>
        </w:r>
        <w:r>
          <w:tab/>
        </w:r>
        <w:r>
          <w:fldChar w:fldCharType="begin"/>
        </w:r>
        <w:r>
          <w:instrText xml:space="preserve"> PAGEREF _Toc21240 \h </w:instrText>
        </w:r>
        <w:r>
          <w:fldChar w:fldCharType="separate"/>
        </w:r>
        <w:r>
          <w:t>20</w:t>
        </w:r>
        <w:r>
          <w:fldChar w:fldCharType="end"/>
        </w:r>
      </w:hyperlink>
    </w:p>
    <w:p>
      <w:pPr>
        <w:pStyle w:val="TOC2"/>
        <w:tabs>
          <w:tab w:val="right" w:leader="dot" w:pos="8306"/>
        </w:tabs>
      </w:pPr>
      <w:hyperlink w:anchor="_Toc16008" w:history="1">
        <w:r>
          <w:rPr>
            <w:rFonts w:ascii="仿宋" w:eastAsia="仿宋" w:hAnsi="仿宋" w:cs="仿宋" w:hint="eastAsia"/>
            <w:lang w:eastAsia="zh-CN"/>
          </w:rPr>
          <w:t>(一)、豪华客车项目总投资估算</w:t>
        </w:r>
        <w:r>
          <w:tab/>
        </w:r>
        <w:r>
          <w:fldChar w:fldCharType="begin"/>
        </w:r>
        <w:r>
          <w:instrText xml:space="preserve"> PAGEREF _Toc16008 \h </w:instrText>
        </w:r>
        <w:r>
          <w:fldChar w:fldCharType="separate"/>
        </w:r>
        <w:r>
          <w:t>20</w:t>
        </w:r>
        <w:r>
          <w:fldChar w:fldCharType="end"/>
        </w:r>
      </w:hyperlink>
    </w:p>
    <w:p>
      <w:pPr>
        <w:pStyle w:val="TOC2"/>
        <w:tabs>
          <w:tab w:val="right" w:leader="dot" w:pos="8306"/>
        </w:tabs>
      </w:pPr>
      <w:hyperlink w:anchor="_Toc13885" w:history="1">
        <w:r>
          <w:rPr>
            <w:rFonts w:ascii="仿宋" w:eastAsia="仿宋" w:hAnsi="仿宋" w:cs="仿宋" w:hint="eastAsia"/>
            <w:lang w:eastAsia="zh-CN"/>
          </w:rPr>
          <w:t>(二)、资金筹措</w:t>
        </w:r>
        <w:r>
          <w:tab/>
        </w:r>
        <w:r>
          <w:fldChar w:fldCharType="begin"/>
        </w:r>
        <w:r>
          <w:instrText xml:space="preserve"> PAGEREF _Toc13885 \h </w:instrText>
        </w:r>
        <w:r>
          <w:fldChar w:fldCharType="separate"/>
        </w:r>
        <w:r>
          <w:t>22</w:t>
        </w:r>
        <w:r>
          <w:fldChar w:fldCharType="end"/>
        </w:r>
      </w:hyperlink>
    </w:p>
    <w:p>
      <w:pPr>
        <w:pStyle w:val="TOC1"/>
        <w:tabs>
          <w:tab w:val="right" w:leader="dot" w:pos="8306"/>
        </w:tabs>
      </w:pPr>
      <w:hyperlink w:anchor="_Toc9629" w:history="1">
        <w:r>
          <w:rPr>
            <w:rFonts w:ascii="仿宋" w:eastAsia="仿宋" w:hAnsi="仿宋" w:cs="仿宋" w:hint="eastAsia"/>
            <w:lang w:eastAsia="zh-CN"/>
          </w:rPr>
          <w:t>九、豪华客车项目经营效益</w:t>
        </w:r>
        <w:r>
          <w:tab/>
        </w:r>
        <w:r>
          <w:fldChar w:fldCharType="begin"/>
        </w:r>
        <w:r>
          <w:instrText xml:space="preserve"> PAGEREF _Toc9629 \h </w:instrText>
        </w:r>
        <w:r>
          <w:fldChar w:fldCharType="separate"/>
        </w:r>
        <w:r>
          <w:t>22</w:t>
        </w:r>
        <w:r>
          <w:fldChar w:fldCharType="end"/>
        </w:r>
      </w:hyperlink>
    </w:p>
    <w:p>
      <w:pPr>
        <w:pStyle w:val="TOC2"/>
        <w:tabs>
          <w:tab w:val="right" w:leader="dot" w:pos="8306"/>
        </w:tabs>
      </w:pPr>
      <w:hyperlink w:anchor="_Toc754" w:history="1">
        <w:r>
          <w:rPr>
            <w:rFonts w:ascii="仿宋" w:eastAsia="仿宋" w:hAnsi="仿宋" w:cs="仿宋" w:hint="eastAsia"/>
            <w:lang w:eastAsia="zh-CN"/>
          </w:rPr>
          <w:t>(一)、经济评价财务测算</w:t>
        </w:r>
        <w:r>
          <w:tab/>
        </w:r>
        <w:r>
          <w:fldChar w:fldCharType="begin"/>
        </w:r>
        <w:r>
          <w:instrText xml:space="preserve"> PAGEREF _Toc754 \h </w:instrText>
        </w:r>
        <w:r>
          <w:fldChar w:fldCharType="separate"/>
        </w:r>
        <w:r>
          <w:t>22</w:t>
        </w:r>
        <w:r>
          <w:fldChar w:fldCharType="end"/>
        </w:r>
      </w:hyperlink>
    </w:p>
    <w:p>
      <w:pPr>
        <w:pStyle w:val="TOC2"/>
        <w:tabs>
          <w:tab w:val="right" w:leader="dot" w:pos="8306"/>
        </w:tabs>
      </w:pPr>
      <w:hyperlink w:anchor="_Toc7113" w:history="1">
        <w:r>
          <w:rPr>
            <w:rFonts w:ascii="仿宋" w:eastAsia="仿宋" w:hAnsi="仿宋" w:cs="仿宋" w:hint="eastAsia"/>
            <w:lang w:eastAsia="zh-CN"/>
          </w:rPr>
          <w:t>(二)、豪华客车项目盈利能力分析</w:t>
        </w:r>
        <w:r>
          <w:tab/>
        </w:r>
        <w:r>
          <w:fldChar w:fldCharType="begin"/>
        </w:r>
        <w:r>
          <w:instrText xml:space="preserve"> PAGEREF _Toc7113 \h </w:instrText>
        </w:r>
        <w:r>
          <w:fldChar w:fldCharType="separate"/>
        </w:r>
        <w:r>
          <w:t>24</w:t>
        </w:r>
        <w:r>
          <w:fldChar w:fldCharType="end"/>
        </w:r>
      </w:hyperlink>
    </w:p>
    <w:p>
      <w:pPr>
        <w:pStyle w:val="TOC1"/>
        <w:tabs>
          <w:tab w:val="right" w:leader="dot" w:pos="8306"/>
        </w:tabs>
      </w:pPr>
      <w:hyperlink w:anchor="_Toc25903" w:history="1">
        <w:r>
          <w:rPr>
            <w:rFonts w:ascii="仿宋" w:eastAsia="仿宋" w:hAnsi="仿宋" w:cs="仿宋" w:hint="eastAsia"/>
            <w:lang w:eastAsia="zh-CN"/>
          </w:rPr>
          <w:t>十、豪华客车项目技术管理</w:t>
        </w:r>
        <w:r>
          <w:tab/>
        </w:r>
        <w:r>
          <w:fldChar w:fldCharType="begin"/>
        </w:r>
        <w:r>
          <w:instrText xml:space="preserve"> PAGEREF _Toc25903 \h </w:instrText>
        </w:r>
        <w:r>
          <w:fldChar w:fldCharType="separate"/>
        </w:r>
        <w:r>
          <w:t>24</w:t>
        </w:r>
        <w:r>
          <w:fldChar w:fldCharType="end"/>
        </w:r>
      </w:hyperlink>
    </w:p>
    <w:p>
      <w:pPr>
        <w:pStyle w:val="TOC2"/>
        <w:tabs>
          <w:tab w:val="right" w:leader="dot" w:pos="8306"/>
        </w:tabs>
      </w:pPr>
      <w:hyperlink w:anchor="_Toc6636" w:history="1">
        <w:r>
          <w:rPr>
            <w:rFonts w:ascii="仿宋" w:eastAsia="仿宋" w:hAnsi="仿宋" w:cs="仿宋" w:hint="eastAsia"/>
            <w:lang w:eastAsia="zh-CN"/>
          </w:rPr>
          <w:t>(一)、技术方案选用方向</w:t>
        </w:r>
        <w:r>
          <w:tab/>
        </w:r>
        <w:r>
          <w:fldChar w:fldCharType="begin"/>
        </w:r>
        <w:r>
          <w:instrText xml:space="preserve"> PAGEREF _Toc6636 \h </w:instrText>
        </w:r>
        <w:r>
          <w:fldChar w:fldCharType="separate"/>
        </w:r>
        <w:r>
          <w:t>24</w:t>
        </w:r>
        <w:r>
          <w:fldChar w:fldCharType="end"/>
        </w:r>
      </w:hyperlink>
    </w:p>
    <w:p>
      <w:pPr>
        <w:pStyle w:val="TOC2"/>
        <w:tabs>
          <w:tab w:val="right" w:leader="dot" w:pos="8306"/>
        </w:tabs>
      </w:pPr>
      <w:hyperlink w:anchor="_Toc8923" w:history="1">
        <w:r>
          <w:rPr>
            <w:rFonts w:ascii="仿宋" w:eastAsia="仿宋" w:hAnsi="仿宋" w:cs="仿宋" w:hint="eastAsia"/>
            <w:lang w:eastAsia="zh-CN"/>
          </w:rPr>
          <w:t>(二)、工艺技术方案选用原则</w:t>
        </w:r>
        <w:r>
          <w:tab/>
        </w:r>
        <w:r>
          <w:fldChar w:fldCharType="begin"/>
        </w:r>
        <w:r>
          <w:instrText xml:space="preserve"> PAGEREF _Toc8923 \h </w:instrText>
        </w:r>
        <w:r>
          <w:fldChar w:fldCharType="separate"/>
        </w:r>
        <w:r>
          <w:t>26</w:t>
        </w:r>
        <w:r>
          <w:fldChar w:fldCharType="end"/>
        </w:r>
      </w:hyperlink>
    </w:p>
    <w:p>
      <w:pPr>
        <w:pStyle w:val="TOC2"/>
        <w:tabs>
          <w:tab w:val="right" w:leader="dot" w:pos="8306"/>
        </w:tabs>
      </w:pPr>
      <w:hyperlink w:anchor="_Toc17609" w:history="1">
        <w:r>
          <w:rPr>
            <w:rFonts w:ascii="仿宋" w:eastAsia="仿宋" w:hAnsi="仿宋" w:cs="仿宋" w:hint="eastAsia"/>
            <w:lang w:eastAsia="zh-CN"/>
          </w:rPr>
          <w:t>(三)、工艺技术方案要求</w:t>
        </w:r>
        <w:r>
          <w:tab/>
        </w:r>
        <w:r>
          <w:fldChar w:fldCharType="begin"/>
        </w:r>
        <w:r>
          <w:instrText xml:space="preserve"> PAGEREF _Toc17609 \h </w:instrText>
        </w:r>
        <w:r>
          <w:fldChar w:fldCharType="separate"/>
        </w:r>
        <w:r>
          <w:t>28</w:t>
        </w:r>
        <w:r>
          <w:fldChar w:fldCharType="end"/>
        </w:r>
      </w:hyperlink>
    </w:p>
    <w:p>
      <w:pPr>
        <w:pStyle w:val="TOC1"/>
        <w:tabs>
          <w:tab w:val="right" w:leader="dot" w:pos="8306"/>
        </w:tabs>
      </w:pPr>
      <w:hyperlink w:anchor="_Toc21054" w:history="1">
        <w:r>
          <w:rPr>
            <w:rFonts w:ascii="仿宋" w:eastAsia="仿宋" w:hAnsi="仿宋" w:cs="仿宋" w:hint="eastAsia"/>
            <w:lang w:eastAsia="zh-CN"/>
          </w:rPr>
          <w:t>十一、豪华客车项目人力资源管理</w:t>
        </w:r>
        <w:r>
          <w:tab/>
        </w:r>
        <w:r>
          <w:fldChar w:fldCharType="begin"/>
        </w:r>
        <w:r>
          <w:instrText xml:space="preserve"> PAGEREF _Toc21054 \h </w:instrText>
        </w:r>
        <w:r>
          <w:fldChar w:fldCharType="separate"/>
        </w:r>
        <w:r>
          <w:t>30</w:t>
        </w:r>
        <w:r>
          <w:fldChar w:fldCharType="end"/>
        </w:r>
      </w:hyperlink>
    </w:p>
    <w:p>
      <w:pPr>
        <w:pStyle w:val="TOC2"/>
        <w:tabs>
          <w:tab w:val="right" w:leader="dot" w:pos="8306"/>
        </w:tabs>
      </w:pPr>
      <w:hyperlink w:anchor="_Toc5080" w:history="1">
        <w:r>
          <w:rPr>
            <w:rFonts w:ascii="仿宋" w:eastAsia="仿宋" w:hAnsi="仿宋" w:cs="仿宋" w:hint="eastAsia"/>
            <w:lang w:eastAsia="zh-CN"/>
          </w:rPr>
          <w:t>(一)、建立健全的预算管理制度</w:t>
        </w:r>
        <w:r>
          <w:tab/>
        </w:r>
        <w:r>
          <w:fldChar w:fldCharType="begin"/>
        </w:r>
        <w:r>
          <w:instrText xml:space="preserve"> PAGEREF _Toc5080 \h </w:instrText>
        </w:r>
        <w:r>
          <w:fldChar w:fldCharType="separate"/>
        </w:r>
        <w:r>
          <w:t>30</w:t>
        </w:r>
        <w:r>
          <w:fldChar w:fldCharType="end"/>
        </w:r>
      </w:hyperlink>
    </w:p>
    <w:p>
      <w:pPr>
        <w:pStyle w:val="TOC2"/>
        <w:tabs>
          <w:tab w:val="right" w:leader="dot" w:pos="8306"/>
        </w:tabs>
      </w:pPr>
      <w:hyperlink w:anchor="_Toc1552" w:history="1">
        <w:r>
          <w:rPr>
            <w:rFonts w:ascii="仿宋" w:eastAsia="仿宋" w:hAnsi="仿宋" w:cs="仿宋" w:hint="eastAsia"/>
            <w:lang w:eastAsia="zh-CN"/>
          </w:rPr>
          <w:t>(二)、加强资金流动监控</w:t>
        </w:r>
        <w:r>
          <w:tab/>
        </w:r>
        <w:r>
          <w:fldChar w:fldCharType="begin"/>
        </w:r>
        <w:r>
          <w:instrText xml:space="preserve"> PAGEREF _Toc1552 \h </w:instrText>
        </w:r>
        <w:r>
          <w:fldChar w:fldCharType="separate"/>
        </w:r>
        <w:r>
          <w:t>32</w:t>
        </w:r>
        <w:r>
          <w:fldChar w:fldCharType="end"/>
        </w:r>
      </w:hyperlink>
    </w:p>
    <w:p>
      <w:pPr>
        <w:pStyle w:val="TOC2"/>
        <w:tabs>
          <w:tab w:val="right" w:leader="dot" w:pos="8306"/>
        </w:tabs>
      </w:pPr>
      <w:hyperlink w:anchor="_Toc27523" w:history="1">
        <w:r>
          <w:rPr>
            <w:rFonts w:ascii="仿宋" w:eastAsia="仿宋" w:hAnsi="仿宋" w:cs="仿宋" w:hint="eastAsia"/>
            <w:lang w:eastAsia="zh-CN"/>
          </w:rPr>
          <w:t>(三)、制定完善的风险控制机制</w:t>
        </w:r>
        <w:r>
          <w:tab/>
        </w:r>
        <w:r>
          <w:fldChar w:fldCharType="begin"/>
        </w:r>
        <w:r>
          <w:instrText xml:space="preserve"> PAGEREF _Toc27523 \h </w:instrText>
        </w:r>
        <w:r>
          <w:fldChar w:fldCharType="separate"/>
        </w:r>
        <w:r>
          <w:t>33</w:t>
        </w:r>
        <w:r>
          <w:fldChar w:fldCharType="end"/>
        </w:r>
      </w:hyperlink>
    </w:p>
    <w:p>
      <w:pPr>
        <w:pStyle w:val="TOC2"/>
        <w:tabs>
          <w:tab w:val="right" w:leader="dot" w:pos="8306"/>
        </w:tabs>
      </w:pPr>
      <w:hyperlink w:anchor="_Toc9028" w:history="1">
        <w:r>
          <w:rPr>
            <w:rFonts w:ascii="仿宋" w:eastAsia="仿宋" w:hAnsi="仿宋" w:cs="仿宋" w:hint="eastAsia"/>
            <w:lang w:eastAsia="zh-CN"/>
          </w:rPr>
          <w:t>(四)、优化成本管理</w:t>
        </w:r>
        <w:r>
          <w:tab/>
        </w:r>
        <w:r>
          <w:fldChar w:fldCharType="begin"/>
        </w:r>
        <w:r>
          <w:instrText xml:space="preserve"> PAGEREF _Toc9028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74" w:history="1">
        <w:r>
          <w:rPr>
            <w:rFonts w:ascii="仿宋" w:eastAsia="仿宋" w:hAnsi="仿宋" w:cs="仿宋" w:hint="eastAsia"/>
            <w:lang w:eastAsia="zh-CN"/>
          </w:rPr>
          <w:t>十二、豪华客车项目环境影响分析</w:t>
        </w:r>
        <w:r>
          <w:tab/>
        </w:r>
        <w:r>
          <w:fldChar w:fldCharType="begin"/>
        </w:r>
        <w:r>
          <w:instrText xml:space="preserve"> PAGEREF _Toc11874 \h </w:instrText>
        </w:r>
        <w:r>
          <w:fldChar w:fldCharType="separate"/>
        </w:r>
        <w:r>
          <w:t>36</w:t>
        </w:r>
        <w:r>
          <w:fldChar w:fldCharType="end"/>
        </w:r>
      </w:hyperlink>
    </w:p>
    <w:p>
      <w:pPr>
        <w:pStyle w:val="TOC2"/>
        <w:tabs>
          <w:tab w:val="right" w:leader="dot" w:pos="8306"/>
        </w:tabs>
      </w:pPr>
      <w:hyperlink w:anchor="_Toc30169" w:history="1">
        <w:r>
          <w:rPr>
            <w:rFonts w:ascii="仿宋" w:eastAsia="仿宋" w:hAnsi="仿宋" w:cs="仿宋" w:hint="eastAsia"/>
            <w:lang w:eastAsia="zh-CN"/>
          </w:rPr>
          <w:t>(一)、建设区域环境质量现状</w:t>
        </w:r>
        <w:r>
          <w:tab/>
        </w:r>
        <w:r>
          <w:fldChar w:fldCharType="begin"/>
        </w:r>
        <w:r>
          <w:instrText xml:space="preserve"> PAGEREF _Toc30169 \h </w:instrText>
        </w:r>
        <w:r>
          <w:fldChar w:fldCharType="separate"/>
        </w:r>
        <w:r>
          <w:t>36</w:t>
        </w:r>
        <w:r>
          <w:fldChar w:fldCharType="end"/>
        </w:r>
      </w:hyperlink>
    </w:p>
    <w:p>
      <w:pPr>
        <w:pStyle w:val="TOC2"/>
        <w:tabs>
          <w:tab w:val="right" w:leader="dot" w:pos="8306"/>
        </w:tabs>
      </w:pPr>
      <w:hyperlink w:anchor="_Toc9518" w:history="1">
        <w:r>
          <w:rPr>
            <w:rFonts w:ascii="仿宋" w:eastAsia="仿宋" w:hAnsi="仿宋" w:cs="仿宋" w:hint="eastAsia"/>
            <w:lang w:eastAsia="zh-CN"/>
          </w:rPr>
          <w:t>(二)、建设期环境保护</w:t>
        </w:r>
        <w:r>
          <w:tab/>
        </w:r>
        <w:r>
          <w:fldChar w:fldCharType="begin"/>
        </w:r>
        <w:r>
          <w:instrText xml:space="preserve"> PAGEREF _Toc9518 \h </w:instrText>
        </w:r>
        <w:r>
          <w:fldChar w:fldCharType="separate"/>
        </w:r>
        <w:r>
          <w:t>37</w:t>
        </w:r>
        <w:r>
          <w:fldChar w:fldCharType="end"/>
        </w:r>
      </w:hyperlink>
    </w:p>
    <w:p>
      <w:pPr>
        <w:pStyle w:val="TOC2"/>
        <w:tabs>
          <w:tab w:val="right" w:leader="dot" w:pos="8306"/>
        </w:tabs>
      </w:pPr>
      <w:hyperlink w:anchor="_Toc1394" w:history="1">
        <w:r>
          <w:rPr>
            <w:rFonts w:ascii="仿宋" w:eastAsia="仿宋" w:hAnsi="仿宋" w:cs="仿宋" w:hint="eastAsia"/>
            <w:lang w:eastAsia="zh-CN"/>
          </w:rPr>
          <w:t>(三)、运营期环境保护</w:t>
        </w:r>
        <w:r>
          <w:tab/>
        </w:r>
        <w:r>
          <w:fldChar w:fldCharType="begin"/>
        </w:r>
        <w:r>
          <w:instrText xml:space="preserve"> PAGEREF _Toc1394 \h </w:instrText>
        </w:r>
        <w:r>
          <w:fldChar w:fldCharType="separate"/>
        </w:r>
        <w:r>
          <w:t>39</w:t>
        </w:r>
        <w:r>
          <w:fldChar w:fldCharType="end"/>
        </w:r>
      </w:hyperlink>
    </w:p>
    <w:p>
      <w:pPr>
        <w:pStyle w:val="TOC2"/>
        <w:tabs>
          <w:tab w:val="right" w:leader="dot" w:pos="8306"/>
        </w:tabs>
      </w:pPr>
      <w:hyperlink w:anchor="_Toc23432" w:history="1">
        <w:r>
          <w:rPr>
            <w:rFonts w:ascii="仿宋" w:eastAsia="仿宋" w:hAnsi="仿宋" w:cs="仿宋" w:hint="eastAsia"/>
            <w:lang w:eastAsia="zh-CN"/>
          </w:rPr>
          <w:t>(四)、豪华客车项目建设对区域经济的影响</w:t>
        </w:r>
        <w:r>
          <w:tab/>
        </w:r>
        <w:r>
          <w:fldChar w:fldCharType="begin"/>
        </w:r>
        <w:r>
          <w:instrText xml:space="preserve"> PAGEREF _Toc23432 \h </w:instrText>
        </w:r>
        <w:r>
          <w:fldChar w:fldCharType="separate"/>
        </w:r>
        <w:r>
          <w:t>40</w:t>
        </w:r>
        <w:r>
          <w:fldChar w:fldCharType="end"/>
        </w:r>
      </w:hyperlink>
    </w:p>
    <w:p>
      <w:pPr>
        <w:pStyle w:val="TOC2"/>
        <w:tabs>
          <w:tab w:val="right" w:leader="dot" w:pos="8306"/>
        </w:tabs>
      </w:pPr>
      <w:hyperlink w:anchor="_Toc28560" w:history="1">
        <w:r>
          <w:rPr>
            <w:rFonts w:ascii="仿宋" w:eastAsia="仿宋" w:hAnsi="仿宋" w:cs="仿宋" w:hint="eastAsia"/>
            <w:lang w:eastAsia="zh-CN"/>
          </w:rPr>
          <w:t>(五)、废弃物处理</w:t>
        </w:r>
        <w:r>
          <w:tab/>
        </w:r>
        <w:r>
          <w:fldChar w:fldCharType="begin"/>
        </w:r>
        <w:r>
          <w:instrText xml:space="preserve"> PAGEREF _Toc28560 \h </w:instrText>
        </w:r>
        <w:r>
          <w:fldChar w:fldCharType="separate"/>
        </w:r>
        <w:r>
          <w:t>42</w:t>
        </w:r>
        <w:r>
          <w:fldChar w:fldCharType="end"/>
        </w:r>
      </w:hyperlink>
    </w:p>
    <w:p>
      <w:pPr>
        <w:pStyle w:val="TOC2"/>
        <w:tabs>
          <w:tab w:val="right" w:leader="dot" w:pos="8306"/>
        </w:tabs>
      </w:pPr>
      <w:hyperlink w:anchor="_Toc16331" w:history="1">
        <w:r>
          <w:rPr>
            <w:rFonts w:ascii="仿宋" w:eastAsia="仿宋" w:hAnsi="仿宋" w:cs="仿宋" w:hint="eastAsia"/>
            <w:lang w:eastAsia="zh-CN"/>
          </w:rPr>
          <w:t>(六)、特殊环境影响分析</w:t>
        </w:r>
        <w:r>
          <w:tab/>
        </w:r>
        <w:r>
          <w:fldChar w:fldCharType="begin"/>
        </w:r>
        <w:r>
          <w:instrText xml:space="preserve"> PAGEREF _Toc16331 \h </w:instrText>
        </w:r>
        <w:r>
          <w:fldChar w:fldCharType="separate"/>
        </w:r>
        <w:r>
          <w:t>43</w:t>
        </w:r>
        <w:r>
          <w:fldChar w:fldCharType="end"/>
        </w:r>
      </w:hyperlink>
    </w:p>
    <w:p>
      <w:pPr>
        <w:pStyle w:val="TOC2"/>
        <w:tabs>
          <w:tab w:val="right" w:leader="dot" w:pos="8306"/>
        </w:tabs>
      </w:pPr>
      <w:hyperlink w:anchor="_Toc31894" w:history="1">
        <w:r>
          <w:rPr>
            <w:rFonts w:ascii="仿宋" w:eastAsia="仿宋" w:hAnsi="仿宋" w:cs="仿宋" w:hint="eastAsia"/>
            <w:lang w:eastAsia="zh-CN"/>
          </w:rPr>
          <w:t>(七)、清洁生产</w:t>
        </w:r>
        <w:r>
          <w:tab/>
        </w:r>
        <w:r>
          <w:fldChar w:fldCharType="begin"/>
        </w:r>
        <w:r>
          <w:instrText xml:space="preserve"> PAGEREF _Toc31894 \h </w:instrText>
        </w:r>
        <w:r>
          <w:fldChar w:fldCharType="separate"/>
        </w:r>
        <w:r>
          <w:t>44</w:t>
        </w:r>
        <w:r>
          <w:fldChar w:fldCharType="end"/>
        </w:r>
      </w:hyperlink>
    </w:p>
    <w:p>
      <w:pPr>
        <w:pStyle w:val="TOC2"/>
        <w:tabs>
          <w:tab w:val="right" w:leader="dot" w:pos="8306"/>
        </w:tabs>
      </w:pPr>
      <w:hyperlink w:anchor="_Toc1653" w:history="1">
        <w:r>
          <w:rPr>
            <w:rFonts w:ascii="仿宋" w:eastAsia="仿宋" w:hAnsi="仿宋" w:cs="仿宋" w:hint="eastAsia"/>
            <w:lang w:eastAsia="zh-CN"/>
          </w:rPr>
          <w:t>(八)、环境保护综合评价</w:t>
        </w:r>
        <w:r>
          <w:tab/>
        </w:r>
        <w:r>
          <w:fldChar w:fldCharType="begin"/>
        </w:r>
        <w:r>
          <w:instrText xml:space="preserve"> PAGEREF _Toc1653 \h </w:instrText>
        </w:r>
        <w:r>
          <w:fldChar w:fldCharType="separate"/>
        </w:r>
        <w:r>
          <w:t>45</w:t>
        </w:r>
        <w:r>
          <w:fldChar w:fldCharType="end"/>
        </w:r>
      </w:hyperlink>
    </w:p>
    <w:p>
      <w:pPr>
        <w:pStyle w:val="TOC1"/>
        <w:tabs>
          <w:tab w:val="right" w:leader="dot" w:pos="8306"/>
        </w:tabs>
      </w:pPr>
      <w:hyperlink w:anchor="_Toc3590" w:history="1">
        <w:r>
          <w:rPr>
            <w:rFonts w:ascii="仿宋" w:eastAsia="仿宋" w:hAnsi="仿宋" w:cs="仿宋" w:hint="eastAsia"/>
            <w:lang w:eastAsia="zh-CN"/>
          </w:rPr>
          <w:t>十三、豪华客车项目治理与监督</w:t>
        </w:r>
        <w:r>
          <w:tab/>
        </w:r>
        <w:r>
          <w:fldChar w:fldCharType="begin"/>
        </w:r>
        <w:r>
          <w:instrText xml:space="preserve"> PAGEREF _Toc3590 \h </w:instrText>
        </w:r>
        <w:r>
          <w:fldChar w:fldCharType="separate"/>
        </w:r>
        <w:r>
          <w:t>46</w:t>
        </w:r>
        <w:r>
          <w:fldChar w:fldCharType="end"/>
        </w:r>
      </w:hyperlink>
    </w:p>
    <w:p>
      <w:pPr>
        <w:pStyle w:val="TOC2"/>
        <w:tabs>
          <w:tab w:val="right" w:leader="dot" w:pos="8306"/>
        </w:tabs>
      </w:pPr>
      <w:hyperlink w:anchor="_Toc5626" w:history="1">
        <w:r>
          <w:rPr>
            <w:rFonts w:ascii="仿宋" w:eastAsia="仿宋" w:hAnsi="仿宋" w:cs="仿宋" w:hint="eastAsia"/>
            <w:lang w:eastAsia="zh-CN"/>
          </w:rPr>
          <w:t>(一)、豪华客车项目治理结构</w:t>
        </w:r>
        <w:r>
          <w:tab/>
        </w:r>
        <w:r>
          <w:fldChar w:fldCharType="begin"/>
        </w:r>
        <w:r>
          <w:instrText xml:space="preserve"> PAGEREF _Toc5626 \h </w:instrText>
        </w:r>
        <w:r>
          <w:fldChar w:fldCharType="separate"/>
        </w:r>
        <w:r>
          <w:t>46</w:t>
        </w:r>
        <w:r>
          <w:fldChar w:fldCharType="end"/>
        </w:r>
      </w:hyperlink>
    </w:p>
    <w:p>
      <w:pPr>
        <w:pStyle w:val="TOC2"/>
        <w:tabs>
          <w:tab w:val="right" w:leader="dot" w:pos="8306"/>
        </w:tabs>
      </w:pPr>
      <w:hyperlink w:anchor="_Toc14234" w:history="1">
        <w:r>
          <w:rPr>
            <w:rFonts w:ascii="仿宋" w:eastAsia="仿宋" w:hAnsi="仿宋" w:cs="仿宋" w:hint="eastAsia"/>
            <w:lang w:eastAsia="zh-CN"/>
          </w:rPr>
          <w:t>(二)、监督与审计</w:t>
        </w:r>
        <w:r>
          <w:tab/>
        </w:r>
        <w:r>
          <w:fldChar w:fldCharType="begin"/>
        </w:r>
        <w:r>
          <w:instrText xml:space="preserve"> PAGEREF _Toc14234 \h </w:instrText>
        </w:r>
        <w:r>
          <w:fldChar w:fldCharType="separate"/>
        </w:r>
        <w:r>
          <w:t>48</w:t>
        </w:r>
        <w:r>
          <w:fldChar w:fldCharType="end"/>
        </w:r>
      </w:hyperlink>
    </w:p>
    <w:p>
      <w:pPr>
        <w:pStyle w:val="TOC1"/>
        <w:tabs>
          <w:tab w:val="right" w:leader="dot" w:pos="8306"/>
        </w:tabs>
      </w:pPr>
      <w:hyperlink w:anchor="_Toc9717" w:history="1">
        <w:r>
          <w:rPr>
            <w:rFonts w:ascii="仿宋" w:eastAsia="仿宋" w:hAnsi="仿宋" w:cs="仿宋" w:hint="eastAsia"/>
            <w:lang w:eastAsia="zh-CN"/>
          </w:rPr>
          <w:t>十四、豪华客车项目工程方案分析</w:t>
        </w:r>
        <w:r>
          <w:tab/>
        </w:r>
        <w:r>
          <w:fldChar w:fldCharType="begin"/>
        </w:r>
        <w:r>
          <w:instrText xml:space="preserve"> PAGEREF _Toc9717 \h </w:instrText>
        </w:r>
        <w:r>
          <w:fldChar w:fldCharType="separate"/>
        </w:r>
        <w:r>
          <w:t>49</w:t>
        </w:r>
        <w:r>
          <w:fldChar w:fldCharType="end"/>
        </w:r>
      </w:hyperlink>
    </w:p>
    <w:p>
      <w:pPr>
        <w:pStyle w:val="TOC2"/>
        <w:tabs>
          <w:tab w:val="right" w:leader="dot" w:pos="8306"/>
        </w:tabs>
      </w:pPr>
      <w:hyperlink w:anchor="_Toc8738" w:history="1">
        <w:r>
          <w:rPr>
            <w:rFonts w:ascii="仿宋" w:eastAsia="仿宋" w:hAnsi="仿宋" w:cs="仿宋" w:hint="eastAsia"/>
            <w:lang w:eastAsia="zh-CN"/>
          </w:rPr>
          <w:t>(一)、建筑工程设计原则</w:t>
        </w:r>
        <w:r>
          <w:tab/>
        </w:r>
        <w:r>
          <w:fldChar w:fldCharType="begin"/>
        </w:r>
        <w:r>
          <w:instrText xml:space="preserve"> PAGEREF _Toc8738 \h </w:instrText>
        </w:r>
        <w:r>
          <w:fldChar w:fldCharType="separate"/>
        </w:r>
        <w:r>
          <w:t>49</w:t>
        </w:r>
        <w:r>
          <w:fldChar w:fldCharType="end"/>
        </w:r>
      </w:hyperlink>
    </w:p>
    <w:p>
      <w:pPr>
        <w:pStyle w:val="TOC2"/>
        <w:tabs>
          <w:tab w:val="right" w:leader="dot" w:pos="8306"/>
        </w:tabs>
      </w:pPr>
      <w:hyperlink w:anchor="_Toc21777" w:history="1">
        <w:r>
          <w:rPr>
            <w:rFonts w:ascii="仿宋" w:eastAsia="仿宋" w:hAnsi="仿宋" w:cs="仿宋" w:hint="eastAsia"/>
            <w:lang w:eastAsia="zh-CN"/>
          </w:rPr>
          <w:t>(二)、土建工程建设指标</w:t>
        </w:r>
        <w:r>
          <w:tab/>
        </w:r>
        <w:r>
          <w:fldChar w:fldCharType="begin"/>
        </w:r>
        <w:r>
          <w:instrText xml:space="preserve"> PAGEREF _Toc21777 \h </w:instrText>
        </w:r>
        <w:r>
          <w:fldChar w:fldCharType="separate"/>
        </w:r>
        <w:r>
          <w:t>52</w:t>
        </w:r>
        <w:r>
          <w:fldChar w:fldCharType="end"/>
        </w:r>
      </w:hyperlink>
    </w:p>
    <w:p>
      <w:pPr>
        <w:pStyle w:val="TOC1"/>
        <w:tabs>
          <w:tab w:val="right" w:leader="dot" w:pos="8306"/>
        </w:tabs>
      </w:pPr>
      <w:hyperlink w:anchor="_Toc3661" w:history="1">
        <w:r>
          <w:rPr>
            <w:rFonts w:ascii="仿宋" w:eastAsia="仿宋" w:hAnsi="仿宋" w:cs="仿宋" w:hint="eastAsia"/>
            <w:lang w:eastAsia="zh-CN"/>
          </w:rPr>
          <w:t>十五、供应链管理</w:t>
        </w:r>
        <w:r>
          <w:tab/>
        </w:r>
        <w:r>
          <w:fldChar w:fldCharType="begin"/>
        </w:r>
        <w:r>
          <w:instrText xml:space="preserve"> PAGEREF _Toc3661 \h </w:instrText>
        </w:r>
        <w:r>
          <w:fldChar w:fldCharType="separate"/>
        </w:r>
        <w:r>
          <w:t>54</w:t>
        </w:r>
        <w:r>
          <w:fldChar w:fldCharType="end"/>
        </w:r>
      </w:hyperlink>
    </w:p>
    <w:p>
      <w:pPr>
        <w:pStyle w:val="TOC2"/>
        <w:tabs>
          <w:tab w:val="right" w:leader="dot" w:pos="8306"/>
        </w:tabs>
      </w:pPr>
      <w:hyperlink w:anchor="_Toc21291" w:history="1">
        <w:r>
          <w:rPr>
            <w:rFonts w:ascii="仿宋" w:eastAsia="仿宋" w:hAnsi="仿宋" w:cs="仿宋" w:hint="eastAsia"/>
            <w:lang w:eastAsia="zh-CN"/>
          </w:rPr>
          <w:t>(一)、供应链战略规划</w:t>
        </w:r>
        <w:r>
          <w:tab/>
        </w:r>
        <w:r>
          <w:fldChar w:fldCharType="begin"/>
        </w:r>
        <w:r>
          <w:instrText xml:space="preserve"> PAGEREF _Toc21291 \h </w:instrText>
        </w:r>
        <w:r>
          <w:fldChar w:fldCharType="separate"/>
        </w:r>
        <w:r>
          <w:t>54</w:t>
        </w:r>
        <w:r>
          <w:fldChar w:fldCharType="end"/>
        </w:r>
      </w:hyperlink>
    </w:p>
    <w:p>
      <w:pPr>
        <w:pStyle w:val="TOC2"/>
        <w:tabs>
          <w:tab w:val="right" w:leader="dot" w:pos="8306"/>
        </w:tabs>
      </w:pPr>
      <w:hyperlink w:anchor="_Toc16075" w:history="1">
        <w:r>
          <w:rPr>
            <w:rFonts w:ascii="仿宋" w:eastAsia="仿宋" w:hAnsi="仿宋" w:cs="仿宋" w:hint="eastAsia"/>
            <w:lang w:eastAsia="zh-CN"/>
          </w:rPr>
          <w:t>(二)、供应商选择与合作</w:t>
        </w:r>
        <w:r>
          <w:tab/>
        </w:r>
        <w:r>
          <w:fldChar w:fldCharType="begin"/>
        </w:r>
        <w:r>
          <w:instrText xml:space="preserve"> PAGEREF _Toc16075 \h </w:instrText>
        </w:r>
        <w:r>
          <w:fldChar w:fldCharType="separate"/>
        </w:r>
        <w:r>
          <w:t>56</w:t>
        </w:r>
        <w:r>
          <w:fldChar w:fldCharType="end"/>
        </w:r>
      </w:hyperlink>
    </w:p>
    <w:p>
      <w:pPr>
        <w:pStyle w:val="TOC2"/>
        <w:tabs>
          <w:tab w:val="right" w:leader="dot" w:pos="8306"/>
        </w:tabs>
      </w:pPr>
      <w:hyperlink w:anchor="_Toc26991" w:history="1">
        <w:r>
          <w:rPr>
            <w:rFonts w:ascii="仿宋" w:eastAsia="仿宋" w:hAnsi="仿宋" w:cs="仿宋" w:hint="eastAsia"/>
            <w:lang w:eastAsia="zh-CN"/>
          </w:rPr>
          <w:t>(三)、物流与库存管理</w:t>
        </w:r>
        <w:r>
          <w:tab/>
        </w:r>
        <w:r>
          <w:fldChar w:fldCharType="begin"/>
        </w:r>
        <w:r>
          <w:instrText xml:space="preserve"> PAGEREF _Toc26991 \h </w:instrText>
        </w:r>
        <w:r>
          <w:fldChar w:fldCharType="separate"/>
        </w:r>
        <w:r>
          <w:t>57</w:t>
        </w:r>
        <w:r>
          <w:fldChar w:fldCharType="end"/>
        </w:r>
      </w:hyperlink>
    </w:p>
    <w:p>
      <w:pPr>
        <w:pStyle w:val="TOC1"/>
        <w:tabs>
          <w:tab w:val="right" w:leader="dot" w:pos="8306"/>
        </w:tabs>
      </w:pPr>
      <w:hyperlink w:anchor="_Toc3175" w:history="1">
        <w:r>
          <w:rPr>
            <w:rFonts w:ascii="仿宋" w:eastAsia="仿宋" w:hAnsi="仿宋" w:cs="仿宋" w:hint="eastAsia"/>
            <w:lang w:eastAsia="zh-CN"/>
          </w:rPr>
          <w:t>十六、风险识别与分类</w:t>
        </w:r>
        <w:r>
          <w:tab/>
        </w:r>
        <w:r>
          <w:fldChar w:fldCharType="begin"/>
        </w:r>
        <w:r>
          <w:instrText xml:space="preserve"> PAGEREF _Toc3175 \h </w:instrText>
        </w:r>
        <w:r>
          <w:fldChar w:fldCharType="separate"/>
        </w:r>
        <w:r>
          <w:t>58</w:t>
        </w:r>
        <w:r>
          <w:fldChar w:fldCharType="end"/>
        </w:r>
      </w:hyperlink>
    </w:p>
    <w:p>
      <w:pPr>
        <w:pStyle w:val="TOC2"/>
        <w:tabs>
          <w:tab w:val="right" w:leader="dot" w:pos="8306"/>
        </w:tabs>
      </w:pPr>
      <w:hyperlink w:anchor="_Toc14470" w:history="1">
        <w:r>
          <w:rPr>
            <w:rFonts w:ascii="仿宋" w:eastAsia="仿宋" w:hAnsi="仿宋" w:cs="仿宋" w:hint="eastAsia"/>
            <w:lang w:eastAsia="zh-CN"/>
          </w:rPr>
          <w:t>(一)、风险识别</w:t>
        </w:r>
        <w:r>
          <w:tab/>
        </w:r>
        <w:r>
          <w:fldChar w:fldCharType="begin"/>
        </w:r>
        <w:r>
          <w:instrText xml:space="preserve"> PAGEREF _Toc14470 \h </w:instrText>
        </w:r>
        <w:r>
          <w:fldChar w:fldCharType="separate"/>
        </w:r>
        <w:r>
          <w:t>58</w:t>
        </w:r>
        <w:r>
          <w:fldChar w:fldCharType="end"/>
        </w:r>
      </w:hyperlink>
    </w:p>
    <w:p>
      <w:pPr>
        <w:pStyle w:val="TOC2"/>
        <w:tabs>
          <w:tab w:val="right" w:leader="dot" w:pos="8306"/>
        </w:tabs>
      </w:pPr>
      <w:hyperlink w:anchor="_Toc15368" w:history="1">
        <w:r>
          <w:rPr>
            <w:rFonts w:ascii="仿宋" w:eastAsia="仿宋" w:hAnsi="仿宋" w:cs="仿宋" w:hint="eastAsia"/>
            <w:lang w:eastAsia="zh-CN"/>
          </w:rPr>
          <w:t>(二)、风险分类</w:t>
        </w:r>
        <w:r>
          <w:tab/>
        </w:r>
        <w:r>
          <w:fldChar w:fldCharType="begin"/>
        </w:r>
        <w:r>
          <w:instrText xml:space="preserve"> PAGEREF _Toc15368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317"/>
      <w:r>
        <w:rPr>
          <w:rFonts w:ascii="仿宋" w:eastAsia="仿宋" w:hAnsi="仿宋" w:cs="仿宋" w:hint="eastAsia"/>
          <w:lang w:eastAsia="zh-CN"/>
        </w:rPr>
        <w:t>(一)、豪华客车行业分析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行业一直以来都是市场的关注焦点。行业内的发展趋势、竞争态势以及潜在机会都对豪华客车项目的推进产生深远的影响。通过深入研究行业的整体概貌，我们将更好地理解行业的核心特征，为豪华客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客车行业，技术一直是推动创新和发展的关键因素。我们将对当前技术趋势进行详尽分析，包括但不限于人工智能、大数据应用、先进制造技术等。这有助于豪华客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豪华客车项目成功的基础。我们将对主要竞争对手进行深入研究，包括其市场份额、产品特点、市场定位等。通过全面了解竞争对手的优势和劣势，豪华客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691"/>
      <w:r>
        <w:rPr>
          <w:rFonts w:ascii="仿宋" w:eastAsia="仿宋" w:hAnsi="仿宋" w:cs="仿宋" w:hint="eastAsia"/>
          <w:sz w:val="28"/>
          <w:lang w:eastAsia="zh-CN"/>
        </w:rPr>
        <w:t>(二)、豪华客车市场分析预测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通过对市场规模的深入调研，我们将预测豪华客车市场未来的增长趋势。这包括市场的整体规模、各细分领域的发展趋势等。豪华客车项目可以根据市场的扩张速度和潜在机会，制定更符合市场需求的发展策略。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豪华客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豪华客车项目实施过程中需要充分考虑的因素。我们将对市场风险进行全面评估，包括但不限于政策法规风险、市场竞争风险、技术变革风险等。通过对潜在风险的深入分析，豪华客车项目可以制定相应的风险缓解策略，降低不确定性对豪华客车项目的影响。</w:t>
      </w:r>
    </w:p>
    <w:p>
      <w:pPr>
        <w:pStyle w:val="Heading1"/>
        <w:ind w:firstLine="560" w:firstLineChars="200"/>
        <w:rPr>
          <w:rFonts w:ascii="仿宋" w:eastAsia="仿宋" w:hAnsi="仿宋" w:cs="仿宋" w:hint="eastAsia"/>
          <w:sz w:val="28"/>
          <w:lang w:eastAsia="zh-CN"/>
        </w:rPr>
      </w:pPr>
      <w:bookmarkStart w:id="5" w:name="_Toc23768"/>
      <w:r>
        <w:rPr>
          <w:rFonts w:ascii="仿宋" w:eastAsia="仿宋" w:hAnsi="仿宋" w:cs="仿宋" w:hint="eastAsia"/>
          <w:sz w:val="28"/>
          <w:lang w:eastAsia="zh-CN"/>
        </w:rPr>
        <w:t>二、豪华客车项目建设单位说明</w:t>
      </w:r>
      <w:bookmarkEnd w:id="5"/>
    </w:p>
    <w:p>
      <w:pPr>
        <w:pStyle w:val="Heading2"/>
        <w:rPr>
          <w:rFonts w:ascii="仿宋" w:eastAsia="仿宋" w:hAnsi="仿宋" w:cs="仿宋" w:hint="eastAsia"/>
          <w:lang w:eastAsia="zh-CN"/>
        </w:rPr>
      </w:pPr>
      <w:bookmarkStart w:id="6" w:name="_Toc4243"/>
      <w:r>
        <w:rPr>
          <w:rFonts w:ascii="仿宋" w:eastAsia="仿宋" w:hAnsi="仿宋" w:cs="仿宋" w:hint="eastAsia"/>
          <w:lang w:eastAsia="zh-CN"/>
        </w:rPr>
        <w:t>(一)、豪华客车项目承办单位基本情况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49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豪华客车项目承办单位的XXXX，我们着眼于实现可持续的经济效益。通过技术创新和解决方案的提供，公司预计在豪华客车项目执行期间将获得可观的收入增长。这一收入来源主要包括豪华客车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同时，我们注重成本控制和效率提升，以确保豪华客车项目的可持续盈利。透过精细的管理和资源优化，公司期望实现豪华客车项目利润最大化。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豪华客车项目实施进行全面的投资评估，包括豪华客车项目启动阶段的资金投入和后续运营成本。通过对豪华客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豪华客车项目实施过程中具备足够的资金流动性，公司将进行详尽的现金流分析。这包括资金需求的合理预测、豪华客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970"/>
      <w:r>
        <w:rPr>
          <w:rFonts w:ascii="仿宋" w:eastAsia="仿宋" w:hAnsi="仿宋" w:cs="仿宋" w:hint="eastAsia"/>
          <w:sz w:val="28"/>
          <w:lang w:eastAsia="zh-CN"/>
        </w:rPr>
        <w:t>三、豪华客车项目选址可行性分析</w:t>
      </w:r>
      <w:bookmarkEnd w:id="8"/>
    </w:p>
    <w:p>
      <w:pPr>
        <w:pStyle w:val="Heading2"/>
        <w:rPr>
          <w:rFonts w:ascii="仿宋" w:eastAsia="仿宋" w:hAnsi="仿宋" w:cs="仿宋" w:hint="eastAsia"/>
          <w:lang w:eastAsia="zh-CN"/>
        </w:rPr>
      </w:pPr>
      <w:bookmarkStart w:id="9" w:name="_Toc26458"/>
      <w:r>
        <w:rPr>
          <w:rFonts w:ascii="仿宋" w:eastAsia="仿宋" w:hAnsi="仿宋" w:cs="仿宋" w:hint="eastAsia"/>
          <w:lang w:eastAsia="zh-CN"/>
        </w:rPr>
        <w:t>(一)、豪华客车项目选址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该豪华客车项目选址位于XX省XX市XX区XXX街道</w:t>
      </w:r>
    </w:p>
    <w:p>
      <w:pPr>
        <w:pStyle w:val="Heading2"/>
        <w:ind w:firstLine="560" w:firstLineChars="200"/>
        <w:rPr>
          <w:rFonts w:ascii="仿宋" w:eastAsia="仿宋" w:hAnsi="仿宋" w:cs="仿宋" w:hint="eastAsia"/>
          <w:sz w:val="28"/>
          <w:lang w:eastAsia="zh-CN"/>
        </w:rPr>
      </w:pPr>
      <w:bookmarkStart w:id="10" w:name="_Toc57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豪华客车项目的征地面积将根据豪华客车项目的实际规模和需求进行精确规划。具体面积XXX平方米，旨在确保豪华客车项目不仅能够满足当前的发展需求，还能够预留空间以适应未来的扩展。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净用地面积是在征地面积基础上去除不可利用面积后的实际可开发用地。具体面积XXX平方米，考虑到环保、交通、安全等多方面因素，以确保豪华客车项目在整体利用效率上达到最优。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豪华客车项目计划建设的建筑总规模具体面积XXX平方米。这一规模的确定综合考虑了豪华客车项目的性质、规模，以及城市规划的相关要求，确保建筑布局与周边环境协调一致。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绿地率是豪华客车项目用地中被规划为绿地的比例。具体面积XXX平方米，旨在通过合理规划绿地，改善豪华客车项目周边环境，提升居民生活质量，并符合城市整体绿化规划。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容积率是用地上可以建设的建筑总体积与用地面积之比。具体面积XXX，通过合理的容积率规划，确保豪华客车项目建筑规模与周边环境和谐共生。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确保豪华客车项目选址与当地城市规划相一致，具体面积XXX平方米。通过与城市规划部门深入沟通，确保豪华客车项目不仅符合城市的整体发展方向，还能够融入城市的发展布局，为城市的长远发展贡献力量。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豪华客车项目选址符合当地产业政策，具体面积XXX平方米。这包括豪华客车项目对当地经济的促进作用，以及对相关产业的带动效应，确保豪华客车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用地总体要求必须符合环保和可持续发展的原则，具体面积XXX平方米。通过采用绿色建筑设计、节能减排等措施，确保豪华客车项目在建设和运营过程中对环境的影响最小化，达到可持续发展的要求。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确保豪华客车项目选址具备必要的公共设施配套，具体面积XXX平方米。这包括交通便利性、教育、医疗等基础设施，以提高居民生活品质，使得豪华客车项目选址更具吸引力。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考虑用地总体要求对当地社会稳定性的影响，具体面积XXX平方米。通过深入了解当地社区反馈，确保豪华客车项目的选址和建设过程对当地社会和谐稳定产生积极作用。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豪华客车项目选址不仅符合法规和规划，还在实际操作中具有可行性。这一全面规划将为豪华客车项目的成功实施提供坚实的基础，确保豪华客车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0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豪华客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豪华客车项目的设备规划和空间设计中，我们将采取灵活设备布局的措施。设备布局将根据实际需求进行灵活设计，避免不必要的浪费。通过合理规划设备摆放位置，我们将提高设备的利用率，减少设备间距，以确保豪华客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豪华客车项目内部引入共享设施的概念，例如共享会议室、办公区等。通过这种方式，我们可以减少对资源的重复建设，提高资源共享效率，从而减小豪华客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88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豪华客车项目的总图布置中，我们将不同功能区域进行明确的规划，以最大程度满足豪华客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73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豪华客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豪华客车项目对环境的影响是综合评价的重要因素之一。我们将详细考虑选址周边的自然环境、生态保护区、水源地等情况，确保豪华客车项目的建设和运营对环境影响最小化，并符合当地的环保法规标准。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对选址的评价还需充分考虑当地政府的产业政策和法规。我们将详细了解豪华客车项目所在地的相关政策，确保豪华客车项目的规划和运营与当地法规相符，降低不必要的法律风险。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考虑到社会稳定性对企业运营的重要性，我们将评估选址地区的社会安全情况、劳工关系、社区反馈等方面，以确保豪华客车项目的建设和运营不会受到社会稳定性的负面影响。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最后，我们将综合考虑用地成本，包括土地购置费用、土地开发成本等。通过对用地成本的详细评估，我们能够做出更为精确的经济效益分析，为豪华客车项目的投资决策提供有力支持。</w:t>
      </w:r>
    </w:p>
    <w:p>
      <w:pPr>
        <w:pStyle w:val="Heading1"/>
        <w:ind w:firstLine="560" w:firstLineChars="200"/>
        <w:rPr>
          <w:rFonts w:ascii="仿宋" w:eastAsia="仿宋" w:hAnsi="仿宋" w:cs="仿宋" w:hint="eastAsia"/>
          <w:sz w:val="28"/>
          <w:lang w:eastAsia="zh-CN"/>
        </w:rPr>
      </w:pPr>
      <w:bookmarkStart w:id="14" w:name="_Toc3622"/>
      <w:r>
        <w:rPr>
          <w:rFonts w:ascii="仿宋" w:eastAsia="仿宋" w:hAnsi="仿宋" w:cs="仿宋" w:hint="eastAsia"/>
          <w:sz w:val="28"/>
          <w:lang w:eastAsia="zh-CN"/>
        </w:rPr>
        <w:t>四、豪华客车项目可持续发展</w:t>
      </w:r>
      <w:bookmarkEnd w:id="14"/>
    </w:p>
    <w:p>
      <w:pPr>
        <w:pStyle w:val="Heading2"/>
        <w:rPr>
          <w:rFonts w:ascii="仿宋" w:eastAsia="仿宋" w:hAnsi="仿宋" w:cs="仿宋" w:hint="eastAsia"/>
          <w:lang w:eastAsia="zh-CN"/>
        </w:rPr>
      </w:pPr>
      <w:bookmarkStart w:id="15" w:name="_Toc2355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客车项目中，豪华客车项目团队着眼于未来，明确了可持续发展的战略方向。制定的具体可持续发展目标包括降低资源使用、采用环保技术、最大化社会效益等。这一步骤不仅有助于豪华客车项目在环保和社会责任方面达到最高标准，也为未来提供了明确的指引，确保豪华客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可持续实践的融入豪华客车项目管理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豪华客车项目管理周期。从豪华客车项目规划开始，豪华客车项目团队就考虑了环境和社会的因素。在执行阶段，豪华客车项目团队积极推动绿色技术的应用，优化资源利用。此外，关注员工的社会责任，通过培训和沟通活动提高员工对可持续发展的认知，使他们能够在日常工作中践行可持续实践。这些举措不仅为豪华客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90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扎根于豪华客车项目的可持续发展理念，我们深信环保与社会责任是豪华客车项目成功的关键支柱。在豪华客车项目的每一步，我们都致力于通过创新和实践，履行对环境和社会的坚定责任。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团队通过引入先进的环保技术、建立高效的废物处理系统以及推动能源节约措施，积极履行环保责任。定期的环保监测和评估确保豪华客车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不仅致力于自身可持续发展，还注重对社会的回馈。通过支持社区豪华客车项目、参与慈善事业、提供培训机会等方式，豪华客车项目积极履行社会责任。与当地社区建立积极互动，关注员工的工作与生活平衡，以及员工的身心健康，是豪华客车项目在社会责任层面的关键举措。这样的实践不仅增强了豪华客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536"/>
      <w:r>
        <w:rPr>
          <w:rFonts w:ascii="仿宋" w:eastAsia="仿宋" w:hAnsi="仿宋" w:cs="仿宋" w:hint="eastAsia"/>
          <w:sz w:val="28"/>
          <w:lang w:eastAsia="zh-CN"/>
        </w:rPr>
        <w:t>五、豪华客车项目危机管理</w:t>
      </w:r>
      <w:bookmarkEnd w:id="17"/>
    </w:p>
    <w:p>
      <w:pPr>
        <w:pStyle w:val="Heading2"/>
        <w:rPr>
          <w:rFonts w:ascii="仿宋" w:eastAsia="仿宋" w:hAnsi="仿宋" w:cs="仿宋" w:hint="eastAsia"/>
          <w:lang w:eastAsia="zh-CN"/>
        </w:rPr>
      </w:pPr>
      <w:bookmarkStart w:id="18" w:name="_Toc2397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豪华客车项目危机管理中，危机预警与识别是确保豪华客车项目稳健运行的核心步骤。通过建立全面的监测机制，豪华客车项目团队旨在及时发现和理解潜在的风险和危机因素，以便采取及时的预防和应对措施，确保豪华客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首先，通过深入的风险评估，豪华客车项目团队全面分析了整个豪华客车项目和各个阶段可能存在的威胁。这包括准确评估每个潜在风险的发生概率和可能影响的程度，为后续危机预警提供了有力支持。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豪华客车项目团队着重于明确定义豪华客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豪华客车项目进展的持续监控，团队能够及时发现潜在问题并作出迅速反应。豪华客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在这一阶段，团队的专业素养和反应速度将发挥至关重要的作用，以确保潜在危机能够在初期得到有效的处理，最大程度地减轻负面影响。通过危机预警与识别，豪华客车项目得以更有序、可控地推进。</w:t>
      </w:r>
    </w:p>
    <w:p>
      <w:pPr>
        <w:pStyle w:val="Heading2"/>
        <w:ind w:firstLine="560" w:firstLineChars="200"/>
        <w:rPr>
          <w:rFonts w:ascii="仿宋" w:eastAsia="仿宋" w:hAnsi="仿宋" w:cs="仿宋" w:hint="eastAsia"/>
          <w:sz w:val="28"/>
          <w:lang w:eastAsia="zh-CN"/>
        </w:rPr>
      </w:pPr>
      <w:bookmarkStart w:id="19" w:name="_Toc740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在危机发生时，豪华客车项目团队立即行动，成立了应急小组。该小组的任务是迅速制定并实施紧急应对措施，以最小化潜在损失。以下是采取的主要措施：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暂停豪华客车项目进度：为遏制危机蔓延，豪华客车项目暂时停止进行，以便全面评估当前状况。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资源重新分配：重新评估豪华客车项目资源的分配，确保最大限度地减小损失。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实时沟通：与关键利益相关者建立实时沟通机制，向他们传递豪华客车项目危机的实际状况，保障豪华客车项目核心利益。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在紧急应对的同时，豪华客车项目团队强调了团队协作和有效沟通的重要性。以下是团队协作的关键举措：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信息共享机制：建立了信息共享平台，确保团队成员能够及时获取豪华客车项目危机的实时信息。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领导者沟通：豪华客车项目领导者通过定期会议和即时沟通工具，指导团队应对危机，保持团队稳定运行。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随着危机得到初步控制，豪华客车项目团队转向制定恢复计划，以确保豪华客车项目能够从中迅速恢复。主要恢复计划包括：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修复受损的进度计划：重新评估豪华客车项目进度，制定修复计划，确保豪华客车项目尽快回归正常进程。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重新调整资源分配：优化资源分配，确保豪华客车项目在有限资源下高效运转。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风险管理机制加强：对豪华客车项目风险进行全面评估，制定更强化的风险管理策略，以预防未来可能的危机。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8624"/>
      <w:r>
        <w:rPr>
          <w:rFonts w:ascii="仿宋" w:eastAsia="仿宋" w:hAnsi="仿宋" w:cs="仿宋" w:hint="eastAsia"/>
          <w:sz w:val="28"/>
          <w:lang w:eastAsia="zh-CN"/>
        </w:rPr>
        <w:t>六、豪华客车项目文档管理</w:t>
      </w:r>
      <w:bookmarkEnd w:id="20"/>
    </w:p>
    <w:p>
      <w:pPr>
        <w:pStyle w:val="Heading2"/>
        <w:rPr>
          <w:rFonts w:ascii="仿宋" w:eastAsia="仿宋" w:hAnsi="仿宋" w:cs="仿宋" w:hint="eastAsia"/>
          <w:lang w:eastAsia="zh-CN"/>
        </w:rPr>
      </w:pPr>
      <w:bookmarkStart w:id="21" w:name="_Toc2344"/>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豪华客车项目高度重视文档的质量和准确性，以支持豪华客车项目的各项活动和决策。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文档的编制始于豪华客车项目计划的初期，我们制定了详细的文档编制计划，明确了每个文档的内容、格式和编写责任人。在豪华客车项目启动阶段，我们首先编制了豪华客车项目章程，明确定义了豪华客车项目的目标、范围、风险等关键要素。随后，豪华客车项目团队根据计划陆续编制了需求文档、设计文档、测试文档等各类文档，确保豪华客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豪华客车项目管理中的重要环节，旨在确保豪华客车项目文档符合质量标准和豪华客车项目需求。在豪华客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除了内部审查，我们还进行了外部审查，邀请豪华客车项目相关利益方和专业领域的专家对文档进行独立审查。这有助于获取更全面、客观的反馈，确保豪华客车项目文档不仅符合内部标准，也满足外部需求。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https://d.book118.com/738112137107006032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C1BCD"/>
    <w:rsid w:val="394C1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1213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2024-01-30T20:41:00Z</dcterms:created>
  <dcterms:modified xsi:type="dcterms:W3CDTF">2024-01-30T20:41:51Z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CA7D11C579444CF1836562DE3CB19F9A_11</vt:lpwstr>
  </property>
  <property fmtid="{D5CDD505-2E9C-101B-9397-08002B2CF9AE}" pid="3" name="KSOProductBuildVer">
    <vt:lpwstr>2052-12.1.0.16250</vt:lpwstr>
  </property>
</Properties>
</file>