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bookmarkStart w:id="0" w:name="_GoBack"/>
      <w:bookmarkEnd w:id="0"/>
    </w:p>
    <w:p>
      <w:pPr>
        <w:rPr>
          <w:rFonts w:ascii="仿宋" w:eastAsia="仿宋" w:hAnsi="仿宋" w:cs="仿宋" w:hint="eastAsia"/>
          <w:b/>
          <w:sz w:val="40"/>
        </w:rPr>
      </w:pPr>
    </w:p>
    <w:p>
      <w:pPr>
        <w:rPr>
          <w:rFonts w:ascii="仿宋" w:eastAsia="仿宋" w:hAnsi="仿宋" w:cs="仿宋" w:hint="eastAsia"/>
          <w:b/>
          <w:sz w:val="40"/>
        </w:rPr>
      </w:pPr>
    </w:p>
    <w:p>
      <w:pPr>
        <w:spacing w:before="254" w:line="360" w:lineRule="auto"/>
        <w:ind w:left="273"/>
        <w:jc w:val="center"/>
        <w:outlineLvl w:val="0"/>
        <w:rPr>
          <w:rFonts w:ascii="微软雅黑" w:eastAsia="微软雅黑" w:hAnsi="微软雅黑" w:cs="微软雅黑"/>
          <w:b/>
          <w:bCs/>
          <w:color w:val="2D54A0"/>
          <w:spacing w:val="8"/>
          <w:sz w:val="59"/>
          <w:szCs w:val="59"/>
        </w:rPr>
      </w:pPr>
      <w:r>
        <w:rPr>
          <w:rFonts w:ascii="微软雅黑" w:eastAsia="微软雅黑" w:hAnsi="微软雅黑" w:cs="微软雅黑"/>
          <w:b/>
          <w:bCs/>
          <w:color w:val="2D54A0"/>
          <w:spacing w:val="9"/>
          <w:sz w:val="59"/>
          <w:szCs w:val="59"/>
        </w:rPr>
        <w:t>2024年造气炉行业趋势报告</w:t>
      </w: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hint="default"/>
          <w:b/>
          <w:bCs/>
          <w:color w:val="2D54A0"/>
          <w:spacing w:val="8"/>
          <w:sz w:val="44"/>
          <w:szCs w:val="44"/>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color w:val="2D54A0"/>
          <w:spacing w:val="8"/>
          <w:sz w:val="44"/>
          <w:szCs w:val="44"/>
          <w:lang w:val="en-US" w:eastAsia="zh-CN"/>
        </w:rPr>
        <w:t>《2024年最新评估分析》</w:t>
      </w:r>
    </w:p>
    <w:p>
      <w:pPr>
        <w:spacing w:line="360" w:lineRule="auto"/>
        <w:jc w:val="center"/>
        <w:rPr>
          <w:rFonts w:ascii="微软雅黑" w:eastAsia="微软雅黑" w:hAnsi="微软雅黑" w:cs="微软雅黑" w:hint="eastAsia"/>
          <w:b/>
          <w:bCs w:val="0"/>
          <w:color w:val="2E54A1" w:themeColor="accent1" w:themeShade="BF"/>
          <w:sz w:val="40"/>
        </w:rPr>
      </w:pPr>
      <w:r>
        <w:rPr>
          <w:rFonts w:ascii="微软雅黑" w:eastAsia="微软雅黑" w:hAnsi="微软雅黑" w:cs="微软雅黑" w:hint="eastAsia"/>
          <w:b/>
          <w:bCs w:val="0"/>
          <w:color w:val="2E54A1" w:themeColor="accent1" w:themeShade="BF"/>
          <w:sz w:val="40"/>
          <w:lang w:eastAsia="zh-CN"/>
        </w:rPr>
        <w:t>目录</w:t>
      </w:r>
    </w:p>
    <w:p>
      <w:pPr>
        <w:pStyle w:val="TOC1"/>
        <w:tabs>
          <w:tab w:val="right" w:leader="dot" w:pos="8306"/>
        </w:tabs>
      </w:pPr>
      <w:r>
        <w:fldChar w:fldCharType="begin"/>
      </w:r>
      <w:r>
        <w:instrText>TOC \h \z</w:instrText>
      </w:r>
      <w:r>
        <w:fldChar w:fldCharType="separate"/>
      </w:r>
      <w:hyperlink w:anchor="_Toc25768" w:history="1">
        <w:r>
          <w:rPr>
            <w:rFonts w:ascii="微软雅黑" w:eastAsia="微软雅黑" w:hAnsi="微软雅黑" w:cs="微软雅黑" w:hint="eastAsia"/>
            <w:color w:val="001CAC" w:themeColor="hyperlink" w:themeShade="BF"/>
            <w:lang w:eastAsia="zh-CN"/>
          </w:rPr>
          <w:t>前言</w:t>
        </w:r>
        <w:r>
          <w:tab/>
        </w:r>
        <w:r>
          <w:fldChar w:fldCharType="begin"/>
        </w:r>
        <w:r>
          <w:instrText xml:space="preserve"> PAGEREF _Toc25768 \h </w:instrText>
        </w:r>
        <w:r>
          <w:fldChar w:fldCharType="separate"/>
        </w:r>
        <w:r>
          <w:t>4</w:t>
        </w:r>
        <w:r>
          <w:fldChar w:fldCharType="end"/>
        </w:r>
      </w:hyperlink>
    </w:p>
    <w:p>
      <w:pPr>
        <w:pStyle w:val="TOC1"/>
        <w:tabs>
          <w:tab w:val="right" w:leader="dot" w:pos="8306"/>
        </w:tabs>
      </w:pPr>
      <w:hyperlink w:anchor="_Toc21940" w:history="1">
        <w:r>
          <w:rPr>
            <w:rFonts w:ascii="微软雅黑" w:eastAsia="微软雅黑" w:hAnsi="微软雅黑" w:cs="微软雅黑" w:hint="eastAsia"/>
            <w:color w:val="001CAC" w:themeColor="hyperlink" w:themeShade="BF"/>
            <w:szCs w:val="32"/>
            <w:lang w:eastAsia="zh-CN"/>
          </w:rPr>
          <w:t>一、领导力发展与企业文化</w:t>
        </w:r>
        <w:r>
          <w:tab/>
        </w:r>
        <w:r>
          <w:fldChar w:fldCharType="begin"/>
        </w:r>
        <w:r>
          <w:instrText xml:space="preserve"> PAGEREF _Toc21940 \h </w:instrText>
        </w:r>
        <w:r>
          <w:fldChar w:fldCharType="separate"/>
        </w:r>
        <w:r>
          <w:t>4</w:t>
        </w:r>
        <w:r>
          <w:fldChar w:fldCharType="end"/>
        </w:r>
      </w:hyperlink>
    </w:p>
    <w:p>
      <w:pPr>
        <w:pStyle w:val="TOC2"/>
        <w:tabs>
          <w:tab w:val="right" w:leader="dot" w:pos="8306"/>
        </w:tabs>
      </w:pPr>
      <w:hyperlink w:anchor="_Toc32394" w:history="1">
        <w:r>
          <w:rPr>
            <w:rFonts w:ascii="宋体" w:eastAsia="宋体" w:hAnsi="宋体" w:cs="宋体" w:hint="eastAsia"/>
            <w:bCs w:val="0"/>
            <w:szCs w:val="28"/>
            <w:lang w:eastAsia="zh-CN"/>
          </w:rPr>
          <w:t>(一)、高效团队建设原则</w:t>
        </w:r>
        <w:r>
          <w:tab/>
        </w:r>
        <w:r>
          <w:fldChar w:fldCharType="begin"/>
        </w:r>
        <w:r>
          <w:instrText xml:space="preserve"> PAGEREF _Toc32394 \h </w:instrText>
        </w:r>
        <w:r>
          <w:fldChar w:fldCharType="separate"/>
        </w:r>
        <w:r>
          <w:t>4</w:t>
        </w:r>
        <w:r>
          <w:fldChar w:fldCharType="end"/>
        </w:r>
      </w:hyperlink>
    </w:p>
    <w:p>
      <w:pPr>
        <w:pStyle w:val="TOC2"/>
        <w:tabs>
          <w:tab w:val="right" w:leader="dot" w:pos="8306"/>
        </w:tabs>
      </w:pPr>
      <w:hyperlink w:anchor="_Toc19400" w:history="1">
        <w:r>
          <w:rPr>
            <w:rFonts w:ascii="宋体" w:eastAsia="宋体" w:hAnsi="宋体" w:cs="宋体" w:hint="eastAsia"/>
            <w:bCs w:val="0"/>
            <w:szCs w:val="28"/>
            <w:lang w:eastAsia="zh-CN"/>
          </w:rPr>
          <w:t>(二)、团队文化与价值观塑造</w:t>
        </w:r>
        <w:r>
          <w:tab/>
        </w:r>
        <w:r>
          <w:fldChar w:fldCharType="begin"/>
        </w:r>
        <w:r>
          <w:instrText xml:space="preserve"> PAGEREF _Toc19400 \h </w:instrText>
        </w:r>
        <w:r>
          <w:fldChar w:fldCharType="separate"/>
        </w:r>
        <w:r>
          <w:t>5</w:t>
        </w:r>
        <w:r>
          <w:fldChar w:fldCharType="end"/>
        </w:r>
      </w:hyperlink>
    </w:p>
    <w:p>
      <w:pPr>
        <w:pStyle w:val="TOC2"/>
        <w:tabs>
          <w:tab w:val="right" w:leader="dot" w:pos="8306"/>
        </w:tabs>
      </w:pPr>
      <w:hyperlink w:anchor="_Toc6594" w:history="1">
        <w:r>
          <w:rPr>
            <w:rFonts w:ascii="宋体" w:eastAsia="宋体" w:hAnsi="宋体" w:cs="宋体" w:hint="eastAsia"/>
            <w:bCs w:val="0"/>
            <w:szCs w:val="28"/>
            <w:lang w:eastAsia="zh-CN"/>
          </w:rPr>
          <w:t>(三)、领导力发展计划</w:t>
        </w:r>
        <w:r>
          <w:tab/>
        </w:r>
        <w:r>
          <w:fldChar w:fldCharType="begin"/>
        </w:r>
        <w:r>
          <w:instrText xml:space="preserve"> PAGEREF _Toc6594 \h </w:instrText>
        </w:r>
        <w:r>
          <w:fldChar w:fldCharType="separate"/>
        </w:r>
        <w:r>
          <w:t>5</w:t>
        </w:r>
        <w:r>
          <w:fldChar w:fldCharType="end"/>
        </w:r>
      </w:hyperlink>
    </w:p>
    <w:p>
      <w:pPr>
        <w:pStyle w:val="TOC2"/>
        <w:tabs>
          <w:tab w:val="right" w:leader="dot" w:pos="8306"/>
        </w:tabs>
      </w:pPr>
      <w:hyperlink w:anchor="_Toc10212" w:history="1">
        <w:r>
          <w:rPr>
            <w:rFonts w:ascii="宋体" w:eastAsia="宋体" w:hAnsi="宋体" w:cs="宋体" w:hint="eastAsia"/>
            <w:bCs w:val="0"/>
            <w:szCs w:val="28"/>
            <w:lang w:eastAsia="zh-CN"/>
          </w:rPr>
          <w:t>(四)、领导力在变革中的作用</w:t>
        </w:r>
        <w:r>
          <w:tab/>
        </w:r>
        <w:r>
          <w:fldChar w:fldCharType="begin"/>
        </w:r>
        <w:r>
          <w:instrText xml:space="preserve"> PAGEREF _Toc10212 \h </w:instrText>
        </w:r>
        <w:r>
          <w:fldChar w:fldCharType="separate"/>
        </w:r>
        <w:r>
          <w:t>7</w:t>
        </w:r>
        <w:r>
          <w:fldChar w:fldCharType="end"/>
        </w:r>
      </w:hyperlink>
    </w:p>
    <w:p>
      <w:pPr>
        <w:pStyle w:val="TOC1"/>
        <w:tabs>
          <w:tab w:val="right" w:leader="dot" w:pos="8306"/>
        </w:tabs>
      </w:pPr>
      <w:hyperlink w:anchor="_Toc2487" w:history="1">
        <w:r>
          <w:rPr>
            <w:rFonts w:ascii="微软雅黑" w:eastAsia="微软雅黑" w:hAnsi="微软雅黑" w:cs="微软雅黑" w:hint="eastAsia"/>
            <w:color w:val="001CAC" w:themeColor="hyperlink" w:themeShade="BF"/>
            <w:szCs w:val="32"/>
            <w:lang w:eastAsia="zh-CN"/>
          </w:rPr>
          <w:t>二、制度运行与优化</w:t>
        </w:r>
        <w:r>
          <w:tab/>
        </w:r>
        <w:r>
          <w:fldChar w:fldCharType="begin"/>
        </w:r>
        <w:r>
          <w:instrText xml:space="preserve"> PAGEREF _Toc2487 \h </w:instrText>
        </w:r>
        <w:r>
          <w:fldChar w:fldCharType="separate"/>
        </w:r>
        <w:r>
          <w:t>8</w:t>
        </w:r>
        <w:r>
          <w:fldChar w:fldCharType="end"/>
        </w:r>
      </w:hyperlink>
    </w:p>
    <w:p>
      <w:pPr>
        <w:pStyle w:val="TOC2"/>
        <w:tabs>
          <w:tab w:val="right" w:leader="dot" w:pos="8306"/>
        </w:tabs>
      </w:pPr>
      <w:hyperlink w:anchor="_Toc8772" w:history="1">
        <w:r>
          <w:rPr>
            <w:rFonts w:ascii="宋体" w:eastAsia="宋体" w:hAnsi="宋体" w:cs="宋体" w:hint="eastAsia"/>
            <w:bCs w:val="0"/>
            <w:szCs w:val="28"/>
            <w:lang w:eastAsia="zh-CN"/>
          </w:rPr>
          <w:t>(一)、制度执行与监督</w:t>
        </w:r>
        <w:r>
          <w:tab/>
        </w:r>
        <w:r>
          <w:fldChar w:fldCharType="begin"/>
        </w:r>
        <w:r>
          <w:instrText xml:space="preserve"> PAGEREF _Toc8772 \h </w:instrText>
        </w:r>
        <w:r>
          <w:fldChar w:fldCharType="separate"/>
        </w:r>
        <w:r>
          <w:t>8</w:t>
        </w:r>
        <w:r>
          <w:fldChar w:fldCharType="end"/>
        </w:r>
      </w:hyperlink>
    </w:p>
    <w:p>
      <w:pPr>
        <w:pStyle w:val="TOC2"/>
        <w:tabs>
          <w:tab w:val="right" w:leader="dot" w:pos="8306"/>
        </w:tabs>
      </w:pPr>
      <w:hyperlink w:anchor="_Toc13951" w:history="1">
        <w:r>
          <w:rPr>
            <w:rFonts w:ascii="宋体" w:eastAsia="宋体" w:hAnsi="宋体" w:cs="宋体" w:hint="eastAsia"/>
            <w:bCs w:val="0"/>
            <w:szCs w:val="28"/>
            <w:lang w:eastAsia="zh-CN"/>
          </w:rPr>
          <w:t>(二)、制度优化与更新</w:t>
        </w:r>
        <w:r>
          <w:tab/>
        </w:r>
        <w:r>
          <w:fldChar w:fldCharType="begin"/>
        </w:r>
        <w:r>
          <w:instrText xml:space="preserve"> PAGEREF _Toc13951 \h </w:instrText>
        </w:r>
        <w:r>
          <w:fldChar w:fldCharType="separate"/>
        </w:r>
        <w:r>
          <w:t>8</w:t>
        </w:r>
        <w:r>
          <w:fldChar w:fldCharType="end"/>
        </w:r>
      </w:hyperlink>
    </w:p>
    <w:p>
      <w:pPr>
        <w:pStyle w:val="TOC1"/>
        <w:tabs>
          <w:tab w:val="right" w:leader="dot" w:pos="8306"/>
        </w:tabs>
      </w:pPr>
      <w:hyperlink w:anchor="_Toc22621" w:history="1">
        <w:r>
          <w:rPr>
            <w:rFonts w:ascii="微软雅黑" w:eastAsia="微软雅黑" w:hAnsi="微软雅黑" w:cs="微软雅黑" w:hint="eastAsia"/>
            <w:color w:val="001CAC" w:themeColor="hyperlink" w:themeShade="BF"/>
            <w:szCs w:val="32"/>
            <w:lang w:eastAsia="zh-CN"/>
          </w:rPr>
          <w:t>三、项目技术流程</w:t>
        </w:r>
        <w:r>
          <w:tab/>
        </w:r>
        <w:r>
          <w:fldChar w:fldCharType="begin"/>
        </w:r>
        <w:r>
          <w:instrText xml:space="preserve"> PAGEREF _Toc22621 \h </w:instrText>
        </w:r>
        <w:r>
          <w:fldChar w:fldCharType="separate"/>
        </w:r>
        <w:r>
          <w:t>9</w:t>
        </w:r>
        <w:r>
          <w:fldChar w:fldCharType="end"/>
        </w:r>
      </w:hyperlink>
    </w:p>
    <w:p>
      <w:pPr>
        <w:pStyle w:val="TOC2"/>
        <w:tabs>
          <w:tab w:val="right" w:leader="dot" w:pos="8306"/>
        </w:tabs>
      </w:pPr>
      <w:hyperlink w:anchor="_Toc11908" w:history="1">
        <w:r>
          <w:rPr>
            <w:rFonts w:ascii="宋体" w:eastAsia="宋体" w:hAnsi="宋体" w:cs="宋体" w:hint="eastAsia"/>
            <w:bCs w:val="0"/>
            <w:szCs w:val="28"/>
            <w:lang w:eastAsia="zh-CN"/>
          </w:rPr>
          <w:t>(一)、技术方案选择</w:t>
        </w:r>
        <w:r>
          <w:tab/>
        </w:r>
        <w:r>
          <w:fldChar w:fldCharType="begin"/>
        </w:r>
        <w:r>
          <w:instrText xml:space="preserve"> PAGEREF _Toc11908 \h </w:instrText>
        </w:r>
        <w:r>
          <w:fldChar w:fldCharType="separate"/>
        </w:r>
        <w:r>
          <w:t>9</w:t>
        </w:r>
        <w:r>
          <w:fldChar w:fldCharType="end"/>
        </w:r>
      </w:hyperlink>
    </w:p>
    <w:p>
      <w:pPr>
        <w:pStyle w:val="TOC2"/>
        <w:tabs>
          <w:tab w:val="right" w:leader="dot" w:pos="8306"/>
        </w:tabs>
      </w:pPr>
      <w:hyperlink w:anchor="_Toc12921" w:history="1">
        <w:r>
          <w:rPr>
            <w:rFonts w:ascii="宋体" w:eastAsia="宋体" w:hAnsi="宋体" w:cs="宋体" w:hint="eastAsia"/>
            <w:bCs w:val="0"/>
            <w:szCs w:val="28"/>
            <w:lang w:eastAsia="zh-CN"/>
          </w:rPr>
          <w:t>(二)、设备选型方案</w:t>
        </w:r>
        <w:r>
          <w:tab/>
        </w:r>
        <w:r>
          <w:fldChar w:fldCharType="begin"/>
        </w:r>
        <w:r>
          <w:instrText xml:space="preserve"> PAGEREF _Toc12921 \h </w:instrText>
        </w:r>
        <w:r>
          <w:fldChar w:fldCharType="separate"/>
        </w:r>
        <w:r>
          <w:t>10</w:t>
        </w:r>
        <w:r>
          <w:fldChar w:fldCharType="end"/>
        </w:r>
      </w:hyperlink>
    </w:p>
    <w:p>
      <w:pPr>
        <w:pStyle w:val="TOC2"/>
        <w:tabs>
          <w:tab w:val="right" w:leader="dot" w:pos="8306"/>
        </w:tabs>
      </w:pPr>
      <w:hyperlink w:anchor="_Toc9808" w:history="1">
        <w:r>
          <w:rPr>
            <w:rFonts w:ascii="宋体" w:eastAsia="宋体" w:hAnsi="宋体" w:cs="宋体" w:hint="eastAsia"/>
            <w:bCs w:val="0"/>
            <w:szCs w:val="28"/>
            <w:lang w:eastAsia="zh-CN"/>
          </w:rPr>
          <w:t>(三)、技术流程与工艺设计</w:t>
        </w:r>
        <w:r>
          <w:tab/>
        </w:r>
        <w:r>
          <w:fldChar w:fldCharType="begin"/>
        </w:r>
        <w:r>
          <w:instrText xml:space="preserve"> PAGEREF _Toc9808 \h </w:instrText>
        </w:r>
        <w:r>
          <w:fldChar w:fldCharType="separate"/>
        </w:r>
        <w:r>
          <w:t>11</w:t>
        </w:r>
        <w:r>
          <w:fldChar w:fldCharType="end"/>
        </w:r>
      </w:hyperlink>
    </w:p>
    <w:p>
      <w:pPr>
        <w:pStyle w:val="TOC1"/>
        <w:tabs>
          <w:tab w:val="right" w:leader="dot" w:pos="8306"/>
        </w:tabs>
      </w:pPr>
      <w:hyperlink w:anchor="_Toc21202" w:history="1">
        <w:r>
          <w:rPr>
            <w:rFonts w:ascii="微软雅黑" w:eastAsia="微软雅黑" w:hAnsi="微软雅黑" w:cs="微软雅黑" w:hint="eastAsia"/>
            <w:color w:val="001CAC" w:themeColor="hyperlink" w:themeShade="BF"/>
            <w:szCs w:val="32"/>
            <w:lang w:eastAsia="zh-CN"/>
          </w:rPr>
          <w:t>四、造气炉行业选址方案分析</w:t>
        </w:r>
        <w:r>
          <w:tab/>
        </w:r>
        <w:r>
          <w:fldChar w:fldCharType="begin"/>
        </w:r>
        <w:r>
          <w:instrText xml:space="preserve"> PAGEREF _Toc21202 \h </w:instrText>
        </w:r>
        <w:r>
          <w:fldChar w:fldCharType="separate"/>
        </w:r>
        <w:r>
          <w:t>12</w:t>
        </w:r>
        <w:r>
          <w:fldChar w:fldCharType="end"/>
        </w:r>
      </w:hyperlink>
    </w:p>
    <w:p>
      <w:pPr>
        <w:pStyle w:val="TOC2"/>
        <w:tabs>
          <w:tab w:val="right" w:leader="dot" w:pos="8306"/>
        </w:tabs>
      </w:pPr>
      <w:hyperlink w:anchor="_Toc24485" w:history="1">
        <w:r>
          <w:rPr>
            <w:rFonts w:ascii="宋体" w:eastAsia="宋体" w:hAnsi="宋体" w:cs="宋体" w:hint="eastAsia"/>
            <w:bCs w:val="0"/>
            <w:szCs w:val="28"/>
            <w:lang w:eastAsia="zh-CN"/>
          </w:rPr>
          <w:t>(一)、造气炉行业选址影响因素</w:t>
        </w:r>
        <w:r>
          <w:tab/>
        </w:r>
        <w:r>
          <w:fldChar w:fldCharType="begin"/>
        </w:r>
        <w:r>
          <w:instrText xml:space="preserve"> PAGEREF _Toc24485 \h </w:instrText>
        </w:r>
        <w:r>
          <w:fldChar w:fldCharType="separate"/>
        </w:r>
        <w:r>
          <w:t>12</w:t>
        </w:r>
        <w:r>
          <w:fldChar w:fldCharType="end"/>
        </w:r>
      </w:hyperlink>
    </w:p>
    <w:p>
      <w:pPr>
        <w:pStyle w:val="TOC2"/>
        <w:tabs>
          <w:tab w:val="right" w:leader="dot" w:pos="8306"/>
        </w:tabs>
      </w:pPr>
      <w:hyperlink w:anchor="_Toc17108" w:history="1">
        <w:r>
          <w:rPr>
            <w:rFonts w:ascii="宋体" w:eastAsia="宋体" w:hAnsi="宋体" w:cs="宋体" w:hint="eastAsia"/>
            <w:bCs w:val="0"/>
            <w:szCs w:val="28"/>
            <w:lang w:eastAsia="zh-CN"/>
          </w:rPr>
          <w:t>(二)、造气炉行业选址原则</w:t>
        </w:r>
        <w:r>
          <w:tab/>
        </w:r>
        <w:r>
          <w:fldChar w:fldCharType="begin"/>
        </w:r>
        <w:r>
          <w:instrText xml:space="preserve"> PAGEREF _Toc17108 \h </w:instrText>
        </w:r>
        <w:r>
          <w:fldChar w:fldCharType="separate"/>
        </w:r>
        <w:r>
          <w:t>14</w:t>
        </w:r>
        <w:r>
          <w:fldChar w:fldCharType="end"/>
        </w:r>
      </w:hyperlink>
    </w:p>
    <w:p>
      <w:pPr>
        <w:pStyle w:val="TOC2"/>
        <w:tabs>
          <w:tab w:val="right" w:leader="dot" w:pos="8306"/>
        </w:tabs>
      </w:pPr>
      <w:hyperlink w:anchor="_Toc31297" w:history="1">
        <w:r>
          <w:rPr>
            <w:rFonts w:ascii="宋体" w:eastAsia="宋体" w:hAnsi="宋体" w:cs="宋体" w:hint="eastAsia"/>
            <w:bCs w:val="0"/>
            <w:szCs w:val="28"/>
            <w:lang w:eastAsia="zh-CN"/>
          </w:rPr>
          <w:t>(三)、消费习惯对造气炉行业选址的影响</w:t>
        </w:r>
        <w:r>
          <w:tab/>
        </w:r>
        <w:r>
          <w:fldChar w:fldCharType="begin"/>
        </w:r>
        <w:r>
          <w:instrText xml:space="preserve"> PAGEREF _Toc31297 \h </w:instrText>
        </w:r>
        <w:r>
          <w:fldChar w:fldCharType="separate"/>
        </w:r>
        <w:r>
          <w:t>15</w:t>
        </w:r>
        <w:r>
          <w:fldChar w:fldCharType="end"/>
        </w:r>
      </w:hyperlink>
    </w:p>
    <w:p>
      <w:pPr>
        <w:pStyle w:val="TOC2"/>
        <w:tabs>
          <w:tab w:val="right" w:leader="dot" w:pos="8306"/>
        </w:tabs>
      </w:pPr>
      <w:hyperlink w:anchor="_Toc30519" w:history="1">
        <w:r>
          <w:rPr>
            <w:rFonts w:ascii="宋体" w:eastAsia="宋体" w:hAnsi="宋体" w:cs="宋体" w:hint="eastAsia"/>
            <w:bCs w:val="0"/>
            <w:szCs w:val="28"/>
            <w:lang w:eastAsia="zh-CN"/>
          </w:rPr>
          <w:t>(四)、消费能力对造气炉行业选址的影响</w:t>
        </w:r>
        <w:r>
          <w:tab/>
        </w:r>
        <w:r>
          <w:fldChar w:fldCharType="begin"/>
        </w:r>
        <w:r>
          <w:instrText xml:space="preserve"> PAGEREF _Toc30519 \h </w:instrText>
        </w:r>
        <w:r>
          <w:fldChar w:fldCharType="separate"/>
        </w:r>
        <w:r>
          <w:t>17</w:t>
        </w:r>
        <w:r>
          <w:fldChar w:fldCharType="end"/>
        </w:r>
      </w:hyperlink>
    </w:p>
    <w:p>
      <w:pPr>
        <w:pStyle w:val="TOC2"/>
        <w:tabs>
          <w:tab w:val="right" w:leader="dot" w:pos="8306"/>
        </w:tabs>
      </w:pPr>
      <w:hyperlink w:anchor="_Toc1041" w:history="1">
        <w:r>
          <w:rPr>
            <w:rFonts w:ascii="宋体" w:eastAsia="宋体" w:hAnsi="宋体" w:cs="宋体" w:hint="eastAsia"/>
            <w:bCs w:val="0"/>
            <w:szCs w:val="28"/>
            <w:lang w:eastAsia="zh-CN"/>
          </w:rPr>
          <w:t>(五)、经营成本对造气炉行业选址的影响</w:t>
        </w:r>
        <w:r>
          <w:tab/>
        </w:r>
        <w:r>
          <w:fldChar w:fldCharType="begin"/>
        </w:r>
        <w:r>
          <w:instrText xml:space="preserve"> PAGEREF _Toc1041 \h </w:instrText>
        </w:r>
        <w:r>
          <w:fldChar w:fldCharType="separate"/>
        </w:r>
        <w:r>
          <w:t>18</w:t>
        </w:r>
        <w:r>
          <w:fldChar w:fldCharType="end"/>
        </w:r>
      </w:hyperlink>
    </w:p>
    <w:p>
      <w:pPr>
        <w:pStyle w:val="TOC2"/>
        <w:tabs>
          <w:tab w:val="right" w:leader="dot" w:pos="8306"/>
        </w:tabs>
      </w:pPr>
      <w:hyperlink w:anchor="_Toc18949" w:history="1">
        <w:r>
          <w:rPr>
            <w:rFonts w:ascii="宋体" w:eastAsia="宋体" w:hAnsi="宋体" w:cs="宋体" w:hint="eastAsia"/>
            <w:bCs w:val="0"/>
            <w:szCs w:val="28"/>
            <w:lang w:eastAsia="zh-CN"/>
          </w:rPr>
          <w:t>(六)、交通条件对造气炉行业选址的影响</w:t>
        </w:r>
        <w:r>
          <w:tab/>
        </w:r>
        <w:r>
          <w:fldChar w:fldCharType="begin"/>
        </w:r>
        <w:r>
          <w:instrText xml:space="preserve"> PAGEREF _Toc18949 \h </w:instrText>
        </w:r>
        <w:r>
          <w:fldChar w:fldCharType="separate"/>
        </w:r>
        <w:r>
          <w:t>20</w:t>
        </w:r>
        <w:r>
          <w:fldChar w:fldCharType="end"/>
        </w:r>
      </w:hyperlink>
    </w:p>
    <w:p>
      <w:pPr>
        <w:pStyle w:val="TOC1"/>
        <w:tabs>
          <w:tab w:val="right" w:leader="dot" w:pos="8306"/>
        </w:tabs>
      </w:pPr>
      <w:hyperlink w:anchor="_Toc2964" w:history="1">
        <w:r>
          <w:rPr>
            <w:rFonts w:ascii="微软雅黑" w:eastAsia="微软雅黑" w:hAnsi="微软雅黑" w:cs="微软雅黑" w:hint="eastAsia"/>
            <w:color w:val="001CAC" w:themeColor="hyperlink" w:themeShade="BF"/>
            <w:szCs w:val="32"/>
            <w:lang w:eastAsia="zh-CN"/>
          </w:rPr>
          <w:t>五、可持续发展与绿色经营</w:t>
        </w:r>
        <w:r>
          <w:tab/>
        </w:r>
        <w:r>
          <w:fldChar w:fldCharType="begin"/>
        </w:r>
        <w:r>
          <w:instrText xml:space="preserve"> PAGEREF _Toc2964 \h </w:instrText>
        </w:r>
        <w:r>
          <w:fldChar w:fldCharType="separate"/>
        </w:r>
        <w:r>
          <w:t>21</w:t>
        </w:r>
        <w:r>
          <w:fldChar w:fldCharType="end"/>
        </w:r>
      </w:hyperlink>
    </w:p>
    <w:p>
      <w:pPr>
        <w:pStyle w:val="TOC2"/>
        <w:tabs>
          <w:tab w:val="right" w:leader="dot" w:pos="8306"/>
        </w:tabs>
      </w:pPr>
      <w:hyperlink w:anchor="_Toc16851" w:history="1">
        <w:r>
          <w:rPr>
            <w:rFonts w:ascii="宋体" w:eastAsia="宋体" w:hAnsi="宋体" w:cs="宋体" w:hint="eastAsia"/>
            <w:bCs w:val="0"/>
            <w:szCs w:val="28"/>
            <w:lang w:eastAsia="zh-CN"/>
          </w:rPr>
          <w:t>(一)、可持续发展战略与目标</w:t>
        </w:r>
        <w:r>
          <w:tab/>
        </w:r>
        <w:r>
          <w:fldChar w:fldCharType="begin"/>
        </w:r>
        <w:r>
          <w:instrText xml:space="preserve"> PAGEREF _Toc16851 \h </w:instrText>
        </w:r>
        <w:r>
          <w:fldChar w:fldCharType="separate"/>
        </w:r>
        <w:r>
          <w:t>21</w:t>
        </w:r>
        <w:r>
          <w:fldChar w:fldCharType="end"/>
        </w:r>
      </w:hyperlink>
    </w:p>
    <w:p>
      <w:pPr>
        <w:pStyle w:val="TOC2"/>
        <w:tabs>
          <w:tab w:val="right" w:leader="dot" w:pos="8306"/>
        </w:tabs>
      </w:pPr>
      <w:hyperlink w:anchor="_Toc20160" w:history="1">
        <w:r>
          <w:rPr>
            <w:rFonts w:ascii="宋体" w:eastAsia="宋体" w:hAnsi="宋体" w:cs="宋体" w:hint="eastAsia"/>
            <w:bCs w:val="0"/>
            <w:szCs w:val="28"/>
            <w:lang w:eastAsia="zh-CN"/>
          </w:rPr>
          <w:t>(二)、环保政策与实践</w:t>
        </w:r>
        <w:r>
          <w:tab/>
        </w:r>
        <w:r>
          <w:fldChar w:fldCharType="begin"/>
        </w:r>
        <w:r>
          <w:instrText xml:space="preserve"> PAGEREF _Toc20160 \h </w:instrText>
        </w:r>
        <w:r>
          <w:fldChar w:fldCharType="separate"/>
        </w:r>
        <w:r>
          <w:t>23</w:t>
        </w:r>
        <w:r>
          <w:fldChar w:fldCharType="end"/>
        </w:r>
      </w:hyperlink>
    </w:p>
    <w:p>
      <w:pPr>
        <w:pStyle w:val="TOC2"/>
        <w:tabs>
          <w:tab w:val="right" w:leader="dot" w:pos="8306"/>
        </w:tabs>
      </w:pPr>
      <w:hyperlink w:anchor="_Toc30639" w:history="1">
        <w:r>
          <w:rPr>
            <w:rFonts w:ascii="宋体" w:eastAsia="宋体" w:hAnsi="宋体" w:cs="宋体" w:hint="eastAsia"/>
            <w:bCs w:val="0"/>
            <w:szCs w:val="28"/>
            <w:lang w:eastAsia="zh-CN"/>
          </w:rPr>
          <w:t>(三)、资源利用与循环经济</w:t>
        </w:r>
        <w:r>
          <w:tab/>
        </w:r>
        <w:r>
          <w:fldChar w:fldCharType="begin"/>
        </w:r>
        <w:r>
          <w:instrText xml:space="preserve"> PAGEREF _Toc30639 \h </w:instrText>
        </w:r>
        <w:r>
          <w:fldChar w:fldCharType="separate"/>
        </w:r>
        <w:r>
          <w:t>25</w:t>
        </w:r>
        <w:r>
          <w:fldChar w:fldCharType="end"/>
        </w:r>
      </w:hyperlink>
    </w:p>
    <w:p>
      <w:pPr>
        <w:pStyle w:val="TOC2"/>
        <w:tabs>
          <w:tab w:val="right" w:leader="dot" w:pos="8306"/>
        </w:tabs>
      </w:pPr>
      <w:hyperlink w:anchor="_Toc12713" w:history="1">
        <w:r>
          <w:rPr>
            <w:rFonts w:ascii="宋体" w:eastAsia="宋体" w:hAnsi="宋体" w:cs="宋体" w:hint="eastAsia"/>
            <w:bCs w:val="0"/>
            <w:szCs w:val="28"/>
            <w:lang w:eastAsia="zh-CN"/>
          </w:rPr>
          <w:t>(四)、碳中和与生态足迹</w:t>
        </w:r>
        <w:r>
          <w:tab/>
        </w:r>
        <w:r>
          <w:fldChar w:fldCharType="begin"/>
        </w:r>
        <w:r>
          <w:instrText xml:space="preserve"> PAGEREF _Toc12713 \h </w:instrText>
        </w:r>
        <w:r>
          <w:fldChar w:fldCharType="separate"/>
        </w:r>
        <w:r>
          <w:t>27</w:t>
        </w:r>
        <w:r>
          <w:fldChar w:fldCharType="end"/>
        </w:r>
      </w:hyperlink>
    </w:p>
    <w:p>
      <w:pPr>
        <w:pStyle w:val="TOC1"/>
        <w:tabs>
          <w:tab w:val="right" w:leader="dot" w:pos="8306"/>
        </w:tabs>
      </w:pPr>
      <w:hyperlink w:anchor="_Toc14741" w:history="1">
        <w:r>
          <w:rPr>
            <w:rFonts w:ascii="微软雅黑" w:eastAsia="微软雅黑" w:hAnsi="微软雅黑" w:cs="微软雅黑" w:hint="eastAsia"/>
            <w:color w:val="001CAC" w:themeColor="hyperlink" w:themeShade="BF"/>
            <w:szCs w:val="32"/>
            <w:lang w:eastAsia="zh-CN"/>
          </w:rPr>
          <w:t>六、项目管理与团队协作</w:t>
        </w:r>
        <w:r>
          <w:tab/>
        </w:r>
        <w:r>
          <w:fldChar w:fldCharType="begin"/>
        </w:r>
        <w:r>
          <w:instrText xml:space="preserve"> PAGEREF _Toc14741 \h </w:instrText>
        </w:r>
        <w:r>
          <w:fldChar w:fldCharType="separate"/>
        </w:r>
        <w:r>
          <w:t>29</w:t>
        </w:r>
        <w:r>
          <w:fldChar w:fldCharType="end"/>
        </w:r>
      </w:hyperlink>
    </w:p>
    <w:p>
      <w:pPr>
        <w:pStyle w:val="TOC2"/>
        <w:tabs>
          <w:tab w:val="right" w:leader="dot" w:pos="8306"/>
        </w:tabs>
      </w:pPr>
      <w:hyperlink w:anchor="_Toc17331" w:history="1">
        <w:r>
          <w:rPr>
            <w:rFonts w:ascii="宋体" w:eastAsia="宋体" w:hAnsi="宋体" w:cs="宋体" w:hint="eastAsia"/>
            <w:bCs w:val="0"/>
            <w:szCs w:val="28"/>
            <w:lang w:eastAsia="zh-CN"/>
          </w:rPr>
          <w:t>(一)、项目管理方法论</w:t>
        </w:r>
        <w:r>
          <w:tab/>
        </w:r>
        <w:r>
          <w:fldChar w:fldCharType="begin"/>
        </w:r>
        <w:r>
          <w:instrText xml:space="preserve"> PAGEREF _Toc17331 \h </w:instrText>
        </w:r>
        <w:r>
          <w:fldChar w:fldCharType="separate"/>
        </w:r>
        <w:r>
          <w:t>29</w:t>
        </w:r>
        <w:r>
          <w:fldChar w:fldCharType="end"/>
        </w:r>
      </w:hyperlink>
    </w:p>
    <w:p>
      <w:pPr>
        <w:pStyle w:val="TOC2"/>
        <w:tabs>
          <w:tab w:val="right" w:leader="dot" w:pos="8306"/>
        </w:tabs>
      </w:pPr>
      <w:hyperlink w:anchor="_Toc13668" w:history="1">
        <w:r>
          <w:rPr>
            <w:rFonts w:ascii="宋体" w:eastAsia="宋体" w:hAnsi="宋体" w:cs="宋体" w:hint="eastAsia"/>
            <w:bCs w:val="0"/>
            <w:szCs w:val="28"/>
            <w:lang w:eastAsia="zh-CN"/>
          </w:rPr>
          <w:t>(二)、团队组建与角色分工</w:t>
        </w:r>
        <w:r>
          <w:tab/>
        </w:r>
        <w:r>
          <w:fldChar w:fldCharType="begin"/>
        </w:r>
        <w:r>
          <w:instrText xml:space="preserve"> PAGEREF _Toc13668 \h </w:instrText>
        </w:r>
        <w:r>
          <w:fldChar w:fldCharType="separate"/>
        </w:r>
        <w:r>
          <w:t>29</w:t>
        </w:r>
        <w:r>
          <w:fldChar w:fldCharType="end"/>
        </w:r>
      </w:hyperlink>
    </w:p>
    <w:p>
      <w:pPr>
        <w:pStyle w:val="TOC2"/>
        <w:tabs>
          <w:tab w:val="right" w:leader="dot" w:pos="8306"/>
        </w:tabs>
      </w:pPr>
      <w:hyperlink w:anchor="_Toc3874" w:history="1">
        <w:r>
          <w:rPr>
            <w:rFonts w:ascii="宋体" w:eastAsia="宋体" w:hAnsi="宋体" w:cs="宋体" w:hint="eastAsia"/>
            <w:bCs w:val="0"/>
            <w:szCs w:val="28"/>
            <w:lang w:eastAsia="zh-CN"/>
          </w:rPr>
          <w:t>(三)、团队沟通与协作机制</w:t>
        </w:r>
        <w:r>
          <w:tab/>
        </w:r>
        <w:r>
          <w:fldChar w:fldCharType="begin"/>
        </w:r>
        <w:r>
          <w:instrText xml:space="preserve"> PAGEREF _Toc3874 \h </w:instrText>
        </w:r>
        <w:r>
          <w:fldChar w:fldCharType="separate"/>
        </w:r>
        <w:r>
          <w:t>31</w:t>
        </w:r>
        <w:r>
          <w:fldChar w:fldCharType="end"/>
        </w:r>
      </w:hyperlink>
    </w:p>
    <w:p>
      <w:pPr>
        <w:pStyle w:val="TOC2"/>
        <w:tabs>
          <w:tab w:val="right" w:leader="dot" w:pos="8306"/>
        </w:tabs>
      </w:pPr>
      <w:hyperlink w:anchor="_Toc6315" w:history="1">
        <w:r>
          <w:rPr>
            <w:rFonts w:ascii="宋体" w:eastAsia="宋体" w:hAnsi="宋体" w:cs="宋体" w:hint="eastAsia"/>
            <w:bCs w:val="0"/>
            <w:szCs w:val="28"/>
            <w:lang w:eastAsia="zh-CN"/>
          </w:rPr>
          <w:t>(四)、项目风险管理与应对</w:t>
        </w:r>
        <w:r>
          <w:tab/>
        </w:r>
        <w:r>
          <w:fldChar w:fldCharType="begin"/>
        </w:r>
        <w:r>
          <w:instrText xml:space="preserve"> PAGEREF _Toc6315 \h </w:instrText>
        </w:r>
        <w:r>
          <w:fldChar w:fldCharType="separate"/>
        </w:r>
        <w:r>
          <w:t>32</w:t>
        </w:r>
        <w:r>
          <w:fldChar w:fldCharType="end"/>
        </w:r>
      </w:hyperlink>
    </w:p>
    <w:p>
      <w:pPr>
        <w:pStyle w:val="TOC1"/>
        <w:tabs>
          <w:tab w:val="right" w:leader="dot" w:pos="8306"/>
        </w:tabs>
      </w:pPr>
      <w:hyperlink w:anchor="_Toc3638" w:history="1">
        <w:r>
          <w:rPr>
            <w:rFonts w:ascii="微软雅黑" w:eastAsia="微软雅黑" w:hAnsi="微软雅黑" w:cs="微软雅黑" w:hint="eastAsia"/>
            <w:color w:val="001CAC" w:themeColor="hyperlink" w:themeShade="BF"/>
            <w:szCs w:val="32"/>
            <w:lang w:eastAsia="zh-CN"/>
          </w:rPr>
          <w:t>七、环境与社会责任</w:t>
        </w:r>
        <w:r>
          <w:tab/>
        </w:r>
        <w:r>
          <w:fldChar w:fldCharType="begin"/>
        </w:r>
        <w:r>
          <w:instrText xml:space="preserve"> PAGEREF _Toc3638 \h </w:instrText>
        </w:r>
        <w:r>
          <w:fldChar w:fldCharType="separate"/>
        </w:r>
        <w:r>
          <w:t>33</w:t>
        </w:r>
        <w:r>
          <w:fldChar w:fldCharType="end"/>
        </w:r>
      </w:hyperlink>
    </w:p>
    <w:p>
      <w:pPr>
        <w:pStyle w:val="TOC2"/>
        <w:tabs>
          <w:tab w:val="right" w:leader="dot" w:pos="8306"/>
        </w:tabs>
      </w:pPr>
      <w:hyperlink w:anchor="_Toc13264" w:history="1">
        <w:r>
          <w:rPr>
            <w:rFonts w:ascii="宋体" w:eastAsia="宋体" w:hAnsi="宋体" w:cs="宋体" w:hint="eastAsia"/>
            <w:bCs w:val="0"/>
            <w:szCs w:val="28"/>
            <w:lang w:eastAsia="zh-CN"/>
          </w:rPr>
          <w:t>(一)、环境影响评估</w:t>
        </w:r>
        <w:r>
          <w:tab/>
        </w:r>
        <w:r>
          <w:fldChar w:fldCharType="begin"/>
        </w:r>
        <w:r>
          <w:instrText xml:space="preserve"> PAGEREF _Toc13264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16" w:history="1">
        <w:r>
          <w:rPr>
            <w:rFonts w:ascii="宋体" w:eastAsia="宋体" w:hAnsi="宋体" w:cs="宋体" w:hint="eastAsia"/>
            <w:bCs w:val="0"/>
            <w:szCs w:val="28"/>
            <w:lang w:eastAsia="zh-CN"/>
          </w:rPr>
          <w:t>(二)、社会责任与可持续发展</w:t>
        </w:r>
        <w:r>
          <w:tab/>
        </w:r>
        <w:r>
          <w:fldChar w:fldCharType="begin"/>
        </w:r>
        <w:r>
          <w:instrText xml:space="preserve"> PAGEREF _Toc14916 \h </w:instrText>
        </w:r>
        <w:r>
          <w:fldChar w:fldCharType="separate"/>
        </w:r>
        <w:r>
          <w:t>33</w:t>
        </w:r>
        <w:r>
          <w:fldChar w:fldCharType="end"/>
        </w:r>
      </w:hyperlink>
    </w:p>
    <w:p>
      <w:pPr>
        <w:pStyle w:val="TOC1"/>
        <w:tabs>
          <w:tab w:val="right" w:leader="dot" w:pos="8306"/>
        </w:tabs>
      </w:pPr>
      <w:hyperlink w:anchor="_Toc25425" w:history="1">
        <w:r>
          <w:rPr>
            <w:rFonts w:ascii="微软雅黑" w:eastAsia="微软雅黑" w:hAnsi="微软雅黑" w:cs="微软雅黑" w:hint="eastAsia"/>
            <w:color w:val="001CAC" w:themeColor="hyperlink" w:themeShade="BF"/>
            <w:szCs w:val="32"/>
            <w:lang w:eastAsia="zh-CN"/>
          </w:rPr>
          <w:t>八、资金筹措与投资分析</w:t>
        </w:r>
        <w:r>
          <w:tab/>
        </w:r>
        <w:r>
          <w:fldChar w:fldCharType="begin"/>
        </w:r>
        <w:r>
          <w:instrText xml:space="preserve"> PAGEREF _Toc25425 \h </w:instrText>
        </w:r>
        <w:r>
          <w:fldChar w:fldCharType="separate"/>
        </w:r>
        <w:r>
          <w:t>34</w:t>
        </w:r>
        <w:r>
          <w:fldChar w:fldCharType="end"/>
        </w:r>
      </w:hyperlink>
    </w:p>
    <w:p>
      <w:pPr>
        <w:pStyle w:val="TOC2"/>
        <w:tabs>
          <w:tab w:val="right" w:leader="dot" w:pos="8306"/>
        </w:tabs>
      </w:pPr>
      <w:hyperlink w:anchor="_Toc3170" w:history="1">
        <w:r>
          <w:rPr>
            <w:rFonts w:ascii="宋体" w:eastAsia="宋体" w:hAnsi="宋体" w:cs="宋体" w:hint="eastAsia"/>
            <w:bCs w:val="0"/>
            <w:szCs w:val="28"/>
            <w:lang w:eastAsia="zh-CN"/>
          </w:rPr>
          <w:t>(一)、资金需求与筹措计划</w:t>
        </w:r>
        <w:r>
          <w:tab/>
        </w:r>
        <w:r>
          <w:fldChar w:fldCharType="begin"/>
        </w:r>
        <w:r>
          <w:instrText xml:space="preserve"> PAGEREF _Toc3170 \h </w:instrText>
        </w:r>
        <w:r>
          <w:fldChar w:fldCharType="separate"/>
        </w:r>
        <w:r>
          <w:t>34</w:t>
        </w:r>
        <w:r>
          <w:fldChar w:fldCharType="end"/>
        </w:r>
      </w:hyperlink>
    </w:p>
    <w:p>
      <w:pPr>
        <w:pStyle w:val="TOC2"/>
        <w:tabs>
          <w:tab w:val="right" w:leader="dot" w:pos="8306"/>
        </w:tabs>
      </w:pPr>
      <w:hyperlink w:anchor="_Toc22580" w:history="1">
        <w:r>
          <w:rPr>
            <w:rFonts w:ascii="宋体" w:eastAsia="宋体" w:hAnsi="宋体" w:cs="宋体" w:hint="eastAsia"/>
            <w:bCs w:val="0"/>
            <w:szCs w:val="28"/>
            <w:lang w:eastAsia="zh-CN"/>
          </w:rPr>
          <w:t>(二)、投资分析与回报预期</w:t>
        </w:r>
        <w:r>
          <w:tab/>
        </w:r>
        <w:r>
          <w:fldChar w:fldCharType="begin"/>
        </w:r>
        <w:r>
          <w:instrText xml:space="preserve"> PAGEREF _Toc22580 \h </w:instrText>
        </w:r>
        <w:r>
          <w:fldChar w:fldCharType="separate"/>
        </w:r>
        <w:r>
          <w:t>35</w:t>
        </w:r>
        <w:r>
          <w:fldChar w:fldCharType="end"/>
        </w:r>
      </w:hyperlink>
    </w:p>
    <w:p>
      <w:pPr>
        <w:pStyle w:val="TOC1"/>
        <w:tabs>
          <w:tab w:val="right" w:leader="dot" w:pos="8306"/>
        </w:tabs>
      </w:pPr>
      <w:hyperlink w:anchor="_Toc17567" w:history="1">
        <w:r>
          <w:rPr>
            <w:rFonts w:ascii="微软雅黑" w:eastAsia="微软雅黑" w:hAnsi="微软雅黑" w:cs="微软雅黑" w:hint="eastAsia"/>
            <w:color w:val="001CAC" w:themeColor="hyperlink" w:themeShade="BF"/>
            <w:szCs w:val="32"/>
            <w:lang w:eastAsia="zh-CN"/>
          </w:rPr>
          <w:t>九、造气炉行业项目管理与实施</w:t>
        </w:r>
        <w:r>
          <w:tab/>
        </w:r>
        <w:r>
          <w:fldChar w:fldCharType="begin"/>
        </w:r>
        <w:r>
          <w:instrText xml:space="preserve"> PAGEREF _Toc17567 \h </w:instrText>
        </w:r>
        <w:r>
          <w:fldChar w:fldCharType="separate"/>
        </w:r>
        <w:r>
          <w:t>35</w:t>
        </w:r>
        <w:r>
          <w:fldChar w:fldCharType="end"/>
        </w:r>
      </w:hyperlink>
    </w:p>
    <w:p>
      <w:pPr>
        <w:pStyle w:val="TOC2"/>
        <w:tabs>
          <w:tab w:val="right" w:leader="dot" w:pos="8306"/>
        </w:tabs>
      </w:pPr>
      <w:hyperlink w:anchor="_Toc24807" w:history="1">
        <w:r>
          <w:rPr>
            <w:rFonts w:ascii="宋体" w:eastAsia="宋体" w:hAnsi="宋体" w:cs="宋体" w:hint="eastAsia"/>
            <w:bCs w:val="0"/>
            <w:szCs w:val="28"/>
            <w:lang w:eastAsia="zh-CN"/>
          </w:rPr>
          <w:t>(一)、项目进度安排</w:t>
        </w:r>
        <w:r>
          <w:tab/>
        </w:r>
        <w:r>
          <w:fldChar w:fldCharType="begin"/>
        </w:r>
        <w:r>
          <w:instrText xml:space="preserve"> PAGEREF _Toc24807 \h </w:instrText>
        </w:r>
        <w:r>
          <w:fldChar w:fldCharType="separate"/>
        </w:r>
        <w:r>
          <w:t>35</w:t>
        </w:r>
        <w:r>
          <w:fldChar w:fldCharType="end"/>
        </w:r>
      </w:hyperlink>
    </w:p>
    <w:p>
      <w:pPr>
        <w:pStyle w:val="TOC2"/>
        <w:tabs>
          <w:tab w:val="right" w:leader="dot" w:pos="8306"/>
        </w:tabs>
      </w:pPr>
      <w:hyperlink w:anchor="_Toc13285" w:history="1">
        <w:r>
          <w:rPr>
            <w:rFonts w:ascii="宋体" w:eastAsia="宋体" w:hAnsi="宋体" w:cs="宋体" w:hint="eastAsia"/>
            <w:bCs w:val="0"/>
            <w:szCs w:val="28"/>
            <w:lang w:eastAsia="zh-CN"/>
          </w:rPr>
          <w:t>(二)、项目实施保障措施</w:t>
        </w:r>
        <w:r>
          <w:tab/>
        </w:r>
        <w:r>
          <w:fldChar w:fldCharType="begin"/>
        </w:r>
        <w:r>
          <w:instrText xml:space="preserve"> PAGEREF _Toc13285 \h </w:instrText>
        </w:r>
        <w:r>
          <w:fldChar w:fldCharType="separate"/>
        </w:r>
        <w:r>
          <w:t>36</w:t>
        </w:r>
        <w:r>
          <w:fldChar w:fldCharType="end"/>
        </w:r>
      </w:hyperlink>
    </w:p>
    <w:p>
      <w:pPr>
        <w:pStyle w:val="TOC2"/>
        <w:tabs>
          <w:tab w:val="right" w:leader="dot" w:pos="8306"/>
        </w:tabs>
      </w:pPr>
      <w:hyperlink w:anchor="_Toc7703" w:history="1">
        <w:r>
          <w:rPr>
            <w:rFonts w:ascii="宋体" w:eastAsia="宋体" w:hAnsi="宋体" w:cs="宋体" w:hint="eastAsia"/>
            <w:bCs w:val="0"/>
            <w:szCs w:val="28"/>
            <w:lang w:eastAsia="zh-CN"/>
          </w:rPr>
          <w:t>(三)、项目风险分析与对策</w:t>
        </w:r>
        <w:r>
          <w:tab/>
        </w:r>
        <w:r>
          <w:fldChar w:fldCharType="begin"/>
        </w:r>
        <w:r>
          <w:instrText xml:space="preserve"> PAGEREF _Toc7703 \h </w:instrText>
        </w:r>
        <w:r>
          <w:fldChar w:fldCharType="separate"/>
        </w:r>
        <w:r>
          <w:t>36</w:t>
        </w:r>
        <w:r>
          <w:fldChar w:fldCharType="end"/>
        </w:r>
      </w:hyperlink>
    </w:p>
    <w:p>
      <w:pPr>
        <w:pStyle w:val="TOC1"/>
        <w:tabs>
          <w:tab w:val="right" w:leader="dot" w:pos="8306"/>
        </w:tabs>
      </w:pPr>
      <w:hyperlink w:anchor="_Toc26097" w:history="1">
        <w:r>
          <w:rPr>
            <w:rFonts w:ascii="微软雅黑" w:eastAsia="微软雅黑" w:hAnsi="微软雅黑" w:cs="微软雅黑" w:hint="eastAsia"/>
            <w:color w:val="001CAC" w:themeColor="hyperlink" w:themeShade="BF"/>
            <w:szCs w:val="32"/>
            <w:lang w:eastAsia="zh-CN"/>
          </w:rPr>
          <w:t>十、质量与技术管理</w:t>
        </w:r>
        <w:r>
          <w:tab/>
        </w:r>
        <w:r>
          <w:fldChar w:fldCharType="begin"/>
        </w:r>
        <w:r>
          <w:instrText xml:space="preserve"> PAGEREF _Toc26097 \h </w:instrText>
        </w:r>
        <w:r>
          <w:fldChar w:fldCharType="separate"/>
        </w:r>
        <w:r>
          <w:t>37</w:t>
        </w:r>
        <w:r>
          <w:fldChar w:fldCharType="end"/>
        </w:r>
      </w:hyperlink>
    </w:p>
    <w:p>
      <w:pPr>
        <w:pStyle w:val="TOC2"/>
        <w:tabs>
          <w:tab w:val="right" w:leader="dot" w:pos="8306"/>
        </w:tabs>
      </w:pPr>
      <w:hyperlink w:anchor="_Toc11079" w:history="1">
        <w:r>
          <w:rPr>
            <w:rFonts w:ascii="宋体" w:eastAsia="宋体" w:hAnsi="宋体" w:cs="宋体" w:hint="eastAsia"/>
            <w:bCs w:val="0"/>
            <w:szCs w:val="28"/>
            <w:lang w:eastAsia="zh-CN"/>
          </w:rPr>
          <w:t>(一)、质量管理体系建设</w:t>
        </w:r>
        <w:r>
          <w:tab/>
        </w:r>
        <w:r>
          <w:fldChar w:fldCharType="begin"/>
        </w:r>
        <w:r>
          <w:instrText xml:space="preserve"> PAGEREF _Toc11079 \h </w:instrText>
        </w:r>
        <w:r>
          <w:fldChar w:fldCharType="separate"/>
        </w:r>
        <w:r>
          <w:t>37</w:t>
        </w:r>
        <w:r>
          <w:fldChar w:fldCharType="end"/>
        </w:r>
      </w:hyperlink>
    </w:p>
    <w:p>
      <w:pPr>
        <w:pStyle w:val="TOC2"/>
        <w:tabs>
          <w:tab w:val="right" w:leader="dot" w:pos="8306"/>
        </w:tabs>
      </w:pPr>
      <w:hyperlink w:anchor="_Toc13318" w:history="1">
        <w:r>
          <w:rPr>
            <w:rFonts w:ascii="宋体" w:eastAsia="宋体" w:hAnsi="宋体" w:cs="宋体" w:hint="eastAsia"/>
            <w:bCs w:val="0"/>
            <w:szCs w:val="28"/>
            <w:lang w:eastAsia="zh-CN"/>
          </w:rPr>
          <w:t>(二)、技术标准与创新</w:t>
        </w:r>
        <w:r>
          <w:tab/>
        </w:r>
        <w:r>
          <w:fldChar w:fldCharType="begin"/>
        </w:r>
        <w:r>
          <w:instrText xml:space="preserve"> PAGEREF _Toc13318 \h </w:instrText>
        </w:r>
        <w:r>
          <w:fldChar w:fldCharType="separate"/>
        </w:r>
        <w:r>
          <w:t>38</w:t>
        </w:r>
        <w:r>
          <w:fldChar w:fldCharType="end"/>
        </w:r>
      </w:hyperlink>
    </w:p>
    <w:p>
      <w:pPr>
        <w:pStyle w:val="TOC1"/>
        <w:tabs>
          <w:tab w:val="right" w:leader="dot" w:pos="8306"/>
        </w:tabs>
      </w:pPr>
      <w:hyperlink w:anchor="_Toc16696" w:history="1">
        <w:r>
          <w:rPr>
            <w:rFonts w:ascii="微软雅黑" w:eastAsia="微软雅黑" w:hAnsi="微软雅黑" w:cs="微软雅黑" w:hint="eastAsia"/>
            <w:color w:val="001CAC" w:themeColor="hyperlink" w:themeShade="BF"/>
            <w:szCs w:val="32"/>
            <w:lang w:eastAsia="zh-CN"/>
          </w:rPr>
          <w:t>十一、制度建设与管理</w:t>
        </w:r>
        <w:r>
          <w:tab/>
        </w:r>
        <w:r>
          <w:fldChar w:fldCharType="begin"/>
        </w:r>
        <w:r>
          <w:instrText xml:space="preserve"> PAGEREF _Toc16696 \h </w:instrText>
        </w:r>
        <w:r>
          <w:fldChar w:fldCharType="separate"/>
        </w:r>
        <w:r>
          <w:t>38</w:t>
        </w:r>
        <w:r>
          <w:fldChar w:fldCharType="end"/>
        </w:r>
      </w:hyperlink>
    </w:p>
    <w:p>
      <w:pPr>
        <w:pStyle w:val="TOC2"/>
        <w:tabs>
          <w:tab w:val="right" w:leader="dot" w:pos="8306"/>
        </w:tabs>
      </w:pPr>
      <w:hyperlink w:anchor="_Toc20040" w:history="1">
        <w:r>
          <w:rPr>
            <w:rFonts w:ascii="宋体" w:eastAsia="宋体" w:hAnsi="宋体" w:cs="宋体" w:hint="eastAsia"/>
            <w:bCs w:val="0"/>
            <w:szCs w:val="28"/>
            <w:lang w:eastAsia="zh-CN"/>
          </w:rPr>
          <w:t>(一)、公司治理结构</w:t>
        </w:r>
        <w:r>
          <w:tab/>
        </w:r>
        <w:r>
          <w:fldChar w:fldCharType="begin"/>
        </w:r>
        <w:r>
          <w:instrText xml:space="preserve"> PAGEREF _Toc20040 \h </w:instrText>
        </w:r>
        <w:r>
          <w:fldChar w:fldCharType="separate"/>
        </w:r>
        <w:r>
          <w:t>38</w:t>
        </w:r>
        <w:r>
          <w:fldChar w:fldCharType="end"/>
        </w:r>
      </w:hyperlink>
    </w:p>
    <w:p>
      <w:pPr>
        <w:pStyle w:val="TOC2"/>
        <w:tabs>
          <w:tab w:val="right" w:leader="dot" w:pos="8306"/>
        </w:tabs>
      </w:pPr>
      <w:hyperlink w:anchor="_Toc18517" w:history="1">
        <w:r>
          <w:rPr>
            <w:rFonts w:ascii="宋体" w:eastAsia="宋体" w:hAnsi="宋体" w:cs="宋体" w:hint="eastAsia"/>
            <w:bCs w:val="0"/>
            <w:szCs w:val="28"/>
            <w:lang w:eastAsia="zh-CN"/>
          </w:rPr>
          <w:t>(二)、内部控制与审计</w:t>
        </w:r>
        <w:r>
          <w:tab/>
        </w:r>
        <w:r>
          <w:fldChar w:fldCharType="begin"/>
        </w:r>
        <w:r>
          <w:instrText xml:space="preserve"> PAGEREF _Toc18517 \h </w:instrText>
        </w:r>
        <w:r>
          <w:fldChar w:fldCharType="separate"/>
        </w:r>
        <w:r>
          <w:t>39</w:t>
        </w:r>
        <w:r>
          <w:fldChar w:fldCharType="end"/>
        </w:r>
      </w:hyperlink>
    </w:p>
    <w:p>
      <w:pPr>
        <w:pStyle w:val="TOC2"/>
        <w:tabs>
          <w:tab w:val="right" w:leader="dot" w:pos="8306"/>
        </w:tabs>
      </w:pPr>
      <w:hyperlink w:anchor="_Toc30947" w:history="1">
        <w:r>
          <w:rPr>
            <w:rFonts w:ascii="宋体" w:eastAsia="宋体" w:hAnsi="宋体" w:cs="宋体" w:hint="eastAsia"/>
            <w:bCs w:val="0"/>
            <w:szCs w:val="28"/>
            <w:lang w:eastAsia="zh-CN"/>
          </w:rPr>
          <w:t>(三)、法律法规合规体系</w:t>
        </w:r>
        <w:r>
          <w:tab/>
        </w:r>
        <w:r>
          <w:fldChar w:fldCharType="begin"/>
        </w:r>
        <w:r>
          <w:instrText xml:space="preserve"> PAGEREF _Toc30947 \h </w:instrText>
        </w:r>
        <w:r>
          <w:fldChar w:fldCharType="separate"/>
        </w:r>
        <w:r>
          <w:t>40</w:t>
        </w:r>
        <w:r>
          <w:fldChar w:fldCharType="end"/>
        </w:r>
      </w:hyperlink>
    </w:p>
    <w:p>
      <w:pPr>
        <w:pStyle w:val="TOC1"/>
        <w:tabs>
          <w:tab w:val="right" w:leader="dot" w:pos="8306"/>
        </w:tabs>
      </w:pPr>
      <w:hyperlink w:anchor="_Toc17350" w:history="1">
        <w:r>
          <w:rPr>
            <w:rFonts w:ascii="微软雅黑" w:eastAsia="微软雅黑" w:hAnsi="微软雅黑" w:cs="微软雅黑" w:hint="eastAsia"/>
            <w:color w:val="001CAC" w:themeColor="hyperlink" w:themeShade="BF"/>
            <w:szCs w:val="32"/>
            <w:lang w:eastAsia="zh-CN"/>
          </w:rPr>
          <w:t>十二、造气炉行业投资管理策略</w:t>
        </w:r>
        <w:r>
          <w:tab/>
        </w:r>
        <w:r>
          <w:fldChar w:fldCharType="begin"/>
        </w:r>
        <w:r>
          <w:instrText xml:space="preserve"> PAGEREF _Toc17350 \h </w:instrText>
        </w:r>
        <w:r>
          <w:fldChar w:fldCharType="separate"/>
        </w:r>
        <w:r>
          <w:t>41</w:t>
        </w:r>
        <w:r>
          <w:fldChar w:fldCharType="end"/>
        </w:r>
      </w:hyperlink>
    </w:p>
    <w:p>
      <w:pPr>
        <w:pStyle w:val="TOC2"/>
        <w:tabs>
          <w:tab w:val="right" w:leader="dot" w:pos="8306"/>
        </w:tabs>
      </w:pPr>
      <w:hyperlink w:anchor="_Toc25447" w:history="1">
        <w:r>
          <w:rPr>
            <w:rFonts w:ascii="宋体" w:eastAsia="宋体" w:hAnsi="宋体" w:cs="宋体" w:hint="eastAsia"/>
            <w:bCs w:val="0"/>
            <w:szCs w:val="28"/>
            <w:lang w:eastAsia="zh-CN"/>
          </w:rPr>
          <w:t>(一)、造气炉行业投资估算主要内容</w:t>
        </w:r>
        <w:r>
          <w:tab/>
        </w:r>
        <w:r>
          <w:fldChar w:fldCharType="begin"/>
        </w:r>
        <w:r>
          <w:instrText xml:space="preserve"> PAGEREF _Toc25447 \h </w:instrText>
        </w:r>
        <w:r>
          <w:fldChar w:fldCharType="separate"/>
        </w:r>
        <w:r>
          <w:t>41</w:t>
        </w:r>
        <w:r>
          <w:fldChar w:fldCharType="end"/>
        </w:r>
      </w:hyperlink>
    </w:p>
    <w:p>
      <w:pPr>
        <w:pStyle w:val="TOC2"/>
        <w:tabs>
          <w:tab w:val="right" w:leader="dot" w:pos="8306"/>
        </w:tabs>
      </w:pPr>
      <w:hyperlink w:anchor="_Toc472" w:history="1">
        <w:r>
          <w:rPr>
            <w:rFonts w:ascii="宋体" w:eastAsia="宋体" w:hAnsi="宋体" w:cs="宋体" w:hint="eastAsia"/>
            <w:bCs w:val="0"/>
            <w:szCs w:val="28"/>
            <w:lang w:eastAsia="zh-CN"/>
          </w:rPr>
          <w:t>(二)、造气炉行业设备购置投资费用管理</w:t>
        </w:r>
        <w:r>
          <w:tab/>
        </w:r>
        <w:r>
          <w:fldChar w:fldCharType="begin"/>
        </w:r>
        <w:r>
          <w:instrText xml:space="preserve"> PAGEREF _Toc472 \h </w:instrText>
        </w:r>
        <w:r>
          <w:fldChar w:fldCharType="separate"/>
        </w:r>
        <w:r>
          <w:t>44</w:t>
        </w:r>
        <w:r>
          <w:fldChar w:fldCharType="end"/>
        </w:r>
      </w:hyperlink>
    </w:p>
    <w:p>
      <w:pPr>
        <w:pStyle w:val="TOC2"/>
        <w:tabs>
          <w:tab w:val="right" w:leader="dot" w:pos="8306"/>
        </w:tabs>
      </w:pPr>
      <w:hyperlink w:anchor="_Toc29693" w:history="1">
        <w:r>
          <w:rPr>
            <w:rFonts w:ascii="宋体" w:eastAsia="宋体" w:hAnsi="宋体" w:cs="宋体" w:hint="eastAsia"/>
            <w:bCs w:val="0"/>
            <w:szCs w:val="28"/>
            <w:lang w:eastAsia="zh-CN"/>
          </w:rPr>
          <w:t>(三)、造气炉行业装修施工投资费用管理</w:t>
        </w:r>
        <w:r>
          <w:tab/>
        </w:r>
        <w:r>
          <w:fldChar w:fldCharType="begin"/>
        </w:r>
        <w:r>
          <w:instrText xml:space="preserve"> PAGEREF _Toc29693 \h </w:instrText>
        </w:r>
        <w:r>
          <w:fldChar w:fldCharType="separate"/>
        </w:r>
        <w:r>
          <w:t>47</w:t>
        </w:r>
        <w:r>
          <w:fldChar w:fldCharType="end"/>
        </w:r>
      </w:hyperlink>
    </w:p>
    <w:p>
      <w:pPr>
        <w:pStyle w:val="TOC2"/>
        <w:tabs>
          <w:tab w:val="right" w:leader="dot" w:pos="8306"/>
        </w:tabs>
      </w:pPr>
      <w:hyperlink w:anchor="_Toc9427" w:history="1">
        <w:r>
          <w:rPr>
            <w:rFonts w:ascii="宋体" w:eastAsia="宋体" w:hAnsi="宋体" w:cs="宋体" w:hint="eastAsia"/>
            <w:bCs w:val="0"/>
            <w:szCs w:val="28"/>
            <w:lang w:eastAsia="zh-CN"/>
          </w:rPr>
          <w:t>(四)、造气炉行业流动资金管理</w:t>
        </w:r>
        <w:r>
          <w:tab/>
        </w:r>
        <w:r>
          <w:fldChar w:fldCharType="begin"/>
        </w:r>
        <w:r>
          <w:instrText xml:space="preserve"> PAGEREF _Toc9427 \h </w:instrText>
        </w:r>
        <w:r>
          <w:fldChar w:fldCharType="separate"/>
        </w:r>
        <w:r>
          <w:t>49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p>
    <w:p>
      <w:pPr>
        <w:pStyle w:val="Heading1"/>
        <w:jc w:val="center"/>
        <w:rPr>
          <w:rFonts w:ascii="微软雅黑" w:eastAsia="微软雅黑" w:hAnsi="微软雅黑" w:cs="微软雅黑" w:hint="eastAsia"/>
          <w:color w:val="2E54A1" w:themeColor="accent1" w:themeShade="BF"/>
          <w:lang w:eastAsia="zh-CN"/>
        </w:rPr>
      </w:pPr>
      <w:bookmarkStart w:id="1" w:name="_Toc25768"/>
      <w:r>
        <w:rPr>
          <w:rFonts w:ascii="微软雅黑" w:eastAsia="微软雅黑" w:hAnsi="微软雅黑" w:cs="微软雅黑" w:hint="eastAsia"/>
          <w:color w:val="2E54A1" w:themeColor="accent1" w:themeShade="BF"/>
          <w:lang w:eastAsia="zh-CN"/>
        </w:rPr>
        <w:t>前言</w:t>
      </w:r>
      <w:bookmarkEnd w:id="1"/>
    </w:p>
    <w:p>
      <w:pPr>
        <w:spacing w:line="480" w:lineRule="auto"/>
        <w:ind w:firstLine="480" w:firstLineChars="200"/>
        <w:rPr>
          <w:rFonts w:ascii="宋体" w:eastAsia="宋体" w:hAnsi="宋体" w:cs="宋体" w:hint="eastAsia"/>
          <w:sz w:val="24"/>
          <w:szCs w:val="22"/>
        </w:rPr>
      </w:pPr>
      <w:r>
        <w:rPr>
          <w:rFonts w:ascii="宋体" w:eastAsia="宋体" w:hAnsi="宋体" w:cs="宋体" w:hint="eastAsia"/>
          <w:sz w:val="24"/>
          <w:szCs w:val="22"/>
          <w:lang w:eastAsia="zh-CN"/>
        </w:rPr>
        <w:t>造气炉行业研究报告是对造气炉行业深入剖析的结果，旨在为造气炉行业从业人员提供参考和借鉴。该报告所涉及的内容仅供学术研究和学习交流,不可用于商业用途。通过对造气炉行业现状、市场规模和发展趋势的综合分析,以及对竞争格局和影响因素的评估，本报告旨在为读者提供全面的行业了解和决策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 w:name="_Toc21940"/>
      <w:r>
        <w:rPr>
          <w:rFonts w:ascii="微软雅黑" w:eastAsia="微软雅黑" w:hAnsi="微软雅黑" w:cs="微软雅黑" w:hint="eastAsia"/>
          <w:color w:val="2E54A1" w:themeColor="accent1" w:themeShade="BF"/>
          <w:sz w:val="32"/>
          <w:szCs w:val="32"/>
          <w:lang w:eastAsia="zh-CN"/>
        </w:rPr>
        <w:t>一、领导力发展与企业文化</w:t>
      </w:r>
      <w:bookmarkEnd w:id="2"/>
    </w:p>
    <w:p>
      <w:pPr>
        <w:pStyle w:val="Heading2"/>
        <w:spacing w:line="480" w:lineRule="auto"/>
        <w:rPr>
          <w:rFonts w:ascii="宋体" w:eastAsia="宋体" w:hAnsi="宋体" w:cs="宋体" w:hint="eastAsia"/>
          <w:bCs w:val="0"/>
          <w:sz w:val="28"/>
          <w:szCs w:val="28"/>
          <w:lang w:eastAsia="zh-CN"/>
        </w:rPr>
      </w:pPr>
      <w:bookmarkStart w:id="3" w:name="_Toc32394"/>
      <w:r>
        <w:rPr>
          <w:rFonts w:ascii="宋体" w:eastAsia="宋体" w:hAnsi="宋体" w:cs="宋体" w:hint="eastAsia"/>
          <w:b/>
          <w:bCs w:val="0"/>
          <w:sz w:val="28"/>
          <w:szCs w:val="28"/>
          <w:lang w:eastAsia="zh-CN"/>
        </w:rPr>
        <w:t>(一)、高效团队建设原则</w:t>
      </w:r>
      <w:bookmarkEnd w:id="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在进行高效团队建设时，我们秉持着一系列重要的原则，以确保团队能够协同合作、追求卓越。下面是我们团队建设的核心原则：</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使命明确：团队的使命和目标需要清晰明确，让每位团队成员都能理解并为之努力。明确的使命能够激发团队成员的动力，使他们在共同的目标下更好地协同合作。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优势互补：我们鼓励团队成员发挥各自的优势，形成一个互补性强、多才多艺的团队。这种多元性有助于更好地应对各种任务和挑战，提高团队整体的综合素质。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开放沟通：沟通是团队协作的基石。我们倡导开放、透明的沟通机制，鼓励团队成员分享意见和建议。通过积极的沟通，团队能够更好地理解彼此，有效解决问题。</w:t>
      </w:r>
    </w:p>
    <w:p>
      <w:pPr>
        <w:spacing w:line="480" w:lineRule="auto"/>
        <w:ind w:firstLine="420" w:firstLineChars="0"/>
        <w:rPr>
          <w:rFonts w:ascii="宋体" w:eastAsia="宋体" w:hAnsi="宋体" w:cs="宋体" w:hint="eastAsia"/>
          <w:sz w:val="24"/>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sz w:val="24"/>
          <w:szCs w:val="24"/>
          <w:lang w:eastAsia="zh-CN"/>
        </w:rPr>
        <w:t>共同承担责任：每个团队成员都参与责任的分担，形成共同的责任感。这有助于建立团队协同工作的氛围，确保每个成员都为团队的目标负责。</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激发创新：我们鼓励团队成员提出新的想法和方法，不怕犯错误。创新是推动团队发展的重要动力，我们致力于创造一个鼓励创新的团队文化。</w:t>
      </w:r>
    </w:p>
    <w:p>
      <w:pPr>
        <w:pStyle w:val="Heading2"/>
        <w:spacing w:line="480" w:lineRule="auto"/>
        <w:rPr>
          <w:rFonts w:ascii="宋体" w:eastAsia="宋体" w:hAnsi="宋体" w:cs="宋体" w:hint="eastAsia"/>
          <w:bCs w:val="0"/>
          <w:sz w:val="28"/>
          <w:szCs w:val="28"/>
          <w:lang w:eastAsia="zh-CN"/>
        </w:rPr>
      </w:pPr>
      <w:bookmarkStart w:id="4" w:name="_Toc19400"/>
      <w:r>
        <w:rPr>
          <w:rFonts w:ascii="宋体" w:eastAsia="宋体" w:hAnsi="宋体" w:cs="宋体" w:hint="eastAsia"/>
          <w:b/>
          <w:bCs w:val="0"/>
          <w:sz w:val="28"/>
          <w:szCs w:val="28"/>
          <w:lang w:eastAsia="zh-CN"/>
        </w:rPr>
        <w:t>(二)、团队文化与价值观塑造</w:t>
      </w:r>
      <w:bookmarkEnd w:id="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团队文化和价值观方面的塑造原则：</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共同愿景：我们着眼于共同的愿景，通过共同的目标来激励团队成员。这一愿景能够为团队提供明确的方向，使每个成员在工作中能够感到使命必达。</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信任与透明度：我们倡导建立一个基于信任和透明度的文化。成员间相互信任能够促使更好的合作,而透明度则有助于团队成员全面了解团队的决策过程和发展方向。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合作与共享：我们强调合作和共享的文化，鼓励团队成员彼此支持，共同努力。通过合作，团队成员能够发挥各自的优势，创造出更大的价值。</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多元文化：我们重视多元文化的价值观，尊重不同背景和观点的存在。这有助于创造一个开放、包容的团队环境，鼓励成员间的多元化交流和合作。</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持续学习：我们鼓励团队成员保持对新知识的渴求，持续学习和不断进步。这有助于形成积极向上、创新的文化氛围，推动团队不断提升综合素质。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通过这些原则,我们塑造了一个充满活力、积极向上的团队文化，使每位成员都能在共享的价值观下共同成长、共同进步。这有助于增强团队的凝聚力，推动团队不断向前发展。</w:t>
      </w:r>
    </w:p>
    <w:p>
      <w:pPr>
        <w:pStyle w:val="Heading2"/>
        <w:spacing w:line="480" w:lineRule="auto"/>
        <w:rPr>
          <w:rFonts w:ascii="宋体" w:eastAsia="宋体" w:hAnsi="宋体" w:cs="宋体" w:hint="eastAsia"/>
          <w:bCs w:val="0"/>
          <w:sz w:val="28"/>
          <w:szCs w:val="28"/>
          <w:lang w:eastAsia="zh-CN"/>
        </w:rPr>
      </w:pPr>
      <w:bookmarkStart w:id="5" w:name="_Toc6594"/>
      <w:r>
        <w:rPr>
          <w:rFonts w:ascii="宋体" w:eastAsia="宋体" w:hAnsi="宋体" w:cs="宋体" w:hint="eastAsia"/>
          <w:b/>
          <w:bCs w:val="0"/>
          <w:sz w:val="28"/>
          <w:szCs w:val="28"/>
          <w:lang w:eastAsia="zh-CN"/>
        </w:rPr>
        <w:t>(三)、领导力发展计划</w:t>
      </w:r>
      <w:bookmarkEnd w:id="5"/>
    </w:p>
    <w:p>
      <w:pPr>
        <w:spacing w:line="480" w:lineRule="auto"/>
        <w:ind w:firstLine="420" w:firstLineChars="0"/>
        <w:rPr>
          <w:rFonts w:ascii="宋体" w:eastAsia="宋体" w:hAnsi="宋体" w:cs="宋体" w:hint="eastAsia"/>
          <w:sz w:val="24"/>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领导力发展计划是确保造气炉行业项目顺利推进和取得成功的关键组成部分。在这一计划中，我们将注重培养和提升团队领导层的领导力素质，以适应项目不断发展和变化的需求。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1.领导力评估与识别：</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首先，我们将进行全面的领导力评估，通过明确领导层的优势和发展领域，为个别领导制定个性化的发展计划。这涵盖了领导者的沟通技能、团队协作、决策能力等方面的综合评估。</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2.培训与发展课程：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基于领导力评估的结果，我们将制定有针对性的培训和发展课程。这些课程涵盖领导力理论、沟通技巧、团队建设、冲突解决等方面旨在提高领导者的综合能力。培训将以定期的工作坊、讲座、在线学习等多种形式进行，确保领导者能够不断学习和成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3.导师制度与辅导：</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我们将建立导师制度，由经验丰富的领导者担任导师，与新晋领导者进行定期的一对一辅导。这有助于新领导者更好地理解项目的运作和公司文化，同时也提供了实践中的指导和反馈。</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4.实战项目与领导经验：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除了理论学习,我们将推动领导者参与实际项目和领导团队的机会。通过亲身经历，领导者将能够更深入地理解项目的挑战和机遇，锻炼领导力技能。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5.持续反馈和评估：</w:t>
      </w:r>
    </w:p>
    <w:p>
      <w:pPr>
        <w:spacing w:line="480" w:lineRule="auto"/>
        <w:ind w:firstLine="420" w:firstLineChars="0"/>
        <w:rPr>
          <w:rFonts w:ascii="宋体" w:eastAsia="宋体" w:hAnsi="宋体" w:cs="宋体" w:hint="eastAsia"/>
          <w:sz w:val="24"/>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宋体" w:hint="eastAsia"/>
          <w:sz w:val="24"/>
          <w:szCs w:val="24"/>
          <w:lang w:eastAsia="zh-CN"/>
        </w:rPr>
        <w:t>领导力发展计划将持续进行反馈和评估。通过360度评估、员工调查和项目绩效评估等手段，我们将不断监测领导者的发展进程，及时调整和优化发展计划，确保其与项目目标保持一致。</w:t>
      </w:r>
    </w:p>
    <w:p>
      <w:pPr>
        <w:pStyle w:val="Heading2"/>
        <w:spacing w:line="480" w:lineRule="auto"/>
        <w:rPr>
          <w:rFonts w:ascii="宋体" w:eastAsia="宋体" w:hAnsi="宋体" w:cs="宋体" w:hint="eastAsia"/>
          <w:bCs w:val="0"/>
          <w:sz w:val="28"/>
          <w:szCs w:val="28"/>
          <w:lang w:eastAsia="zh-CN"/>
        </w:rPr>
      </w:pPr>
      <w:bookmarkStart w:id="6" w:name="_Toc10212"/>
      <w:r>
        <w:rPr>
          <w:rFonts w:ascii="宋体" w:eastAsia="宋体" w:hAnsi="宋体" w:cs="宋体" w:hint="eastAsia"/>
          <w:b/>
          <w:bCs w:val="0"/>
          <w:sz w:val="28"/>
          <w:szCs w:val="28"/>
          <w:lang w:eastAsia="zh-CN"/>
        </w:rPr>
        <w:t>(四)、领导力在变革中的作用</w:t>
      </w:r>
      <w:bookmarkEnd w:id="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1.制定愿景和方向：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领导者在变革中的首要任务是制定清晰的愿景和方向。通过与团队共享未来的理想状态，领导者能够激发团队的共鸣和动力。这一愿景应当明确定义变革的目标和意义,为团队提供一个明确的前进方向。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2.传递信任和支持：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在变革期间，团队成员可能面临不确定性和焦虑。领导者的角色就是传递信任和支持，使团队充满信心地迎接变革。建立良好的沟通机制,解答疑虑,同时为团队提供资源和支持,有助于稳定团队情绪。</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3.激发团队的积极性：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领导者应当激发团队的积极性和创造性,鼓励成员参与变革过程，分享想法和建议。通过赋予团队更多的责任和自主权，领导者能够激发成员的参与感和责任心，从而促进变革的顺利进行。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4.管理变革的复杂性：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领导者需要具备处理变革中复杂局面的能力。这包括对风险的识别和管理，解决团队内部的冲突，以及对外部压力的应对。领导者的决策和行动应当能够在变革的动荡中保持组织的稳定性。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5.促进文化变革：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变革通常伴随着组织文化的调整。领导者需要引领文化变革，确保组织的价值观和行为规范与变革目标相一致。通过示范和鼓励期望的行为，领导者可以引导团队逐步适应新的文化氛围。</w:t>
      </w:r>
    </w:p>
    <w:p>
      <w:pPr>
        <w:spacing w:line="480" w:lineRule="auto"/>
        <w:ind w:firstLine="420" w:firstLineChars="0"/>
        <w:rPr>
          <w:rFonts w:ascii="宋体" w:eastAsia="宋体" w:hAnsi="宋体" w:cs="宋体" w:hint="eastAsia"/>
          <w:sz w:val="24"/>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cs="宋体" w:hint="eastAsia"/>
          <w:sz w:val="24"/>
          <w:szCs w:val="24"/>
          <w:lang w:eastAsia="zh-CN"/>
        </w:rPr>
        <w:t>6.持续学习和适应：</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领导者在变革中的作用也包括自身的不断学习和适应。对于变革的动态过程，领导者需要保持灵活性，随时调整策略，并从经验中吸取教训。这种反思和适应性是成功推动变革的重要因素。</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7" w:name="_Toc2487"/>
      <w:r>
        <w:rPr>
          <w:rFonts w:ascii="微软雅黑" w:eastAsia="微软雅黑" w:hAnsi="微软雅黑" w:cs="微软雅黑" w:hint="eastAsia"/>
          <w:color w:val="2E54A1" w:themeColor="accent1" w:themeShade="BF"/>
          <w:sz w:val="32"/>
          <w:szCs w:val="32"/>
          <w:lang w:eastAsia="zh-CN"/>
        </w:rPr>
        <w:t>二、制度运行与优化</w:t>
      </w:r>
      <w:bookmarkEnd w:id="7"/>
    </w:p>
    <w:p>
      <w:pPr>
        <w:pStyle w:val="Heading2"/>
        <w:spacing w:line="480" w:lineRule="auto"/>
        <w:rPr>
          <w:rFonts w:ascii="宋体" w:eastAsia="宋体" w:hAnsi="宋体" w:cs="宋体" w:hint="eastAsia"/>
          <w:bCs w:val="0"/>
          <w:sz w:val="28"/>
          <w:szCs w:val="28"/>
          <w:lang w:eastAsia="zh-CN"/>
        </w:rPr>
      </w:pPr>
      <w:bookmarkStart w:id="8" w:name="_Toc8772"/>
      <w:r>
        <w:rPr>
          <w:rFonts w:ascii="宋体" w:eastAsia="宋体" w:hAnsi="宋体" w:cs="宋体" w:hint="eastAsia"/>
          <w:b/>
          <w:bCs w:val="0"/>
          <w:sz w:val="28"/>
          <w:szCs w:val="28"/>
          <w:lang w:eastAsia="zh-CN"/>
        </w:rPr>
        <w:t>(一)、制度执行与监督</w:t>
      </w:r>
      <w:bookmarkEnd w:id="8"/>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公司治理的框架下,制度执行与监督是确保公司规章制度得到切实贯彻的重要环节。我们特别重视这一过程，通过成立专业的制度执行团队，致力于监察和评估公司各级制度的执行情况。该团队定期进行内部审核，深入各个部门开展审查，全面了解执行效果，并向高层管理层提供详尽的报告,以确保公司的各项规章制度得以有效执行。</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进一步强化监督机制，我们鼓励员工积极参与。通过设立匿名举报机制，我们提供了一个安全、隐蔽的渠道，使员工能够自由反映制度执行中的问题。这种开放的沟通渠道有助于公司及时发现并解决潜在问题，同时也增强了员工对公司治理的信任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公司领导层也积极参与制度执行情况的检查,通过定期的审查与交流,高层管理层能够深入了解制度执行的实际情况，并迅速制定必要的改进方案。这种多层次的监督机制不仅有助于维护公司内部秩序，也为公司整体治理水平的不断提升翼定坚实基础。</w:t>
      </w:r>
    </w:p>
    <w:p>
      <w:pPr>
        <w:pStyle w:val="Heading2"/>
        <w:spacing w:line="480" w:lineRule="auto"/>
        <w:rPr>
          <w:rFonts w:ascii="宋体" w:eastAsia="宋体" w:hAnsi="宋体" w:cs="宋体" w:hint="eastAsia"/>
          <w:bCs w:val="0"/>
          <w:sz w:val="28"/>
          <w:szCs w:val="28"/>
          <w:lang w:eastAsia="zh-CN"/>
        </w:rPr>
      </w:pPr>
      <w:bookmarkStart w:id="9" w:name="_Toc13951"/>
      <w:r>
        <w:rPr>
          <w:rFonts w:ascii="宋体" w:eastAsia="宋体" w:hAnsi="宋体" w:cs="宋体" w:hint="eastAsia"/>
          <w:b/>
          <w:bCs w:val="0"/>
          <w:sz w:val="28"/>
          <w:szCs w:val="28"/>
          <w:lang w:eastAsia="zh-CN"/>
        </w:rPr>
        <w:t>(二)、制度优化与更新</w:t>
      </w:r>
      <w:bookmarkEnd w:id="9"/>
    </w:p>
    <w:p>
      <w:pPr>
        <w:spacing w:line="480" w:lineRule="auto"/>
        <w:ind w:firstLine="420" w:firstLineChars="0"/>
        <w:rPr>
          <w:rFonts w:ascii="宋体" w:eastAsia="宋体" w:hAnsi="宋体" w:cs="宋体" w:hint="eastAsia"/>
          <w:sz w:val="24"/>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制度的优化与更新是公司持续发展的重要环节。我们将其视作一项策略任务，通过建立制度管理委员会来推动这一过程。委员会由各个部门的专业人员组成，负责定期审查公司的各项制度。这一审查不仅仅限于内部，还积极吸纳员工的建议和意见，融入外部专业观点，确保审查的全面性和公正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为了更好地适应外部环境的变化和公司内部的发展需求,我们密切关注法规和造气炉行业标准的变动。这种灵活性使得我们能够及时调整公司制度，确保其与时俱进。通过持续的制度优化与更新，我们致力于构建一个符合公司实际情况、富有弹性和活力的治理体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制度更新的过程中，我们注重与员工的沟通与合作。通过定期的培训和沟通会议，我们向员工解释新制度的背景和目的，提供详尽的操作指南，以确保员工能够理解和遵守新的规定。这种共同努力有助于强化员工对制度变化的接受度，为公司长期发展提供更为健康和稳定的制度支持。</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0" w:name="_Toc22621"/>
      <w:r>
        <w:rPr>
          <w:rFonts w:ascii="微软雅黑" w:eastAsia="微软雅黑" w:hAnsi="微软雅黑" w:cs="微软雅黑" w:hint="eastAsia"/>
          <w:color w:val="2E54A1" w:themeColor="accent1" w:themeShade="BF"/>
          <w:sz w:val="32"/>
          <w:szCs w:val="32"/>
          <w:lang w:eastAsia="zh-CN"/>
        </w:rPr>
        <w:t>三、项目技术流程</w:t>
      </w:r>
      <w:bookmarkEnd w:id="10"/>
    </w:p>
    <w:p>
      <w:pPr>
        <w:pStyle w:val="Heading2"/>
        <w:spacing w:line="480" w:lineRule="auto"/>
        <w:rPr>
          <w:rFonts w:ascii="宋体" w:eastAsia="宋体" w:hAnsi="宋体" w:cs="宋体" w:hint="eastAsia"/>
          <w:bCs w:val="0"/>
          <w:sz w:val="28"/>
          <w:szCs w:val="28"/>
          <w:lang w:eastAsia="zh-CN"/>
        </w:rPr>
      </w:pPr>
      <w:bookmarkStart w:id="11" w:name="_Toc11908"/>
      <w:r>
        <w:rPr>
          <w:rFonts w:ascii="宋体" w:eastAsia="宋体" w:hAnsi="宋体" w:cs="宋体" w:hint="eastAsia"/>
          <w:b/>
          <w:bCs w:val="0"/>
          <w:sz w:val="28"/>
          <w:szCs w:val="28"/>
          <w:lang w:eastAsia="zh-CN"/>
        </w:rPr>
        <w:t>(一)、技术方案选择</w:t>
      </w:r>
      <w:bookmarkEnd w:id="11"/>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首先，我们对当前造气炉行业技术发展趋势进行了全面了解，以及造气炉行业内同类项目的最佳实践。这有助于我们把握技术创新的方向，确保选择的技术方案能够紧跟造气炉行业前沿。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技术方案的选择中，我们着眼于多个关键因素，包括但不限于项目的规模、预算、可行性，以及未来的可持续性。我们确保所选技术方案能够在项目实施的整个生命周期内都具备高效、可靠和经济的特性。这意味着我们不仅考虑当前的需求，还关注未来的扩展和升级可能性，以确保项目的可持续性发展。</w:t>
      </w:r>
    </w:p>
    <w:p>
      <w:pPr>
        <w:spacing w:line="480" w:lineRule="auto"/>
        <w:ind w:firstLine="420" w:firstLineChars="0"/>
        <w:rPr>
          <w:rFonts w:ascii="宋体" w:eastAsia="宋体" w:hAnsi="宋体" w:cs="宋体" w:hint="eastAsia"/>
          <w:sz w:val="24"/>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与此同时，我们密切关注与技术方案相关的风险，制定相应的风险管理策略。技术方案的选择不仅需要符合项目的要求，还要能够应对潜在的技术挑战和不确定性，确保项目的成功实施和运营。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通过这一系统化的方法,我们将确保造气炉行业项目的技术方案选择既符合当前的需求，又具备未来的发展潜力，为项目的成功实施和长期发展翼定了坚实的技术基础。</w:t>
      </w:r>
    </w:p>
    <w:p>
      <w:pPr>
        <w:pStyle w:val="Heading2"/>
        <w:spacing w:line="480" w:lineRule="auto"/>
        <w:rPr>
          <w:rFonts w:ascii="宋体" w:eastAsia="宋体" w:hAnsi="宋体" w:cs="宋体" w:hint="eastAsia"/>
          <w:bCs w:val="0"/>
          <w:sz w:val="28"/>
          <w:szCs w:val="28"/>
          <w:lang w:eastAsia="zh-CN"/>
        </w:rPr>
      </w:pPr>
      <w:bookmarkStart w:id="12" w:name="_Toc12921"/>
      <w:r>
        <w:rPr>
          <w:rFonts w:ascii="宋体" w:eastAsia="宋体" w:hAnsi="宋体" w:cs="宋体" w:hint="eastAsia"/>
          <w:b/>
          <w:bCs w:val="0"/>
          <w:sz w:val="28"/>
          <w:szCs w:val="28"/>
          <w:lang w:eastAsia="zh-CN"/>
        </w:rPr>
        <w:t>(二)、设备选型方案</w:t>
      </w:r>
      <w:bookmarkEnd w:id="12"/>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确定造气炉行业项目的设备选型方案时,我们通过全面的技术评估和比较，考虑了多个因素，确保所选设备能够最大程度地满足项目的需求。首先，我们详细分析了项目的特殊要求和技术规范，明确了每种设备应具备的基本功能和性能标准,为选型提供了明确的指导方向。这确保了选定的设备能够精准地满足项目的技术要求,为整个项目提供了可靠的技术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其次，我们进行了市场调研，对当前市场上的设备进行比较和评估。我们注重选取具有先进技术、高质量、稳定性好的设备，并综合考虑了供应商的信誉度和售后服务。这综合性的考量确保了我们所选择的设备在性能上卓越，且在实际运营中能够保持稳定可靠，为项目的长期成功运营翼定了基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设备选型方案中，我们还考虑了设备的可维护性和可升级性。选择易于维护的设备有助于降低后期维护成本，延长设备使用寿命。同时，我们也评估了设备的可升级性，以适应未来可能的技术更新和项目扩展需求。这保障了项目在未来技术发展和业务扩张方面有足够的灵活性。</w:t>
      </w:r>
    </w:p>
    <w:p>
      <w:pPr>
        <w:spacing w:line="480" w:lineRule="auto"/>
        <w:ind w:firstLine="420" w:firstLineChars="0"/>
        <w:rPr>
          <w:rFonts w:ascii="宋体" w:eastAsia="宋体" w:hAnsi="宋体" w:cs="宋体" w:hint="eastAsia"/>
          <w:sz w:val="24"/>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最后，我们关注了设备选型所涉及的成本因素，通过合理平衡设备性能和成本，确保所选设备在满足项目需求的同时，也符合项目的预算限制。这种综合性的设备选型方案将为造气炉行业项目提供高效、可靠、经济的技术支持，为项目的成功实施翼定坚实基础。</w:t>
      </w:r>
    </w:p>
    <w:p>
      <w:pPr>
        <w:pStyle w:val="Heading2"/>
        <w:spacing w:line="480" w:lineRule="auto"/>
        <w:rPr>
          <w:rFonts w:ascii="宋体" w:eastAsia="宋体" w:hAnsi="宋体" w:cs="宋体" w:hint="eastAsia"/>
          <w:bCs w:val="0"/>
          <w:sz w:val="28"/>
          <w:szCs w:val="28"/>
          <w:lang w:eastAsia="zh-CN"/>
        </w:rPr>
      </w:pPr>
      <w:bookmarkStart w:id="13" w:name="_Toc9808"/>
      <w:r>
        <w:rPr>
          <w:rFonts w:ascii="宋体" w:eastAsia="宋体" w:hAnsi="宋体" w:cs="宋体" w:hint="eastAsia"/>
          <w:b/>
          <w:bCs w:val="0"/>
          <w:sz w:val="28"/>
          <w:szCs w:val="28"/>
          <w:lang w:eastAsia="zh-CN"/>
        </w:rPr>
        <w:t>(三)、技术流程与工艺设计</w:t>
      </w:r>
      <w:bookmarkEnd w:id="1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深入分析项目生命周期的各个阶段，我们制定了一套科学合理的技术流程，明确定义了每个步骤的关键节点。这有助于确保项目各项任务之间的协同顺畅，最大程度地提高了项目的执行效率，同时有效避免了潜在的延误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我们注重工艺设计的灵活性与可调性。在工艺方案的规划中，我们全面考虑了项目可能面临的多变因素，如市场需求波动和技术更新。通过采用模块化的工艺设计理念，我们实现了对项目变化的迅速响应能力，保持了项目的灵活性，使其能够更好地适应市场的动态变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另外,我们在技术流程和工艺设计中引入了智能化和数字化元素。通过充分整合先进的信息技术,我们实现了对项目各环节的实时监测和数据分析。这不仅帮助我们更准确地把握项目的运行状况，及时发现潜在问题并加以调整，同时也提高了项目的整体运作效率和质量水平。</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可持续发展的视角下,我们致力于将环保理念融入技术流程和工艺设计中。通过优化能源利用和减少废物排放，我们积极采取措施降低项目对环境的影响。在工艺设计中，我们大力推行可再生材料和循环利用设计，努力将项目打造成一个对资源更加友好、可持续性更强的运营实体。</w:t>
      </w:r>
    </w:p>
    <w:p>
      <w:pPr>
        <w:spacing w:line="480" w:lineRule="auto"/>
        <w:ind w:firstLine="420" w:firstLineChars="0"/>
        <w:rPr>
          <w:rFonts w:ascii="宋体" w:eastAsia="宋体" w:hAnsi="宋体" w:cs="宋体" w:hint="eastAsia"/>
          <w:sz w:val="24"/>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最后全面的质量管理贯穿了整个技术流程和工艺设计。通过引入一系列质量控制措施,我们在项目的每个阶段都能够确保产品或服务达到高标准的质量要求。这包括对原材料的严格选择，到最终产品的交付，我们一直在全程严格把控，以确保项目提供的是高质量、高附加值的产品或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通过这一系列的科学规划和管理实践,我们确保造气炉行业项目在技术流程与工艺设计方面能够实现高效、可持续、高质量的运营目标。</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14" w:name="_Toc21202"/>
      <w:r>
        <w:rPr>
          <w:rFonts w:ascii="微软雅黑" w:eastAsia="微软雅黑" w:hAnsi="微软雅黑" w:cs="微软雅黑" w:hint="eastAsia"/>
          <w:color w:val="2E54A1" w:themeColor="accent1" w:themeShade="BF"/>
          <w:sz w:val="32"/>
          <w:szCs w:val="32"/>
          <w:lang w:eastAsia="zh-CN"/>
        </w:rPr>
        <w:t>四、造气炉行业选址方案分析</w:t>
      </w:r>
      <w:bookmarkEnd w:id="14"/>
    </w:p>
    <w:p>
      <w:pPr>
        <w:pStyle w:val="Heading2"/>
        <w:spacing w:line="480" w:lineRule="auto"/>
        <w:rPr>
          <w:rFonts w:ascii="宋体" w:eastAsia="宋体" w:hAnsi="宋体" w:cs="宋体" w:hint="eastAsia"/>
          <w:bCs w:val="0"/>
          <w:sz w:val="28"/>
          <w:szCs w:val="28"/>
          <w:lang w:eastAsia="zh-CN"/>
        </w:rPr>
      </w:pPr>
      <w:bookmarkStart w:id="15" w:name="_Toc24485"/>
      <w:r>
        <w:rPr>
          <w:rFonts w:ascii="宋体" w:eastAsia="宋体" w:hAnsi="宋体" w:cs="宋体" w:hint="eastAsia"/>
          <w:b/>
          <w:bCs w:val="0"/>
          <w:sz w:val="28"/>
          <w:szCs w:val="28"/>
          <w:lang w:eastAsia="zh-CN"/>
        </w:rPr>
        <w:t>(一)、造气炉行业选址影响因素</w:t>
      </w:r>
      <w:bookmarkEnd w:id="15"/>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(一)市场需求与目标客户</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选址的首要因素之一是市场需求和目标客户的分析。了解目标客户群体的特征、消费习惯以及对产品或服务的需求，有助于确定最适合的选址地点。市场需求的研究可通过调查、市场分析和消费者行为研究等手段进行，为选址提供有力的数据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(二)交通便利度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交通便利度是影响选址的重要因素之一。选址应考虑附近交通网络的完善程度，包括道路、公共交通和停车设施等。一个交通便利的地点有助于吸引更多的顾客，提高企业的可达性，从而增加潜在客户的流量。</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(三)周边竞争格局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周边竞争格局是选址决策的关键考量之一。了解附近竞争对手的数量、类型、规模和定位，有助于评估市场的竞争强度。避免过于密集的竞争，同时找到有利于自身业务发展的市场空白区域，是选择合适选址的重要因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(四)租金和成本</w:t>
      </w:r>
    </w:p>
    <w:p>
      <w:pPr>
        <w:spacing w:line="480" w:lineRule="auto"/>
        <w:ind w:firstLine="420" w:firstLineChars="0"/>
        <w:rPr>
          <w:rFonts w:ascii="宋体" w:eastAsia="宋体" w:hAnsi="宋体" w:cs="宋体" w:hint="eastAsia"/>
          <w:sz w:val="24"/>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租金和成本是企业运营不可忽视的成本因素。在选址过程中，需要综合考虑租金水平、人工成本、税费等因素，确保选址地点的运营成本能够与预期收益相匹配。通过合理的成本控制，提高企业的盈利能力。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(五)商业环境和消费氛围</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商业环境和消费氛围直接影响到企业的形象和吸引力。选择位于商业繁华区域或具有良好商业氛围的地段，有助于提升品牌知名度，并吸引更多目标客户。良好的商业环境有助于形成良好的口碑和顾客忠诚度。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(六)安全与便利设施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选址的安全性和周边便利设施也是重要的考虑因素。安全的选址有助于提高员工和顾客的安全感，同时便利设施如医疗机构、银行、公共服务设施等的存在，可提升周边环境的整体品质，对企业形象产生积极影响。</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(七)未来发展潜力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考虑选址地点的未来发展潜力是长远规划的重要组成部分。通过分析城市规划、土地利用政策、经济发展趋势等因素，选择具有未来潜力的地区，有助于确保企业在未来市场中仍然具有竞争力。综合考虑这些因素，企业能够选择更符合自身战略发展的选址地点。</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(八)人才资源与劳动力市场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人才资源的可及性对企业的成功至关重要。选址时需要考虑周边地区的人才储备和劳动力市场情况。选择位于人才辐射区域或临近教育机构的地点，有助于吸引高素质的员工，提升企业的核心竞争力。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(九)政策环境与法规要求</w:t>
      </w:r>
    </w:p>
    <w:p>
      <w:pPr>
        <w:spacing w:line="480" w:lineRule="auto"/>
        <w:ind w:firstLine="420" w:firstLineChars="0"/>
        <w:rPr>
          <w:rFonts w:ascii="宋体" w:eastAsia="宋体" w:hAnsi="宋体" w:cs="宋体" w:hint="eastAsia"/>
          <w:sz w:val="24"/>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宋体" w:eastAsia="宋体" w:hAnsi="宋体" w:cs="宋体" w:hint="eastAsia"/>
          <w:sz w:val="24"/>
          <w:szCs w:val="24"/>
          <w:lang w:eastAsia="zh-CN"/>
        </w:rPr>
        <w:t>了解选址地区的政策环境和法规要求是确保企业合规运营的关键。不同地区可能有不同的税收政策、造气炉行业准入规定等，选择符合企业经营需求且政策环境较为稳定的地方,有助于降低经营风险。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(十)社会文化因素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社会文化因素也是选址考虑的一部分。企业需要适应当地社会文化，确保产品或服务与当地居民的文化背景相契合，避免因文化差异而引发的经营问题。了解当地的文化氛围有助于更好地进行市场定位和推广。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(十一)环境可持续性与社会责任</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越来越多的企业注重环境可持续性和社会责任,选址时也要考虑到企业的社会形象。选择符合环保标准、推崇可持续发展理念的地方，有助于提升企业的社会责任感，赢得消费者的认可和支持。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(十二)数字化基础设施</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在数字化时代，充足的数字化基础设施对企业的运营至关重要。选址时需要考虑当地的网络覆盖、电子支付设施等数字化基础设施，以确保企业能够顺利进行在线业务、数据管理等方面的运营。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(十三)自然灾害和气候因素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对自然灾害和气候因素的考虑是确保企业安全稳定运营的一项重要任务。选择地理位置相对安全、不容易受到自然灾害影响的地方，有助于降低企业的经营风险。</w:t>
      </w:r>
    </w:p>
    <w:p>
      <w:pPr>
        <w:pStyle w:val="Heading2"/>
        <w:spacing w:line="480" w:lineRule="auto"/>
        <w:rPr>
          <w:rFonts w:ascii="宋体" w:eastAsia="宋体" w:hAnsi="宋体" w:cs="宋体" w:hint="eastAsia"/>
          <w:bCs w:val="0"/>
          <w:sz w:val="28"/>
          <w:szCs w:val="28"/>
          <w:lang w:eastAsia="zh-CN"/>
        </w:rPr>
      </w:pPr>
      <w:bookmarkStart w:id="16" w:name="_Toc17108"/>
      <w:r>
        <w:rPr>
          <w:rFonts w:ascii="宋体" w:eastAsia="宋体" w:hAnsi="宋体" w:cs="宋体" w:hint="eastAsia"/>
          <w:b/>
          <w:bCs w:val="0"/>
          <w:sz w:val="28"/>
          <w:szCs w:val="28"/>
          <w:lang w:eastAsia="zh-CN"/>
        </w:rPr>
        <w:t>(二)、造气炉行业选址原则</w:t>
      </w:r>
      <w:bookmarkEnd w:id="16"/>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市场需求与目标客户分布：选址时首先要分析市场需求，确保选址地点符合目标客户的分布。选择靠近目标客户密集区域的位置，有助于提高客流量和市场份额。</w:t>
      </w:r>
    </w:p>
    <w:p>
      <w:pPr>
        <w:spacing w:line="480" w:lineRule="auto"/>
        <w:ind w:firstLine="420" w:firstLineChars="0"/>
        <w:rPr>
          <w:rFonts w:ascii="宋体" w:eastAsia="宋体" w:hAnsi="宋体" w:cs="宋体" w:hint="eastAsia"/>
          <w:sz w:val="24"/>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交通便利度：选址地点的交通便利度直接影响客户的到访和物流的畅通。选择交通枢纽附近或交通便利的地段，有助于提高企业的可达性和运营效率。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周边竞争格局：要考虑周边竞争格局，避免选择过于竞争激烈的地区，同时也要确保有一定的同业竞争，以形成良性市场竞争和相互促进的局面。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租金和成本：要合理评估租金和其他成本，确保选址地点的租金水平在企业财务承受范围内，并能够实现成本控制和盈利最大化。</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商业环境和消费氛围：考虑选址地点的商业环境和消费氛围，选择适合企业业态和文化的地区，以吸引更多目标客户，并提升品牌形象。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安全与便利设施：考虑选址地点的安全性，选择相对安全的地段，有助于提高员工和客户的安全感。同时，周边设施的完善也是一个考虑因素，例如医疗、教育、购物等。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未来发展潜力：评估选址地点的未来发展潜力，选择具有良好发展前景的地区，以确保企业在长期内能够持续发展。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人才资源与劳动力市场：考虑周边地区的人才资源和劳动力市场情况，选择有利于吸引和保留高素质员工的地点，以提升企业的竞争力。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政策环境与法规要求：了解选址地区的政策环境和法规要求，选择符合企业经营需求且政策环境较为稳定的地方,有助于降低经营风险。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社会文化因素：适应当地社会文化，确保产品或服务与当地居民的文化背景相契合，避免因文化差异而引发的经营问题。</w:t>
      </w:r>
    </w:p>
    <w:p>
      <w:pPr>
        <w:pStyle w:val="Heading2"/>
        <w:spacing w:line="480" w:lineRule="auto"/>
        <w:rPr>
          <w:rFonts w:ascii="宋体" w:eastAsia="宋体" w:hAnsi="宋体" w:cs="宋体" w:hint="eastAsia"/>
          <w:bCs w:val="0"/>
          <w:sz w:val="28"/>
          <w:szCs w:val="28"/>
          <w:lang w:eastAsia="zh-CN"/>
        </w:rPr>
      </w:pPr>
      <w:bookmarkStart w:id="17" w:name="_Toc31297"/>
      <w:r>
        <w:rPr>
          <w:rFonts w:ascii="宋体" w:eastAsia="宋体" w:hAnsi="宋体" w:cs="宋体" w:hint="eastAsia"/>
          <w:b/>
          <w:bCs w:val="0"/>
          <w:sz w:val="28"/>
          <w:szCs w:val="28"/>
          <w:lang w:eastAsia="zh-CN"/>
        </w:rPr>
        <w:t>(三)、消费习惯对造气炉行业选址的影响</w:t>
      </w:r>
      <w:bookmarkEnd w:id="17"/>
    </w:p>
    <w:p>
      <w:pPr>
        <w:spacing w:line="480" w:lineRule="auto"/>
        <w:ind w:firstLine="420" w:firstLineChars="0"/>
        <w:rPr>
          <w:rFonts w:ascii="宋体" w:eastAsia="宋体" w:hAnsi="宋体" w:cs="宋体" w:hint="eastAsia"/>
          <w:sz w:val="24"/>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消费习惯是影响企业选址决策的重要因素之一。了解并考虑当地居民的消费习惯，可以帮助企业更好地满足目标客户的需求，提高业绩。下面是消费习惯对造气炉行业选址的影响的具体方面：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购物频率和时间：考虑居民的购物频率和时间，选择在他们习惯购物的时间段和地点设立造气炉行业，以提高客流量。例如，在繁忙的商业区或购物中心附近设立，以吸引白天或周末购物的居民。</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消费水平：消费水平直接关系到企业在该地区的价格定位和产品策略。在高消费水平地区，可以考虑提供高端产品或服务；而在中低消费水平地区，可以选择更亲民的价格和产品。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消费偏好：了解居民的消费偏好，包括对品牌、风格、口味的偏好等，有助于企业更精准地定位自己的产品或服务，满足潜在客户的需求。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线上线下购物倾向：随着电商的兴起，考虑居民的线上线下购物倾向。在线上购物偏好的区域，可以通过线上渠道拓展销售；在线下购物习惯较为浓厚的区域，则更适合实体店面。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社交消费习惯：了解当地居民的社交消费习惯，包括是否喜欢与他人一起购物或参与社交活动。选择能够满足社交需求的位置，有助于提高店铺的吸引力。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特殊节假日消费：考虑当地居民在特殊节假日或重要传统节庆期间的消费特点。在这些时段推出相关促销或活动,有助于提高店铺的知名度和销售额。</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健康与环保意识：若当地居民注重健康和环保，可以考虑提供符合这些价值观的产品或服务，以迎合他们的消费趋势。</w:t>
      </w:r>
    </w:p>
    <w:p>
      <w:pPr>
        <w:spacing w:line="480" w:lineRule="auto"/>
        <w:ind w:firstLine="420" w:firstLineChars="0"/>
        <w:rPr>
          <w:rFonts w:ascii="宋体" w:eastAsia="宋体" w:hAnsi="宋体" w:cs="宋体" w:hint="eastAsia"/>
          <w:sz w:val="24"/>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宋体" w:eastAsia="宋体" w:hAnsi="宋体" w:cs="宋体" w:hint="eastAsia"/>
          <w:sz w:val="24"/>
          <w:szCs w:val="24"/>
          <w:lang w:eastAsia="zh-CN"/>
        </w:rPr>
        <w:t>文化消费需求：考虑当地居民对文化活动和体验式消费的兴趣，选择在文化氛围浓厚的地区设立造气炉行业,以吸引相关文化活动的参与者。</w:t>
      </w:r>
    </w:p>
    <w:p>
      <w:pPr>
        <w:pStyle w:val="Heading2"/>
        <w:spacing w:line="480" w:lineRule="auto"/>
        <w:rPr>
          <w:rFonts w:ascii="宋体" w:eastAsia="宋体" w:hAnsi="宋体" w:cs="宋体" w:hint="eastAsia"/>
          <w:bCs w:val="0"/>
          <w:sz w:val="28"/>
          <w:szCs w:val="28"/>
          <w:lang w:eastAsia="zh-CN"/>
        </w:rPr>
      </w:pPr>
      <w:bookmarkStart w:id="18" w:name="_Toc30519"/>
      <w:r>
        <w:rPr>
          <w:rFonts w:ascii="宋体" w:eastAsia="宋体" w:hAnsi="宋体" w:cs="宋体" w:hint="eastAsia"/>
          <w:b/>
          <w:bCs w:val="0"/>
          <w:sz w:val="28"/>
          <w:szCs w:val="28"/>
          <w:lang w:eastAsia="zh-CN"/>
        </w:rPr>
        <w:t>(四)、消费能力对造气炉行业选址的影响</w:t>
      </w:r>
      <w:bookmarkEnd w:id="18"/>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(一)市场需求方面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1.市场规模与增长趋势：分析所在地区市场的规模和发展趋势，包括潜在客户数量、市场份额和未来的增长预期。了解市场的规模将有助于企业确定在该区域的适宜规模。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2.产品或服务需求：调查目标市场对产品或服务的需求。了解消费者对于产品特性、功能、品质等方面的需求，以满足市场的实际需求。</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3.消费者行为分析：研究消费者在购物中的决策过程、偏好和行为习惯。这有助于制定更精准的市场营销策略，提高产品或服务的吸引力。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(二)竞争压力方面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1.竞争对手分析：调查目标区域的竞争格局，了解主要竞争对手、其市场份额和优势劣势。分析竞争对手的定价策略、营销手段，以制定更具竞争力的战略。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2.市场集中度：评估市场的竞争程度，包括造气炉行业内企业数量、市场份额分布情况。高度集中的市场可能更具挑战性，需要更明智的市场进入策略。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3.竞争优势和劣势：审视自身的竞争优势，例如独特的产品、服务、技术或品牌形象，并了解潜在的竞争劣势，以制定提升竞争力的战略。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(三)租金成本方面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1.租金水平：考察目标区域的租金水平，比较不同地段的租金差异。确保租金在企业财务可承受范围内,同时符合预期的业务收益。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2.成本结构：细致分析租金之外的其他成本，包括设备采购、员工工资、水电费等。全面了解成本结构,有助于合理制定价格策略，确保盈利。</w:t>
      </w:r>
    </w:p>
    <w:p>
      <w:pPr>
        <w:spacing w:line="480" w:lineRule="auto"/>
        <w:ind w:firstLine="420" w:firstLineChars="0"/>
        <w:rPr>
          <w:rFonts w:ascii="宋体" w:eastAsia="宋体" w:hAnsi="宋体" w:cs="宋体" w:hint="eastAsia"/>
          <w:sz w:val="24"/>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3.未来租金变动趋势：调查目标地区租金的历史变动趋势以及未来的预测。这有助于制定长期的租赁计划，防范潜在的租金风险。</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(四)品牌形象方面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1.品牌知名度：评估品牌在目标市场的知名度和认可度。建立品牌的知名度将影响顾客的购买决策和忠诚度。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2.品牌定位：确定品牌在市场中的定位，包括定位的独特性、与竞争对手的区别等。清晰的品牌定位有助于吸引目标客户。</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3.品牌形象与价值观：研究目标市场对品牌形象和企业价值观的认知。通过传递积极的品牌形象和价值观，提高品牌在市场中的吸引力。</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(五)人流量方面(续)</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1.节假日和活动影响：考察目标地区的节假日和特殊活动对人流量的影响。合理规划活动促销策略，以吸引更多潜在客户，尤其是在人流量较大的时期。</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2.周边设施和景点：分析附近是否有商业中心、购物中心、景点等，这些地方通常拥有较高的人流。选择靠近这些地点的位置，可以借助其带来的客流优势。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3.交通节点附近：考虑选址是否靠近公共交通站点或交通枢纽，以确保更多潜在客户的便捷到达。便利的交通位置通常能够吸引更多的顾客。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4.造气炉行业生态系统：考虑周边的商业生态系统，是否有相关造气炉行业的吸引人流的业务。与周边商户建立合作，共享人流资源，实现互利共赢。</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以上方面的综合分析将为选址提供全面的信息,帮助企业做出更明智的决策，使得新业务能够在选择的地点取得更好的业绩。</w:t>
      </w:r>
    </w:p>
    <w:p>
      <w:pPr>
        <w:pStyle w:val="Heading2"/>
        <w:spacing w:line="480" w:lineRule="auto"/>
        <w:rPr>
          <w:rFonts w:ascii="宋体" w:eastAsia="宋体" w:hAnsi="宋体" w:cs="宋体" w:hint="eastAsia"/>
          <w:bCs w:val="0"/>
          <w:sz w:val="28"/>
          <w:szCs w:val="28"/>
          <w:lang w:eastAsia="zh-CN"/>
        </w:rPr>
      </w:pPr>
      <w:bookmarkStart w:id="19" w:name="_Toc1041"/>
      <w:r>
        <w:rPr>
          <w:rFonts w:ascii="宋体" w:eastAsia="宋体" w:hAnsi="宋体" w:cs="宋体" w:hint="eastAsia"/>
          <w:b/>
          <w:bCs w:val="0"/>
          <w:sz w:val="28"/>
          <w:szCs w:val="28"/>
          <w:lang w:eastAsia="zh-CN"/>
        </w:rPr>
        <w:t>(五)、经营成本对造气炉行业选址的影响</w:t>
      </w:r>
      <w:bookmarkEnd w:id="19"/>
    </w:p>
    <w:p>
      <w:pPr>
        <w:spacing w:line="480" w:lineRule="auto"/>
        <w:ind w:firstLine="420" w:firstLineChars="0"/>
        <w:rPr>
          <w:rFonts w:ascii="宋体" w:eastAsia="宋体" w:hAnsi="宋体" w:cs="宋体" w:hint="eastAsia"/>
          <w:sz w:val="24"/>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租金水平：深入研究目标地区的租金水平，细分各商业区域的租金情况。比较不同位置的租金水平，了解市场趋势，以制定合理的租金预算。同时，了解租金是否包含相关费用，如物业管理费，以全面评估实际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人工成本：分析目标地区的人工市场，包括各造气炉行业的薪资水平、员工福利标准和培训成本。考虑到当地的最低工资标准，以制定合理的员工薪资体系。同时，评估劳动力市场的供需状况，确保能够招聘到具备所需技能的员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3.水电费用：详细了解目标地区的水电费用结构，包括不同季节的变化和用途的费用差异。通过采用节能设备、优化用电计划，降低水电消耗，从而减轻企业运营中的能源成本。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4.税收政策：仔细研究目标地区的税收政策，了解企业所得税、增值税等税种的适用规定。寻找符合法规的税收优惠政策，以最大限度地减轻税收负担，提高经营效益。</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5.物流成本：如果业务需要物流支持，考虑选址是否有利于降低运输成本。选择离供应商和客户近的地点，采用智能物流系统，优化供应链，降低物流成本，并提高交付效率。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6.装修和设备投资：分析目标地区的装修和设备投资水平，确保投资符合企业的品牌形象和服务特性。选择高性价比的装修方案和设备配置，确保投资与长期经营计划相一致，提升客户体验，降低后期运营成本。</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市场推广费用：考虑市场推广的成本，包括广告、促销和其他宣传活动。了解目标地区的广告费用水平，选择适合企业预算和目标受众的宣传方式。建立精准的市场推广策略，确保每一笔投资都能带来良好的回报。</w:t>
      </w:r>
    </w:p>
    <w:p>
      <w:pPr>
        <w:spacing w:line="480" w:lineRule="auto"/>
        <w:ind w:firstLine="420" w:firstLineChars="0"/>
        <w:rPr>
          <w:rFonts w:ascii="宋体" w:eastAsia="宋体" w:hAnsi="宋体" w:cs="宋体" w:hint="eastAsia"/>
          <w:sz w:val="24"/>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8.保险费用：细致研究目标地区的商业保险费用，包括财产险、责任险等。了解不同保险方案的保费和保障范围，选择最适合企业需求的保险产品。合理投保有助于降低潜在风险,保障企业的经济安全。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9.技术支持与维护费用：如果企业依赖先进技术设备，考虑技术支持和维护的成本。了解设备供应商提供的服务方案和费用，确保设备始终保持高效运转。在选址过程中,考虑当地是否有可靠的技术服务供应商，以便及时解决技术问题，减少生产中断。</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10.供应链管理费用：如果企业涉及供应链管理，需综合考虑采购、库存和物流等环节的成本。建立高效的供应链管理系统，优化库存控制，减少滞销和过剩库存，以确保供应链高效运作，降低运营成本。</w:t>
      </w:r>
    </w:p>
    <w:p>
      <w:pPr>
        <w:pStyle w:val="Heading2"/>
        <w:spacing w:line="480" w:lineRule="auto"/>
        <w:rPr>
          <w:rFonts w:ascii="宋体" w:eastAsia="宋体" w:hAnsi="宋体" w:cs="宋体" w:hint="eastAsia"/>
          <w:bCs w:val="0"/>
          <w:sz w:val="28"/>
          <w:szCs w:val="28"/>
          <w:lang w:eastAsia="zh-CN"/>
        </w:rPr>
      </w:pPr>
      <w:bookmarkStart w:id="20" w:name="_Toc18949"/>
      <w:r>
        <w:rPr>
          <w:rFonts w:ascii="宋体" w:eastAsia="宋体" w:hAnsi="宋体" w:cs="宋体" w:hint="eastAsia"/>
          <w:b/>
          <w:bCs w:val="0"/>
          <w:sz w:val="28"/>
          <w:szCs w:val="28"/>
          <w:lang w:eastAsia="zh-CN"/>
        </w:rPr>
        <w:t>(六)、交通条件对造气炉行业选址的影响</w:t>
      </w:r>
      <w:bookmarkEnd w:id="20"/>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便捷交通带来客流量增加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择址于便捷交通的地区对业务的客流量有积极影响。方便的交通条件使得潜在顾客更容易抵达，增加了购物或服务的便利性，从而提高了客流量。这对于零售、餐饮等需要大量顾客流动的造气炉行业尤为重要，有助于扩大业务规模和提高品牌曝光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交通拥堵可能导致客户流失</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反之，如果选址地区存在交通拥堵问题，可能导致客户的流失。长时间的交通拥堵不仅会延长顾客的到达时间,还可能让他们选择放弃前来，对业务产生负面影响。考虑到顾客的出行习惯和不愿意花费过多时间在交通上,选择远离拥堵的地区对于维持良好的客户关系至关重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停车条件影响顾客体验</w:t>
      </w:r>
    </w:p>
    <w:p>
      <w:pPr>
        <w:spacing w:line="480" w:lineRule="auto"/>
        <w:ind w:firstLine="420" w:firstLineChars="0"/>
        <w:rPr>
          <w:rFonts w:ascii="宋体" w:eastAsia="宋体" w:hAnsi="宋体" w:cs="宋体" w:hint="eastAsia"/>
          <w:sz w:val="24"/>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停车条件是影响顾客体验的关键因素之一。一个提供充足、便捷停车位的地方将提高顾客的整体满意度。相反，停车难、停车位不足可能成为顾客流失的原因之一。在选址时，需考虑周边的停车设施，确保顾客能够轻松停车，留下更多的时间用于购物或服务享受。</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交通便利提高员工招聘难度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良好的交通条件有助于提高员工的招聘难度。员工更愿意选择工作地点交通便利的企业，因为这样不仅减轻了通勤负担，还提高了工作的灵活性。相反，如果企业选址在交通不便利的地方，可能会面临员工流失和招聘难度的问题。考虑到员工的需求，选择交通便利的地点可以提高员工的工作满意度和忠诚度。</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在选址决策中，全面考虑以上因素，权衡各种影响，有助于选择更符合企业需求和长远发展的地点。</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1" w:name="_Toc2964"/>
      <w:r>
        <w:rPr>
          <w:rFonts w:ascii="微软雅黑" w:eastAsia="微软雅黑" w:hAnsi="微软雅黑" w:cs="微软雅黑" w:hint="eastAsia"/>
          <w:color w:val="2E54A1" w:themeColor="accent1" w:themeShade="BF"/>
          <w:sz w:val="32"/>
          <w:szCs w:val="32"/>
          <w:lang w:eastAsia="zh-CN"/>
        </w:rPr>
        <w:t>五、可持续发展与绿色经营</w:t>
      </w:r>
      <w:bookmarkEnd w:id="21"/>
    </w:p>
    <w:p>
      <w:pPr>
        <w:pStyle w:val="Heading2"/>
        <w:spacing w:line="480" w:lineRule="auto"/>
        <w:rPr>
          <w:rFonts w:ascii="宋体" w:eastAsia="宋体" w:hAnsi="宋体" w:cs="宋体" w:hint="eastAsia"/>
          <w:bCs w:val="0"/>
          <w:sz w:val="28"/>
          <w:szCs w:val="28"/>
          <w:lang w:eastAsia="zh-CN"/>
        </w:rPr>
      </w:pPr>
      <w:bookmarkStart w:id="22" w:name="_Toc16851"/>
      <w:r>
        <w:rPr>
          <w:rFonts w:ascii="宋体" w:eastAsia="宋体" w:hAnsi="宋体" w:cs="宋体" w:hint="eastAsia"/>
          <w:b/>
          <w:bCs w:val="0"/>
          <w:sz w:val="28"/>
          <w:szCs w:val="28"/>
          <w:lang w:eastAsia="zh-CN"/>
        </w:rPr>
        <w:t>(一)、可持续发展战略与目标</w:t>
      </w:r>
      <w:bookmarkEnd w:id="22"/>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一、可持续发展战略</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可持续发展战略是指社会、经济、环境三者协调、可持续发展的战略。这种战略旨在确保当代人的发展不损害未来世代的发展权利，同时强调对有限资源的合理分配和有效利用，以实现长期的、全面的社会发展。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二、可持续发展战略的核心要素</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1.经济发展：在可持续发展战略中，经济发展不再是以牺牲环境为代价的，而是与环境保护相互促进。这种发展模式强调提高资源利用效率，减少环境污染，实现绿色、低碳的经济发展。</w:t>
      </w:r>
    </w:p>
    <w:p>
      <w:pPr>
        <w:spacing w:line="480" w:lineRule="auto"/>
        <w:ind w:firstLine="420" w:firstLineChars="0"/>
        <w:rPr>
          <w:rFonts w:ascii="宋体" w:eastAsia="宋体" w:hAnsi="宋体" w:cs="宋体" w:hint="eastAsia"/>
          <w:sz w:val="24"/>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2.环境保护：环境保护是可持续发展战略的重要组成部分。这包括采取措施减少环境污染，保护生物多样性，降低温室气体排放，以及提高应对环境变化的能力等。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3.社会进步：可持续发展战略强调社会公平和公正，以及社会福利的普遍提高。这包括提供公平的教育和就业机会，改善医疗卫生条件，以及促进社会和谐稳定等。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三、可持续发展战略的目标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1.实现资源的高效利用：通过提高资源利用效率，减少浪费，实现资源的可持续利用。</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2.保护和恢复生态环境：采取措施保护生态环境，减少污染，恢复已经受损的环境。</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3.促进绿色经济发展：推动绿色经济的发展，鼓励企业采取环保措施，开发生态产品和服务。</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4.提升社会福祉：通过提供公平的教育和就业机会，改善医疗卫生条件，促进社会和谐稳定。</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5.建立合作机制：在国际层面，建立合作机制以应对全球性环境问题；在国内层面，各级政府和企业需要建立合作关系以实现可持续发展目标。</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6.应对气候变化：采取措施应对气候变化，包括减少温室气体排放，提高应对气候变化的能力等。</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7.推动创新和转型：鼓励科技创新和制度创新，推动经济社会的绿色转型。</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8.加强政策引导：通过制定和执行相关政策，引导企业和个人采取有利于可持续发展的行为。</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9.提高公众意识：加强环保宣传教育，提高公众的环保意识和参与度。</w:t>
      </w:r>
      <w:r>
        <w:rPr>
          <w:rFonts w:ascii="宋体" w:eastAsia="宋体" w:hAnsi="宋体" w:cs="宋体" w:hint="eastAsia"/>
          <w:sz w:val="24"/>
        </w:rPr>
        <w:br/>
      </w:r>
      <w:r>
        <w:rPr>
          <w:rFonts w:ascii="宋体" w:eastAsia="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https://d.book118.com/738127111007006026</w:t>
        </w:r>
      </w:hyperlink>
    </w:p>
    <w:p>
      <w:pPr>
        <w:spacing w:line="480" w:lineRule="auto"/>
        <w:ind w:firstLine="420" w:firstLineChars="0"/>
        <w:rPr>
          <w:rFonts w:ascii="宋体" w:eastAsia="宋体" w:hAnsi="宋体" w:cs="宋体" w:hint="eastAsia"/>
          <w:sz w:val="24"/>
        </w:rPr>
      </w:pPr>
    </w:p>
    <w:sectPr>
      <w:headerReference w:type="default" r:id="rId47"/>
      <w:footerReference w:type="default" r:id="rId48"/>
      <w:type w:val="nextPage"/>
      <w:pgSz w:w="11906" w:h="16838"/>
      <w:pgMar w:top="1440" w:right="1800" w:bottom="1440" w:left="1800" w:header="851" w:footer="992" w:gutter="0"/>
      <w:pgNumType w:start="2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775B3"/>
    <w:rsid w:val="02623C3C"/>
    <w:rsid w:val="03734037"/>
    <w:rsid w:val="13614867"/>
    <w:rsid w:val="28420D02"/>
    <w:rsid w:val="3DAC44EE"/>
    <w:rsid w:val="453746B4"/>
    <w:rsid w:val="482775B3"/>
    <w:rsid w:val="49C53810"/>
    <w:rsid w:val="4E155AC7"/>
    <w:rsid w:val="50930768"/>
    <w:rsid w:val="62A91464"/>
    <w:rsid w:val="692E1C42"/>
  </w:rsids>
  <w:docVars>
    <w:docVar w:name="commondata" w:val="eyJoZGlkIjoiYjEzZTI3MzIxYzUxM2E3Y2YyMDVhZDRkMWU5YjEx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autoRedefine/>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autoRedefine/>
    <w:qFormat/>
  </w:style>
  <w:style w:type="paragraph" w:styleId="TOC2">
    <w:name w:val="toc 2"/>
    <w:basedOn w:val="Normal"/>
    <w:next w:val="Normal"/>
    <w:autoRedefine/>
    <w:qFormat/>
    <w:pPr>
      <w:ind w:left="420" w:leftChars="200"/>
    </w:pPr>
  </w:style>
  <w:style w:type="character" w:styleId="PageNumber">
    <w:name w:val="page number"/>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738127111007006026" TargetMode="Externa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theme" Target="theme/theme1.xml" /><Relationship Id="rId5" Type="http://schemas.openxmlformats.org/officeDocument/2006/relationships/footer" Target="footer1.xml" /><Relationship Id="rId50"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小海豹</cp:lastModifiedBy>
  <cp:revision>1</cp:revision>
  <dcterms:created xsi:type="dcterms:W3CDTF">2023-12-10T12:06:00Z</dcterms:created>
  <dcterms:modified xsi:type="dcterms:W3CDTF">2024-01-13T12:19:06Z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1E39AA5D4B7F4B19B7D16FD992F8235D_13</vt:lpwstr>
  </property>
  <property fmtid="{D5CDD505-2E9C-101B-9397-08002B2CF9AE}" pid="3" name="KSOProductBuildVer">
    <vt:lpwstr>2052-12.1.0.16120</vt:lpwstr>
  </property>
</Properties>
</file>