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碳金融项目建设总纲及方案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50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_Toc26507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87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_Toc5087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_Toc2906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_Toc15346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_Toc32709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_Toc9064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_Toc23380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78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_Toc14978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2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_Toc31192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9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_Toc4139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8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_Toc20318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4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_Toc19884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81" w:history="1">
        <w:r>
          <w:rPr>
            <w:rFonts w:ascii="仿宋" w:eastAsia="仿宋" w:hAnsi="仿宋" w:cs="仿宋" w:hint="eastAsia"/>
            <w:lang w:eastAsia="zh-CN"/>
          </w:rPr>
          <w:t>三、资源开发及综合利用分析</w:t>
        </w:r>
        <w:r>
          <w:tab/>
        </w:r>
        <w:r>
          <w:fldChar w:fldCharType="begin"/>
        </w:r>
        <w:r>
          <w:instrText xml:space="preserve"> PAGEREF _Toc6081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7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_Toc16507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8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_Toc28558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7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_Toc27647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1" w:history="1">
        <w:r>
          <w:rPr>
            <w:rFonts w:ascii="仿宋" w:eastAsia="仿宋" w:hAnsi="仿宋" w:cs="仿宋" w:hint="eastAsia"/>
            <w:lang w:eastAsia="zh-CN"/>
          </w:rPr>
          <w:t>四、碳金融项目概论</w:t>
        </w:r>
        <w:r>
          <w:tab/>
        </w:r>
        <w:r>
          <w:fldChar w:fldCharType="begin"/>
        </w:r>
        <w:r>
          <w:instrText xml:space="preserve"> PAGEREF _Toc2401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8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_Toc10758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_Toc2795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76" w:history="1">
        <w:r>
          <w:rPr>
            <w:rFonts w:ascii="仿宋" w:eastAsia="仿宋" w:hAnsi="仿宋" w:cs="仿宋" w:hint="eastAsia"/>
            <w:lang w:eastAsia="zh-CN"/>
          </w:rPr>
          <w:t>五、建设风险评估分析</w:t>
        </w:r>
        <w:r>
          <w:tab/>
        </w:r>
        <w:r>
          <w:fldChar w:fldCharType="begin"/>
        </w:r>
        <w:r>
          <w:instrText xml:space="preserve"> PAGEREF _Toc22576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_Toc14129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_Toc16820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6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_Toc30666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1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_Toc12311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_Toc9521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_Toc8914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_Toc11864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9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_Toc27899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_Toc545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55" w:history="1">
        <w:r>
          <w:rPr>
            <w:rFonts w:ascii="仿宋" w:eastAsia="仿宋" w:hAnsi="仿宋" w:cs="仿宋" w:hint="eastAsia"/>
            <w:lang w:eastAsia="zh-CN"/>
          </w:rPr>
          <w:t>六、财务管理与成本控制</w:t>
        </w:r>
        <w:r>
          <w:tab/>
        </w:r>
        <w:r>
          <w:fldChar w:fldCharType="begin"/>
        </w:r>
        <w:r>
          <w:instrText xml:space="preserve"> PAGEREF _Toc12655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3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_Toc29043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7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_Toc14607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68" w:history="1">
        <w:r>
          <w:rPr>
            <w:rFonts w:ascii="仿宋" w:eastAsia="仿宋" w:hAnsi="仿宋" w:cs="仿宋" w:hint="eastAsia"/>
            <w:lang w:eastAsia="zh-CN"/>
          </w:rPr>
          <w:t>七、资金管理与财务规划</w:t>
        </w:r>
        <w:r>
          <w:tab/>
        </w:r>
        <w:r>
          <w:fldChar w:fldCharType="begin"/>
        </w:r>
        <w:r>
          <w:instrText xml:space="preserve"> PAGEREF _Toc14068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6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_Toc15366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6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_Toc31166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2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_Toc15932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0" w:history="1">
        <w:r>
          <w:rPr>
            <w:rFonts w:ascii="仿宋" w:eastAsia="仿宋" w:hAnsi="仿宋" w:cs="仿宋" w:hint="eastAsia"/>
            <w:lang w:eastAsia="zh-CN"/>
          </w:rPr>
          <w:t>八、土地利用与规划方案</w:t>
        </w:r>
        <w:r>
          <w:tab/>
        </w:r>
        <w:r>
          <w:fldChar w:fldCharType="begin"/>
        </w:r>
        <w:r>
          <w:instrText xml:space="preserve"> PAGEREF _Toc2690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0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_Toc24670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0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_Toc22260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25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_Toc21025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5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_Toc11645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255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_Toc14255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2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_Toc31612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9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_Toc9049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62" w:history="1">
        <w:r>
          <w:rPr>
            <w:rFonts w:ascii="仿宋" w:eastAsia="仿宋" w:hAnsi="仿宋" w:cs="仿宋" w:hint="eastAsia"/>
            <w:lang w:eastAsia="zh-CN"/>
          </w:rPr>
          <w:t>十、项目实施与管理方案</w:t>
        </w:r>
        <w:r>
          <w:tab/>
        </w:r>
        <w:r>
          <w:fldChar w:fldCharType="begin"/>
        </w:r>
        <w:r>
          <w:instrText xml:space="preserve"> PAGEREF _Toc17062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0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_Toc3590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0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_Toc9790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2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_Toc19452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44" w:history="1">
        <w:r>
          <w:rPr>
            <w:rFonts w:ascii="仿宋" w:eastAsia="仿宋" w:hAnsi="仿宋" w:cs="仿宋" w:hint="eastAsia"/>
            <w:lang w:eastAsia="zh-CN"/>
          </w:rPr>
          <w:t>十一、环境保护与绿色发展</w:t>
        </w:r>
        <w:r>
          <w:tab/>
        </w:r>
        <w:r>
          <w:fldChar w:fldCharType="begin"/>
        </w:r>
        <w:r>
          <w:instrText xml:space="preserve"> PAGEREF _Toc14144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4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_Toc10474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2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_Toc7862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08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_Toc28008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6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_Toc24896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4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_Toc30534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57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_Toc14657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9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_Toc3289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8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_Toc5228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7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_Toc18897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_Toc2998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6" w:history="1">
        <w:r>
          <w:rPr>
            <w:rFonts w:ascii="仿宋" w:eastAsia="仿宋" w:hAnsi="仿宋" w:cs="仿宋" w:hint="eastAsia"/>
            <w:lang w:eastAsia="zh-CN"/>
          </w:rPr>
          <w:t>十四、创新驱动与持续发展</w:t>
        </w:r>
        <w:r>
          <w:tab/>
        </w:r>
        <w:r>
          <w:fldChar w:fldCharType="begin"/>
        </w:r>
        <w:r>
          <w:instrText xml:space="preserve"> PAGEREF _Toc3196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3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_Toc12473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7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_Toc8837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94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_Toc31494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1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_Toc19331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7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_Toc24827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0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_Toc3320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_Toc67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73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_Toc19273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7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_Toc7027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3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_Toc30583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11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_Toc7511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2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_Toc24482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0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_Toc6130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1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_Toc24731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50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087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06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碳金融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碳金融项目将进行详细的生态影响评估，确保不会对当地的动植物种群和自然栖息地造成负面影响。如果项目地点附近有重要的生物栖息地或生态敏感区，项目将重新考虑建设地点或采取相应的保护措施。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碳金融项目将积极采用可持续材料，如再生塑料和生物降解材料，以减少对环境的影响。项目还将推行废物减量和回收计划，例如通过再利用工业废料或建立回收系统。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碳金融项目还将参与当地的环保活动和计划，如资助当地的环境保护项目或与社区合作进行环保宣传活动。通过这些活动，项目不仅能够提高自身的环境表现，还能在当地社区中树立积极的环保形象。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346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碳金融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碳金融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碳金融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2709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碳金融项目将采用绿色屋顶和生态墙等环境友好型建筑设计，这些设计不仅有助于改善空气质量，还能为城市野生动植物提供栖息地。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碳金融项目将建立高效的废水处理系统，确保所有工业废水在排放前都经过适当处理，达到或超过环保标准。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碳金融项目将致力于使用清洁能源，如太阳能和风能，减少对化石燃料的依赖。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碳金融项目将举办环保教育研讨会，向员工和当地社区普及环保知识，提升对环境保护重要性的认识。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064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在碳金融项目启动前，将进行一系列深入的地质调查，包括钻探和土壤取样，以深入了解项目区域的地层结构和土壤组成。特别是对于土壤的承载能力和地下水位的深度进行详细评估。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碳金融项目将通过地下水位监测系统定期检测水位变化，以预测和预防由高地下水位可能引起的地基问题。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碳金融项目将进行详尽的水文和地形分析，以识别可能的洪水和泥石流风险区。基于这些分析，项目将设计防洪设施，如提高地基、构建防洪墙和排水沟。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碳金融项目还将考虑建设排水系统，以减少地表水对土壤稳定性的影响。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完成初始的地质风险评估后，碳金融项目将安装长期地质监测设备，如倾斜仪、裂缝计和地下水位计，以持续监测地质条件的变化。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3380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碳金融项目将通过这些措施来适应和尊重特殊环境条件，确保项目的可持续发展，同时减少对环境的负面影响。这不仅有助于保护自然和文化遗产，还能提升项目在社会责任方面的表现和形象。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4978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1192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直接收益：假设碳金融项目的产品或服务年销售收入为XX万元。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净现值（NPV）是评估项目总收益与总成本现值的差额。假设项目预计持续XX年，每年的净收益为（年直接收益 年运营成本），折现率假定为XX%，则NPV计算为：NPV = ∑ [（年净收益） / （1 + 折现率）^年份] 初始投资成本。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内部收益率（IRR）是使得NPV为零的折现率，这是项目盈利能力的一个重要指标。通过财务软件或手工计算可得出IRR值。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https://d.book118.com/738130027030006040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碳金融项目建设总纲及方案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碳金融项目建设总纲及方案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碳金融项目建设总纲及方案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碳金融项目建设总纲及方案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碳金融项目建设总纲及方案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碳金融项目建设总纲及方案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碳金融项目建设总纲及方案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碳金融项目建设总纲及方案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碳金融项目建设总纲及方案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碳金融项目建设总纲及方案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碳金融项目建设总纲及方案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碳金融项目建设总纲及方案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2A3AD3"/>
    <w:rsid w:val="7B2A3AD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3813002703000604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2024-02-13T23:19:00Z</dcterms:created>
  <dcterms:modified xsi:type="dcterms:W3CDTF">2024-02-13T23:19:30Z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E979258DCBAE4614A9B1FFF29A563F63_11</vt:lpwstr>
  </property>
  <property fmtid="{D5CDD505-2E9C-101B-9397-08002B2CF9AE}" pid="3" name="KSOProductBuildVer">
    <vt:lpwstr>2052-12.1.0.16250</vt:lpwstr>
  </property>
</Properties>
</file>