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20" w:lineRule="auto"/>
        <w:ind w:left="109"/>
        <w:rPr>
          <w:rFonts w:ascii="SimSun" w:eastAsia="SimSun" w:hAnsi="SimSun" w:cs="SimSun"/>
          <w:sz w:val="19"/>
          <w:szCs w:val="19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800082</wp:posOffset>
            </wp:positionH>
            <wp:positionV relativeFrom="page">
              <wp:posOffset>2482880</wp:posOffset>
            </wp:positionV>
            <wp:extent cx="5664201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692175</wp:posOffset>
            </wp:positionH>
            <wp:positionV relativeFrom="page">
              <wp:posOffset>8566140</wp:posOffset>
            </wp:positionV>
            <wp:extent cx="566420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4"/>
          <w:sz w:val="19"/>
          <w:szCs w:val="19"/>
        </w:rPr>
        <w:t>ICS</w:t>
      </w:r>
      <w:r>
        <w:rPr>
          <w:rFonts w:ascii="SimSun" w:eastAsia="SimSun" w:hAnsi="SimSun" w:cs="SimSun"/>
          <w:spacing w:val="56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4"/>
          <w:sz w:val="19"/>
          <w:szCs w:val="19"/>
        </w:rPr>
        <w:t>31.080</w:t>
      </w:r>
    </w:p>
    <w:p>
      <w:pPr>
        <w:spacing w:line="224" w:lineRule="auto"/>
        <w:ind w:left="109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2"/>
          <w:sz w:val="19"/>
          <w:szCs w:val="19"/>
        </w:rPr>
        <w:t>L</w:t>
      </w:r>
      <w:r>
        <w:rPr>
          <w:rFonts w:ascii="SimSun" w:eastAsia="SimSun" w:hAnsi="SimSun" w:cs="SimSun"/>
          <w:spacing w:val="47"/>
          <w:w w:val="101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2"/>
          <w:sz w:val="19"/>
          <w:szCs w:val="19"/>
        </w:rPr>
        <w:t>40/49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2" w:line="1140" w:lineRule="exact"/>
      </w:pPr>
      <w:r>
        <w:rPr>
          <w:position w:val="-22"/>
        </w:rPr>
        <w:drawing>
          <wp:inline distT="0" distB="0" distL="0" distR="0">
            <wp:extent cx="673132" cy="72383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32" cy="7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288" w:line="197" w:lineRule="auto"/>
        <w:rPr>
          <w:sz w:val="42"/>
          <w:szCs w:val="42"/>
        </w:rPr>
      </w:pPr>
      <w:r>
        <w:rPr>
          <w:b/>
          <w:bCs/>
          <w:spacing w:val="-4"/>
          <w:sz w:val="42"/>
          <w:szCs w:val="42"/>
        </w:rPr>
        <w:t>CASA</w:t>
      </w:r>
    </w:p>
    <w:p>
      <w:pPr>
        <w:spacing w:line="265" w:lineRule="auto"/>
        <w:ind w:right="151" w:firstLine="1"/>
        <w:jc w:val="both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SimHei" w:eastAsia="SimHei" w:hAnsi="SimHei" w:cs="SimHei"/>
          <w:b/>
          <w:bCs/>
          <w:spacing w:val="21"/>
          <w:sz w:val="10"/>
          <w:szCs w:val="10"/>
        </w:rPr>
        <w:t>第三代半导体产业技术创新战璃联图</w:t>
      </w:r>
      <w:r>
        <w:rPr>
          <w:rFonts w:ascii="SimHei" w:eastAsia="SimHei" w:hAnsi="SimHei" w:cs="SimHei"/>
          <w:spacing w:val="12"/>
          <w:w w:val="10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Chins    advanced</w:t>
      </w:r>
      <w:r>
        <w:rPr>
          <w:rFonts w:ascii="Times New Roman" w:eastAsia="Times New Roman" w:hAnsi="Times New Roman" w:cs="Times New Roman"/>
          <w:b/>
          <w:bCs/>
          <w:spacing w:val="3"/>
          <w:sz w:val="10"/>
          <w:szCs w:val="10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semiconductor</w:t>
      </w:r>
      <w:r>
        <w:rPr>
          <w:rFonts w:ascii="Times New Roman" w:eastAsia="Times New Roman" w:hAnsi="Times New Roman" w:cs="Times New Roman"/>
          <w:b/>
          <w:bCs/>
          <w:spacing w:val="2"/>
          <w:sz w:val="10"/>
          <w:szCs w:val="10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10"/>
          <w:szCs w:val="10"/>
        </w:rPr>
        <w:t>dustry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10"/>
          <w:szCs w:val="10"/>
        </w:rPr>
        <w:t>innovation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10"/>
          <w:szCs w:val="10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"/>
          <w:sz w:val="10"/>
          <w:szCs w:val="10"/>
        </w:rPr>
        <w:t>alliance</w:t>
      </w:r>
    </w:p>
    <w:p>
      <w:pPr>
        <w:spacing w:line="265" w:lineRule="auto"/>
        <w:rPr>
          <w:rFonts w:ascii="Times New Roman" w:eastAsia="Times New Roman" w:hAnsi="Times New Roman" w:cs="Times New Roman"/>
          <w:sz w:val="10"/>
          <w:szCs w:val="10"/>
        </w:rPr>
        <w:sectPr>
          <w:pgSz w:w="11900" w:h="16840"/>
          <w:pgMar w:top="596" w:right="1720" w:bottom="0" w:left="1090" w:header="0" w:footer="0" w:gutter="0"/>
          <w:cols w:num="3" w:space="708" w:equalWidth="0">
            <w:col w:w="5740" w:space="100"/>
            <w:col w:w="1061" w:space="69"/>
            <w:col w:w="2120" w:space="0"/>
          </w:cols>
        </w:sectPr>
      </w:pPr>
    </w:p>
    <w:p>
      <w:pPr>
        <w:pStyle w:val="BodyText"/>
        <w:spacing w:line="422" w:lineRule="auto"/>
      </w:pPr>
    </w:p>
    <w:p>
      <w:pPr>
        <w:spacing w:before="136" w:line="224" w:lineRule="auto"/>
        <w:ind w:left="280"/>
        <w:outlineLvl w:val="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3"/>
          <w:sz w:val="42"/>
          <w:szCs w:val="42"/>
        </w:rPr>
        <w:t>团</w:t>
      </w:r>
      <w:r>
        <w:rPr>
          <w:rFonts w:ascii="SimSun" w:eastAsia="SimSun" w:hAnsi="SimSun" w:cs="SimSun"/>
          <w:sz w:val="42"/>
          <w:szCs w:val="42"/>
        </w:rPr>
        <w:t xml:space="preserve">           </w:t>
      </w:r>
      <w:r>
        <w:rPr>
          <w:rFonts w:ascii="SimSun" w:eastAsia="SimSun" w:hAnsi="SimSun" w:cs="SimSun"/>
          <w:spacing w:val="-23"/>
          <w:sz w:val="42"/>
          <w:szCs w:val="42"/>
        </w:rPr>
        <w:t>体</w:t>
      </w:r>
      <w:r>
        <w:rPr>
          <w:rFonts w:ascii="SimSun" w:eastAsia="SimSun" w:hAnsi="SimSun" w:cs="SimSun"/>
          <w:spacing w:val="21"/>
          <w:sz w:val="42"/>
          <w:szCs w:val="42"/>
        </w:rPr>
        <w:t xml:space="preserve">          </w:t>
      </w:r>
      <w:r>
        <w:rPr>
          <w:rFonts w:ascii="SimSun" w:eastAsia="SimSun" w:hAnsi="SimSun" w:cs="SimSun"/>
          <w:spacing w:val="-23"/>
          <w:sz w:val="42"/>
          <w:szCs w:val="42"/>
        </w:rPr>
        <w:t>标</w:t>
      </w:r>
      <w:r>
        <w:rPr>
          <w:rFonts w:ascii="SimSun" w:eastAsia="SimSun" w:hAnsi="SimSun" w:cs="SimSun"/>
          <w:spacing w:val="3"/>
          <w:sz w:val="42"/>
          <w:szCs w:val="42"/>
        </w:rPr>
        <w:t xml:space="preserve">           </w:t>
      </w:r>
      <w:r>
        <w:rPr>
          <w:rFonts w:ascii="SimSun" w:eastAsia="SimSun" w:hAnsi="SimSun" w:cs="SimSun"/>
          <w:spacing w:val="-23"/>
          <w:sz w:val="42"/>
          <w:szCs w:val="42"/>
        </w:rPr>
        <w:t>准</w:t>
      </w:r>
    </w:p>
    <w:p>
      <w:pPr>
        <w:pStyle w:val="BodyText"/>
        <w:spacing w:line="358" w:lineRule="auto"/>
      </w:pPr>
    </w:p>
    <w:p>
      <w:pPr>
        <w:spacing w:before="62" w:line="224" w:lineRule="auto"/>
        <w:ind w:left="6609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1"/>
          <w:sz w:val="19"/>
          <w:szCs w:val="19"/>
        </w:rPr>
        <w:t>T/CASAS</w:t>
      </w:r>
      <w:r>
        <w:rPr>
          <w:rFonts w:ascii="SimSun" w:eastAsia="SimSun" w:hAnsi="SimSun" w:cs="SimSun"/>
          <w:spacing w:val="14"/>
          <w:sz w:val="19"/>
          <w:szCs w:val="19"/>
        </w:rPr>
        <w:t xml:space="preserve">      </w:t>
      </w:r>
      <w:r>
        <w:rPr>
          <w:rFonts w:ascii="SimSun" w:eastAsia="SimSun" w:hAnsi="SimSun" w:cs="SimSun"/>
          <w:spacing w:val="-1"/>
          <w:sz w:val="19"/>
          <w:szCs w:val="19"/>
        </w:rPr>
        <w:t>005—2022</w:t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136" w:line="630" w:lineRule="exact"/>
        <w:ind w:left="42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9"/>
          <w:position w:val="14"/>
          <w:sz w:val="42"/>
          <w:szCs w:val="42"/>
        </w:rPr>
        <w:t>用于硬开关电路的氮化镓高电子迁移率晶体</w:t>
      </w:r>
    </w:p>
    <w:p>
      <w:pPr>
        <w:spacing w:before="1" w:line="220" w:lineRule="auto"/>
        <w:ind w:left="219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6"/>
          <w:sz w:val="42"/>
          <w:szCs w:val="42"/>
        </w:rPr>
        <w:t>管动态导通电阻测试方法</w:t>
      </w:r>
    </w:p>
    <w:p>
      <w:pPr>
        <w:pStyle w:val="BodyText"/>
        <w:spacing w:line="343" w:lineRule="auto"/>
      </w:pPr>
    </w:p>
    <w:p>
      <w:pPr>
        <w:pStyle w:val="BodyText"/>
        <w:spacing w:before="69" w:line="508" w:lineRule="exact"/>
        <w:ind w:left="519"/>
        <w:rPr>
          <w:sz w:val="24"/>
          <w:szCs w:val="24"/>
        </w:rPr>
      </w:pPr>
      <w:r>
        <w:rPr>
          <w:spacing w:val="-1"/>
          <w:position w:val="18"/>
          <w:sz w:val="24"/>
          <w:szCs w:val="24"/>
        </w:rPr>
        <w:t>Dynamic</w:t>
      </w:r>
      <w:r>
        <w:rPr>
          <w:spacing w:val="19"/>
          <w:position w:val="18"/>
          <w:sz w:val="24"/>
          <w:szCs w:val="24"/>
        </w:rPr>
        <w:t xml:space="preserve">   </w:t>
      </w:r>
      <w:r>
        <w:rPr>
          <w:spacing w:val="-1"/>
          <w:position w:val="18"/>
          <w:sz w:val="24"/>
          <w:szCs w:val="24"/>
        </w:rPr>
        <w:t>on-resistance</w:t>
      </w:r>
      <w:r>
        <w:rPr>
          <w:spacing w:val="16"/>
          <w:position w:val="18"/>
          <w:sz w:val="24"/>
          <w:szCs w:val="24"/>
        </w:rPr>
        <w:t xml:space="preserve">   </w:t>
      </w:r>
      <w:r>
        <w:rPr>
          <w:spacing w:val="-1"/>
          <w:position w:val="18"/>
          <w:sz w:val="24"/>
          <w:szCs w:val="24"/>
        </w:rPr>
        <w:t>test</w:t>
      </w:r>
      <w:r>
        <w:rPr>
          <w:spacing w:val="21"/>
          <w:position w:val="18"/>
          <w:sz w:val="24"/>
          <w:szCs w:val="24"/>
        </w:rPr>
        <w:t xml:space="preserve">   </w:t>
      </w:r>
      <w:r>
        <w:rPr>
          <w:spacing w:val="-1"/>
          <w:position w:val="18"/>
          <w:sz w:val="24"/>
          <w:szCs w:val="24"/>
        </w:rPr>
        <w:t>method   for    GaNhigh    electron    mobility</w:t>
      </w:r>
    </w:p>
    <w:p>
      <w:pPr>
        <w:pStyle w:val="BodyText"/>
        <w:spacing w:line="395" w:lineRule="exact"/>
        <w:ind w:left="1819"/>
        <w:rPr>
          <w:sz w:val="29"/>
          <w:szCs w:val="29"/>
        </w:rPr>
      </w:pPr>
      <w:r>
        <w:rPr>
          <w:position w:val="4"/>
          <w:sz w:val="29"/>
          <w:szCs w:val="29"/>
        </w:rPr>
        <w:t>transistor(HEMT)in  hard-switching  circuits</w:t>
      </w:r>
    </w:p>
    <w:p>
      <w:pPr>
        <w:pStyle w:val="BodyText"/>
        <w:spacing w:line="336" w:lineRule="auto"/>
      </w:pPr>
    </w:p>
    <w:p>
      <w:pPr>
        <w:pStyle w:val="BodyText"/>
        <w:spacing w:line="336" w:lineRule="auto"/>
      </w:pPr>
    </w:p>
    <w:p>
      <w:pPr>
        <w:spacing w:before="79" w:line="222" w:lineRule="auto"/>
        <w:ind w:left="3850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spacing w:val="-11"/>
          <w:sz w:val="24"/>
          <w:szCs w:val="24"/>
        </w:rPr>
        <w:t>版本：</w:t>
      </w:r>
      <w:r>
        <w:rPr>
          <w:rFonts w:ascii="SimHei" w:eastAsia="SimHei" w:hAnsi="SimHei" w:cs="SimHei"/>
          <w:spacing w:val="-24"/>
          <w:sz w:val="24"/>
          <w:szCs w:val="24"/>
        </w:rPr>
        <w:t xml:space="preserve"> </w:t>
      </w:r>
      <w:r>
        <w:rPr>
          <w:rFonts w:ascii="SimHei" w:eastAsia="SimHei" w:hAnsi="SimHei" w:cs="SimHei"/>
          <w:spacing w:val="-11"/>
          <w:sz w:val="24"/>
          <w:szCs w:val="24"/>
        </w:rPr>
        <w:t>V01.00</w:t>
      </w: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0"/>
        <w:sectPr>
          <w:type w:val="continuous"/>
          <w:pgSz w:w="11900" w:h="16840"/>
          <w:pgMar w:top="596" w:right="1720" w:bottom="0" w:left="1090" w:header="0" w:footer="0" w:gutter="0"/>
          <w:pgNumType w:start="2"/>
          <w:cols w:num="1" w:space="708" w:equalWidth="0">
            <w:col w:w="9090" w:space="0"/>
          </w:cols>
        </w:sectPr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p>
      <w:pPr>
        <w:sectPr>
          <w:type w:val="nextPage"/>
          <w:pgSz w:w="11900" w:h="16840"/>
          <w:pgMar w:top="596" w:right="1720" w:bottom="0" w:left="1090" w:header="0" w:footer="0" w:gutter="0"/>
          <w:pgNumType w:start="3"/>
          <w:cols w:num="1" w:space="708" w:equalWidth="0">
            <w:col w:w="9090" w:space="0"/>
          </w:cols>
          <w:titlePg w:val="0"/>
        </w:sectPr>
      </w:pPr>
    </w:p>
    <w:p>
      <w:pPr>
        <w:spacing w:before="52" w:line="187" w:lineRule="auto"/>
        <w:ind w:left="10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spacing w:val="14"/>
          <w:sz w:val="24"/>
          <w:szCs w:val="24"/>
        </w:rPr>
        <w:t>2022-09-16发布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8" w:line="189" w:lineRule="auto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12"/>
          <w:sz w:val="24"/>
          <w:szCs w:val="24"/>
        </w:rPr>
        <w:t>2022-09-16实施</w:t>
      </w:r>
    </w:p>
    <w:p>
      <w:pPr>
        <w:spacing w:line="189" w:lineRule="auto"/>
        <w:rPr>
          <w:rFonts w:ascii="SimHei" w:eastAsia="SimHei" w:hAnsi="SimHei" w:cs="SimHei"/>
          <w:sz w:val="24"/>
          <w:szCs w:val="24"/>
        </w:rPr>
        <w:sectPr>
          <w:type w:val="continuous"/>
          <w:pgSz w:w="11900" w:h="16840"/>
          <w:pgMar w:top="596" w:right="1720" w:bottom="0" w:left="1090" w:header="0" w:footer="0" w:gutter="0"/>
          <w:pgNumType w:start="4"/>
          <w:cols w:num="2" w:space="708" w:equalWidth="0">
            <w:col w:w="6764" w:space="100"/>
            <w:col w:w="2227" w:space="0"/>
          </w:cols>
        </w:sectPr>
      </w:pPr>
    </w:p>
    <w:p>
      <w:pPr>
        <w:pStyle w:val="BodyText"/>
        <w:spacing w:line="263" w:lineRule="auto"/>
      </w:pPr>
    </w:p>
    <w:p>
      <w:pPr>
        <w:spacing w:before="79" w:line="187" w:lineRule="auto"/>
        <w:ind w:left="1663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41"/>
          <w:sz w:val="24"/>
          <w:szCs w:val="24"/>
        </w:rPr>
        <w:t>第三代半导体产业技术创新战略联盟</w:t>
      </w:r>
      <w:r>
        <w:rPr>
          <w:rFonts w:ascii="SimHei" w:eastAsia="SimHei" w:hAnsi="SimHei" w:cs="SimHei"/>
          <w:spacing w:val="67"/>
          <w:sz w:val="24"/>
          <w:szCs w:val="24"/>
        </w:rPr>
        <w:t xml:space="preserve">  </w:t>
      </w:r>
      <w:r>
        <w:rPr>
          <w:rFonts w:ascii="SimHei" w:eastAsia="SimHei" w:hAnsi="SimHei" w:cs="SimHei"/>
          <w:b/>
          <w:bCs/>
          <w:spacing w:val="41"/>
          <w:sz w:val="24"/>
          <w:szCs w:val="24"/>
        </w:rPr>
        <w:t>发</w:t>
      </w:r>
      <w:r>
        <w:rPr>
          <w:rFonts w:ascii="SimHei" w:eastAsia="SimHei" w:hAnsi="SimHei" w:cs="SimHei"/>
          <w:spacing w:val="-14"/>
          <w:sz w:val="24"/>
          <w:szCs w:val="24"/>
        </w:rPr>
        <w:t xml:space="preserve"> </w:t>
      </w:r>
      <w:r>
        <w:rPr>
          <w:rFonts w:ascii="SimHei" w:eastAsia="SimHei" w:hAnsi="SimHei" w:cs="SimHei"/>
          <w:b/>
          <w:bCs/>
          <w:spacing w:val="41"/>
          <w:sz w:val="24"/>
          <w:szCs w:val="24"/>
        </w:rPr>
        <w:t>布</w:t>
      </w:r>
    </w:p>
    <w:p>
      <w:pPr>
        <w:spacing w:line="187" w:lineRule="auto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sz w:val="24"/>
          <w:szCs w:val="24"/>
        </w:rPr>
        <w:br/>
      </w:r>
      <w:r>
        <w:rPr>
          <w:rFonts w:ascii="SimHei" w:eastAsia="SimHei" w:hAnsi="SimHei" w:cs="SimHei"/>
          <w:sz w:val="24"/>
          <w:szCs w:val="2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https://d.book118.com/738131076041006047</w:t>
        </w:r>
      </w:hyperlink>
    </w:p>
    <w:p>
      <w:pPr>
        <w:spacing w:line="187" w:lineRule="auto"/>
        <w:rPr>
          <w:rFonts w:ascii="SimHei" w:eastAsia="SimHei" w:hAnsi="SimHei" w:cs="SimHei"/>
          <w:sz w:val="24"/>
          <w:szCs w:val="24"/>
        </w:rPr>
      </w:pPr>
    </w:p>
    <w:sectPr>
      <w:type w:val="continuous"/>
      <w:pgSz w:w="11900" w:h="16840"/>
      <w:pgMar w:top="596" w:right="1720" w:bottom="0" w:left="1090" w:header="0" w:footer="0" w:gutter="0"/>
      <w:pgNumType w:start="5"/>
      <w:cols w:num="1" w:space="708" w:equalWidth="0">
        <w:col w:w="909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https://d.book118.com/738131076041006047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2024-03-16T11:46:03Z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2024-03-16T11:46:04Z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65f515f8ec2aea001fecfcafwl</vt:lpwstr>
  </property>
</Properties>
</file>