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河南淮阳县物理八年级下册期末考试专题测评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6"/>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7"/>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8"/>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9"/>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10"/>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1"/>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2"/>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3"/>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14"/>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15"/>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6"/>
                    <a:stretch>
                      <a:fillRect/>
                    </a:stretch>
                  </pic:blipFill>
                  <pic:spPr>
                    <a:xfrm>
                      <a:off x="0" y="0"/>
                      <a:ext cx="1083733" cy="812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把体积为500cm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，重为4N的小球A放入盛水的容器中，小球A静止时水的深度为40cm．求: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1083310"/>
            <wp:effectExtent l="0" t="0" r="2540" b="254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7"/>
                    <a:stretch>
                      <a:fillRect/>
                    </a:stretch>
                  </pic:blipFill>
                  <pic:spPr>
                    <a:xfrm>
                      <a:off x="0" y="0"/>
                      <a:ext cx="931333" cy="1083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（1）容器底受到的水的压强是多大？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（2）小球A受到的浮力是多大？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（3）若取出小球A，把另一个体积为600cm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重为4.8N的木球B，用细线系与容器底部，如图所示，则细线受到的拉力F是多大？（水的密度为1.0×10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如图所示，实心柱体甲、乙放在水平地面上。甲的质量为2千克，密度为2×10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xmlns:r="http://schemas.openxmlformats.org/officeDocument/2006/relationships" r:embed="rId18"/>
                    <a:stretch>
                      <a:fillRect/>
                    </a:stretch>
                  </pic:blipFill>
                  <pic:spPr>
                    <a:xfrm>
                      <a:off x="0" y="0"/>
                      <a:ext cx="1473200"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（1）求甲的体积V</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（2）若甲高0.1米，求地面受到甲的压强p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（3）若柱体甲、乙的底面积S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＝2：1．现沿竖直方向将乙切去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31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体积，并将切去部分叠放到甲上面，求甲对地面的压强增加量△p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与乙剩余部分对地面压强p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的比值。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一辆5G无人配送车，质量为400kg，轮胎与路面的总接触面积为0.025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，在水平路面上匀速行驶时受到的阻力是车重的0.05倍。如图是配送车某次运动的路程与时间图象。求：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53310" cy="1879600"/>
            <wp:effectExtent l="0" t="0" r="8890" b="6350"/>
            <wp:docPr id="21" name="图片 2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35"/>
                    <pic:cNvPicPr>
                      <a:picLocks noChangeAspect="1"/>
                    </pic:cNvPicPr>
                  </pic:nvPicPr>
                  <pic:blipFill>
                    <a:blip xmlns:r="http://schemas.openxmlformats.org/officeDocument/2006/relationships" r:embed="rId21"/>
                    <a:stretch>
                      <a:fillRect/>
                    </a:stretch>
                  </pic:blipFill>
                  <pic:spPr>
                    <a:xfrm>
                      <a:off x="0" y="0"/>
                      <a:ext cx="2353733" cy="1879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（1）10 min内配送车的平均速度；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（2）配送车匀速行驶时的牵引力；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（3）配送车对水平地面的压强。</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86910" cy="1794510"/>
            <wp:effectExtent l="0" t="0" r="8890" b="15240"/>
            <wp:docPr id="36" name="图片 36"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100026"/>
                    <pic:cNvPicPr>
                      <a:picLocks noChangeAspect="1"/>
                    </pic:cNvPicPr>
                  </pic:nvPicPr>
                  <pic:blipFill>
                    <a:blip xmlns:r="http://schemas.openxmlformats.org/officeDocument/2006/relationships" r:embed="rId22"/>
                    <a:stretch>
                      <a:fillRect/>
                    </a:stretch>
                  </pic:blipFill>
                  <pic:spPr>
                    <a:xfrm>
                      <a:off x="0" y="0"/>
                      <a:ext cx="4487333" cy="179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（1）为方便测量力臂，实验前应先调节杠杆两端的平衡螺母，使之在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（2）如图-1，此时杠杆处于平衡状态，如果在杠杆两端各挂一个相同的钩码，杠杆将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（选填“保持平衡”“顺时针转动”或“逆时针转动”）；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（3）如图-2是一个加宽的杠杆装置，此时杠杆处于平衡状态。若只将左侧的钩码改挂到A点正上方的B点，力臂是线段</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（选填“OA”“OB”或“AB”），此时杠杆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（选填“仍能”或“不能”）保持平衡。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在做“探究凸透镜成像规律”的实验中：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84855" cy="829310"/>
            <wp:effectExtent l="0" t="0" r="10795" b="8890"/>
            <wp:docPr id="11" name="图片 11"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片_x0020_100017"/>
                    <pic:cNvPicPr>
                      <a:picLocks noChangeAspect="1"/>
                    </pic:cNvPicPr>
                  </pic:nvPicPr>
                  <pic:blipFill>
                    <a:blip xmlns:r="http://schemas.openxmlformats.org/officeDocument/2006/relationships" r:embed="rId23"/>
                    <a:stretch>
                      <a:fillRect/>
                    </a:stretch>
                  </pic:blipFill>
                  <pic:spPr>
                    <a:xfrm>
                      <a:off x="0" y="0"/>
                      <a:ext cx="3285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（1）一束平行光通过凸透镜后在光屏上得到一个最小最亮的光点，如图甲所示，则凸透镜的焦距为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（2）如图乙，若此时光屏上恰好有一个清晰的像，则这个像是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（选填“放大”“缩小”）的实像；如图乙，若保持蜡烛和光屏的位置不变，将凸透镜移到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cm刻度线处，光屏上会再次呈现清晰的像。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（3）某小组发现保持烛焰和凸透镜的位置不变时，无论怎样移动光屏，都不能在光屏上看到烛焰的像，其原因可能是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（4）若在蜡烛和凸透镜之间合适的位置放一个凹透镜，为了使光屏王重新呈现清晰的像，光屏应向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（选填“左”或“右”）移动；若不移动光屏，并保持透镜的位置不变，玲玲更换另一个凸透镜，光屏上也得到了清晰的像，那么此凸透镜的焦距应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（选填“大于”或“小于”）10cm。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【解答】C．拉力所做的功为W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=Fs=120N×3m=360J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B．拉力的功率为   </w:t>
      </w:r>
      <w:r>
        <w:rPr>
          <w:rFonts w:ascii="宋体" w:eastAsia="宋体" w:hAnsi="宋体" w:cs="宋体" w:hint="eastAsia"/>
          <w:color w:val="000000" w:themeColor="text1"/>
          <w:sz w:val="22"/>
          <w14:textFill>
            <w14:solidFill>
              <w14:schemeClr w14:val="tx1"/>
            </w14:solidFill>
          </w14:textFill>
        </w:rPr>
        <w:object>
          <v:shape id="_x0000_i1026" type="#_x0000_t75" style="width:115pt;height:32pt" o:ole="" coordsize="21600,21600" o:preferrelative="t" filled="f" stroked="f">
            <v:stroke joinstyle="miter"/>
            <v:imagedata r:id="rId24" o:title=""/>
            <o:lock v:ext="edit" aspectratio="f"/>
            <w10:anchorlock/>
          </v:shape>
          <o:OLEObject Type="Embed" ProgID="Equation.DSMT4" ShapeID="_x0000_i1026" DrawAspect="Content" ObjectID="_1468075726"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A．拉力做的有用功为W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=Gh=400N×0.5m=200J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克服斜面摩擦力所做的额外功为W</w:t>
      </w:r>
      <w:r>
        <w:rPr>
          <w:rFonts w:ascii="宋体" w:eastAsia="宋体" w:hAnsi="宋体" w:cs="宋体" w:hint="eastAsia"/>
          <w:color w:val="000000" w:themeColor="text1"/>
          <w:sz w:val="22"/>
          <w:vertAlign w:val="subscript"/>
          <w14:textFill>
            <w14:solidFill>
              <w14:schemeClr w14:val="tx1"/>
            </w14:solidFill>
          </w14:textFill>
        </w:rPr>
        <w:t>额外</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有用</w:t>
      </w:r>
      <w:r>
        <w:rPr>
          <w:rFonts w:ascii="宋体" w:eastAsia="宋体" w:hAnsi="宋体" w:cs="宋体" w:hint="eastAsia"/>
          <w:color w:val="000000" w:themeColor="text1"/>
          <w:sz w:val="22"/>
          <w14:textFill>
            <w14:solidFill>
              <w14:schemeClr w14:val="tx1"/>
            </w14:solidFill>
          </w14:textFill>
        </w:rPr>
        <w:t>=360J-200J=160J</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D．斜面的机械效率为   </w:t>
      </w:r>
      <w:r>
        <w:rPr>
          <w:rFonts w:ascii="宋体" w:eastAsia="宋体" w:hAnsi="宋体" w:cs="宋体" w:hint="eastAsia"/>
          <w:color w:val="000000" w:themeColor="text1"/>
          <w:sz w:val="22"/>
          <w14:textFill>
            <w14:solidFill>
              <w14:schemeClr w14:val="tx1"/>
            </w14:solidFill>
          </w14:textFill>
        </w:rPr>
        <w:object>
          <v:shape id="_x0000_i1027" type="#_x0000_t75" style="width:199pt;height:36pt" o:ole="" coordsize="21600,21600" o:preferrelative="t" filled="f" stroked="f">
            <v:stroke joinstyle="miter"/>
            <v:imagedata r:id="rId26" o:title=""/>
            <o:lock v:ext="edit" aspectratio="f"/>
            <w10:anchorlock/>
          </v:shape>
          <o:OLEObject Type="Embed" ProgID="Equation.DSMT4" ShapeID="_x0000_i1027" DrawAspect="Content" ObjectID="_1468075727" r:id="rId2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【分析】根据拉力和距离的乘积，计算做功多少；利用物体的重力和高度的乘积，计算有用功；有用功和总功的比值， 计算机械效率；利用总功和有用功的差，计算额外功。</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【解答】当物体以0.5m/s的速度匀速直线上升时，受到钢丝绳对物体的拉力和重力是一对平衡力，即F=G=2×10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【分析】匀速直线运动的物体受到平衡力的作用，二力平衡时，力的大小相等。</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https://d.book118.com/745203142314011101</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0555E0"/>
    <w:rsid w:val="4F0555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wmf" /><Relationship Id="rId25" Type="http://schemas.openxmlformats.org/officeDocument/2006/relationships/oleObject" Target="embeddings/oleObject2.bin" /><Relationship Id="rId26" Type="http://schemas.openxmlformats.org/officeDocument/2006/relationships/image" Target="media/image21.wmf" /><Relationship Id="rId27" Type="http://schemas.openxmlformats.org/officeDocument/2006/relationships/oleObject" Target="embeddings/oleObject3.bin" /><Relationship Id="rId28" Type="http://schemas.openxmlformats.org/officeDocument/2006/relationships/hyperlink" Target="https://d.book118.com/745203142314011101" TargetMode="Externa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2023-11-16T08:16:11Z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2ABC3794475642C796649F002CC6A892_11</vt:lpwstr>
  </property>
  <property fmtid="{D5CDD505-2E9C-101B-9397-08002B2CF9AE}" pid="3" name="KSOProductBuildVer">
    <vt:lpwstr>2052-11.1.0.14309</vt:lpwstr>
  </property>
</Properties>
</file>