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生物生化药品行业相关公司筹备报告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一、生物生化药品筹建公司基本信息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(一)、生物生化药品项目选址原则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(五)、生物生化药品项目选址综合评价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_Toc5099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七、生物生化药品项目经济效益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(三)、生物生化药品项目盈利能力分析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_Toc25879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(一)、生物生化药品项目进度安排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(二)、生物生化药品项目实施保障措施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(五)、生物生化药品项目总投资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(一)、生物生化药品项目背景分析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(二)、生物生化药品项目建设必要性分析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_Toc17777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_Toc27023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_Toc18577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(二)、合作生物生化药品项目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77"/>
      <w:r>
        <w:rPr>
          <w:rFonts w:ascii="仿宋" w:eastAsia="仿宋" w:hAnsi="仿宋" w:cs="仿宋" w:hint="eastAsia"/>
          <w:sz w:val="28"/>
          <w:lang w:eastAsia="zh-CN"/>
        </w:rPr>
        <w:t>一、生物生化药品筹建公司基本信息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24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44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0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15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经营范围：从事XXX相关业务(企业依法自主选择经营生物生化药品项目，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开展经营活动；依法须经批准的生物生化药品项目，经相关部门批准后依批准的内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容开展经营活动；不得从事本市产业政策禁止和限制类生物生化药品项目的经营活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2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https://d.book118.com/746000124023010041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生物生化药品行业相关公司筹备报告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生物生化药品行业相关公司筹备报告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生物生化药品行业相关公司筹备报告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生物生化药品行业相关公司筹备报告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生物生化药品行业相关公司筹备报告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6000124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2024-01-15T23:16:00Z</dcterms:created>
  <dcterms:modified xsi:type="dcterms:W3CDTF">2024-01-15T23:17:14Z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93DF523F6F5344E39074538766A6E1E9_11</vt:lpwstr>
  </property>
  <property fmtid="{D5CDD505-2E9C-101B-9397-08002B2CF9AE}" pid="3" name="KSOProductBuildVer">
    <vt:lpwstr>2052-12.1.0.16120</vt:lpwstr>
  </property>
</Properties>
</file>