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"/>
        <w:spacing w:line="360" w:lineRule="exact"/>
        <w:rPr>
          <w:rFonts w:hint="eastAsia"/>
        </w:rPr>
      </w:pPr>
      <w:r>
        <w:rPr>
          <w:rFonts w:hint="eastAsia"/>
          <w:lang w:eastAsia="zh-CN"/>
        </w:rPr>
        <w:t>太原某小区</w:t>
      </w:r>
      <w:r>
        <w:rPr>
          <w:rFonts w:hint="eastAsia"/>
        </w:rPr>
        <w:t>集中供热管网</w:t>
      </w:r>
    </w:p>
    <w:p>
      <w:pPr>
        <w:pStyle w:val="Title"/>
        <w:spacing w:line="360" w:lineRule="exact"/>
        <w:rPr>
          <w:rFonts w:hint="eastAsia"/>
        </w:rPr>
      </w:pPr>
      <w:r>
        <w:rPr>
          <w:rFonts w:hint="eastAsia"/>
        </w:rPr>
        <w:t>工程第一标段</w:t>
      </w:r>
    </w:p>
    <w:p>
      <w:pPr>
        <w:spacing w:line="240" w:lineRule="auto"/>
        <w:rPr>
          <w:rFonts w:hint="eastAsia"/>
        </w:rPr>
      </w:pPr>
    </w:p>
    <w:p>
      <w:pPr>
        <w:spacing w:line="240" w:lineRule="auto"/>
        <w:jc w:val="center"/>
        <w:rPr>
          <w:rFonts w:ascii="华文行楷" w:eastAsia="华文行楷" w:hint="eastAsia"/>
          <w:sz w:val="96"/>
          <w:szCs w:val="96"/>
        </w:rPr>
      </w:pPr>
      <w:r>
        <w:rPr>
          <w:rFonts w:ascii="华文行楷" w:eastAsia="华文行楷" w:hint="eastAsia"/>
          <w:sz w:val="96"/>
          <w:szCs w:val="96"/>
        </w:rPr>
        <w:t>施</w:t>
      </w:r>
    </w:p>
    <w:p>
      <w:pPr>
        <w:spacing w:line="240" w:lineRule="auto"/>
        <w:jc w:val="center"/>
        <w:rPr>
          <w:rFonts w:ascii="华文行楷" w:eastAsia="华文行楷" w:hint="eastAsia"/>
          <w:sz w:val="96"/>
          <w:szCs w:val="96"/>
        </w:rPr>
      </w:pPr>
      <w:r>
        <w:rPr>
          <w:rFonts w:ascii="华文行楷" w:eastAsia="华文行楷" w:hint="eastAsia"/>
          <w:sz w:val="96"/>
          <w:szCs w:val="96"/>
        </w:rPr>
        <w:t>工</w:t>
      </w:r>
    </w:p>
    <w:p>
      <w:pPr>
        <w:spacing w:line="240" w:lineRule="auto"/>
        <w:jc w:val="center"/>
        <w:rPr>
          <w:rFonts w:ascii="华文行楷" w:eastAsia="华文行楷" w:hint="eastAsia"/>
          <w:sz w:val="96"/>
          <w:szCs w:val="96"/>
        </w:rPr>
      </w:pPr>
      <w:r>
        <w:rPr>
          <w:rFonts w:ascii="华文行楷" w:eastAsia="华文行楷" w:hint="eastAsia"/>
          <w:sz w:val="96"/>
          <w:szCs w:val="96"/>
        </w:rPr>
        <w:t>组</w:t>
      </w:r>
    </w:p>
    <w:p>
      <w:pPr>
        <w:spacing w:line="240" w:lineRule="auto"/>
        <w:jc w:val="center"/>
        <w:rPr>
          <w:rFonts w:ascii="华文行楷" w:eastAsia="华文行楷" w:hint="eastAsia"/>
          <w:sz w:val="96"/>
          <w:szCs w:val="96"/>
        </w:rPr>
      </w:pPr>
      <w:r>
        <w:rPr>
          <w:rFonts w:ascii="华文行楷" w:eastAsia="华文行楷" w:hint="eastAsia"/>
          <w:sz w:val="96"/>
          <w:szCs w:val="96"/>
        </w:rPr>
        <w:t>织</w:t>
      </w:r>
    </w:p>
    <w:p>
      <w:pPr>
        <w:spacing w:line="240" w:lineRule="auto"/>
        <w:jc w:val="center"/>
        <w:rPr>
          <w:rFonts w:ascii="华文行楷" w:eastAsia="华文行楷" w:hint="eastAsia"/>
          <w:sz w:val="96"/>
          <w:szCs w:val="96"/>
        </w:rPr>
      </w:pPr>
      <w:r>
        <w:rPr>
          <w:rFonts w:ascii="华文行楷" w:eastAsia="华文行楷" w:hint="eastAsia"/>
          <w:sz w:val="96"/>
          <w:szCs w:val="96"/>
        </w:rPr>
        <w:t>设</w:t>
      </w:r>
    </w:p>
    <w:p>
      <w:pPr>
        <w:spacing w:line="240" w:lineRule="auto"/>
        <w:jc w:val="center"/>
        <w:rPr>
          <w:rFonts w:ascii="华文行楷" w:eastAsia="华文行楷" w:hint="eastAsia"/>
          <w:sz w:val="96"/>
          <w:szCs w:val="96"/>
        </w:rPr>
      </w:pPr>
      <w:r>
        <w:rPr>
          <w:rFonts w:ascii="华文行楷" w:eastAsia="华文行楷" w:hint="eastAsia"/>
          <w:sz w:val="96"/>
          <w:szCs w:val="96"/>
        </w:rPr>
        <w:t>计</w:t>
      </w:r>
    </w:p>
    <w:p>
      <w:pPr>
        <w:spacing w:line="240" w:lineRule="auto"/>
        <w:jc w:val="center"/>
        <w:rPr>
          <w:rFonts w:ascii="楷体_GB2312" w:eastAsia="楷体_GB2312" w:hint="eastAsia"/>
          <w:sz w:val="32"/>
          <w:szCs w:val="32"/>
        </w:rPr>
      </w:pPr>
    </w:p>
    <w:p>
      <w:pPr>
        <w:spacing w:line="480" w:lineRule="auto"/>
        <w:jc w:val="center"/>
        <w:rPr>
          <w:rFonts w:ascii="楷体_GB2312" w:eastAsia="楷体_GB2312" w:hint="eastAsia"/>
          <w:sz w:val="32"/>
          <w:szCs w:val="32"/>
        </w:rPr>
        <w:sectPr>
          <w:pgSz w:w="11907" w:h="16840"/>
          <w:pgMar w:top="1304" w:right="1134" w:bottom="1021" w:left="1134" w:header="1202" w:footer="1202" w:gutter="0"/>
          <w:cols w:space="708"/>
          <w:docGrid w:type="lines" w:linePitch="556"/>
        </w:sectPr>
      </w:pPr>
      <w:r>
        <w:rPr>
          <w:rFonts w:ascii="楷体_GB2312" w:eastAsia="楷体_GB2312" w:hint="eastAsia"/>
          <w:sz w:val="32"/>
          <w:szCs w:val="32"/>
        </w:rPr>
        <w:t>山西省工业设备安装公司</w:t>
      </w:r>
    </w:p>
    <w:p>
      <w:pPr>
        <w:pStyle w:val="Title"/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  <w:t>目     录</w:t>
      </w:r>
    </w:p>
    <w:p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fldChar w:fldCharType="begin"/>
      </w:r>
      <w:r>
        <w:rPr>
          <w:rFonts w:ascii="楷体_GB2312" w:eastAsia="楷体_GB2312" w:hint="eastAsia"/>
          <w:sz w:val="28"/>
          <w:szCs w:val="28"/>
        </w:rPr>
        <w:instrText xml:space="preserve"> TOC \o "1-3" </w:instrText>
      </w:r>
      <w:r>
        <w:rPr>
          <w:rFonts w:ascii="楷体_GB2312" w:eastAsia="楷体_GB2312" w:hint="eastAsia"/>
          <w:sz w:val="28"/>
          <w:szCs w:val="28"/>
        </w:rPr>
        <w:fldChar w:fldCharType="separate"/>
      </w:r>
      <w:r>
        <w:rPr>
          <w:rFonts w:ascii="楷体_GB2312" w:eastAsia="楷体_GB2312" w:hint="eastAsia"/>
          <w:sz w:val="28"/>
          <w:szCs w:val="28"/>
        </w:rPr>
        <w:t xml:space="preserve"> 一、工程概况</w:t>
      </w:r>
    </w:p>
    <w:p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 xml:space="preserve"> 二、施工部署</w:t>
        <w:tab/>
      </w:r>
    </w:p>
    <w:p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三、施工打算</w:t>
        <w:tab/>
      </w:r>
    </w:p>
    <w:p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 xml:space="preserve"> 四、主要施工方法</w:t>
        <w:tab/>
      </w:r>
    </w:p>
    <w:p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 xml:space="preserve"> 五、劳动力及施工主要施工机械配备</w:t>
        <w:tab/>
      </w:r>
    </w:p>
    <w:p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六．保证工程质量的技术组织措施</w:t>
        <w:tab/>
      </w:r>
    </w:p>
    <w:p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七．保证工期的技术组织措施</w:t>
        <w:tab/>
      </w:r>
    </w:p>
    <w:p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八．确保平安、文明施工的技术措施</w:t>
        <w:tab/>
      </w:r>
    </w:p>
    <w:p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九、 文明施工保证措施</w:t>
        <w:tab/>
      </w:r>
    </w:p>
    <w:p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十、施工进度总支配</w:t>
        <w:tab/>
      </w:r>
    </w:p>
    <w:p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十一、降低成本、提高质量的合理化建议</w:t>
        <w:tab/>
      </w:r>
    </w:p>
    <w:p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十二、施工总平面图</w:t>
        <w:tab/>
      </w:r>
    </w:p>
    <w:p>
      <w:r>
        <w:rPr>
          <w:rFonts w:ascii="楷体_GB2312" w:eastAsia="楷体_GB2312" w:hint="eastAsia"/>
          <w:sz w:val="28"/>
          <w:szCs w:val="28"/>
        </w:rPr>
        <w:fldChar w:fldCharType="end"/>
      </w:r>
    </w:p>
    <w:p>
      <w:pPr>
        <w:pStyle w:val="Heading1"/>
        <w:numPr>
          <w:ilvl w:val="0"/>
          <w:numId w:val="0"/>
        </w:numPr>
        <w:tabs>
          <w:tab w:val="left" w:pos="720"/>
        </w:tabs>
        <w:rPr>
          <w:rFonts w:hint="eastAsia"/>
        </w:rPr>
      </w:pPr>
      <w:bookmarkStart w:id="0" w:name="_Toc207171511"/>
    </w:p>
    <w:p>
      <w:pPr>
        <w:rPr>
          <w:rFonts w:hAnsi="宋体"/>
          <w:sz w:val="28"/>
          <w:szCs w:val="28"/>
        </w:rPr>
        <w:sectPr>
          <w:type w:val="nextPage"/>
          <w:pgSz w:w="11907" w:h="16840"/>
          <w:pgMar w:top="1304" w:right="1134" w:bottom="1021" w:left="1134" w:header="1202" w:footer="1202" w:gutter="0"/>
          <w:pgNumType w:start="2"/>
          <w:cols w:space="708"/>
          <w:titlePg w:val="0"/>
          <w:docGrid w:type="lines" w:linePitch="556"/>
        </w:sectPr>
      </w:pPr>
      <w:r>
        <w:rPr>
          <w:rFonts w:hAnsi="宋体"/>
          <w:sz w:val="28"/>
          <w:szCs w:val="28"/>
        </w:rPr>
        <w:t>一、工程概况</w:t>
      </w:r>
      <w:bookmarkStart w:id="1" w:name="bk100"/>
      <w:bookmarkEnd w:id="0"/>
      <w:bookmarkEnd w:id="1"/>
    </w:p>
    <w:p>
      <w:pPr>
        <w:ind w:firstLine="560" w:firstLineChars="200"/>
        <w:rPr>
          <w:rFonts w:hAnsi="宋体"/>
          <w:sz w:val="28"/>
          <w:szCs w:val="28"/>
        </w:rPr>
      </w:pPr>
      <w:bookmarkStart w:id="2" w:name="bk101"/>
      <w:bookmarkEnd w:id="2"/>
      <w:r>
        <w:rPr>
          <w:rFonts w:hAnsi="宋体" w:hint="eastAsia"/>
          <w:sz w:val="28"/>
          <w:szCs w:val="28"/>
        </w:rPr>
        <w:t>本工程为</w:t>
      </w:r>
      <w:r>
        <w:rPr>
          <w:rFonts w:hAnsi="宋体" w:hint="eastAsia"/>
          <w:sz w:val="28"/>
          <w:szCs w:val="28"/>
          <w:lang w:eastAsia="zh-CN"/>
        </w:rPr>
        <w:t>太原某小区</w:t>
      </w:r>
      <w:r>
        <w:rPr>
          <w:rFonts w:hAnsi="宋体" w:hint="eastAsia"/>
          <w:sz w:val="28"/>
          <w:szCs w:val="28"/>
        </w:rPr>
        <w:t>集中供热管网管网（二期）第一标段全长1900m预制直埋保温管道安装及附属设施建筑施工。本标段主要分为两段，第一段为开发西路沿振华东街到梁郡路西侧管径为DN1000mm长约1100m直埋预制保温管道安装，其次段为从振华东街向北管径为DN1000mm长约800m直埋预制保温管道安装。管道连接方式为焊接。</w:t>
      </w:r>
    </w:p>
    <w:p>
      <w:pPr>
        <w:rPr>
          <w:rFonts w:hAnsi="宋体"/>
          <w:sz w:val="28"/>
          <w:szCs w:val="28"/>
        </w:rPr>
      </w:pPr>
      <w:r>
        <w:rPr>
          <w:rFonts w:hAnsi="宋体" w:hint="eastAsia"/>
          <w:sz w:val="28"/>
          <w:szCs w:val="28"/>
        </w:rPr>
        <w:t>编制依据：</w:t>
      </w:r>
    </w:p>
    <w:p>
      <w:pPr>
        <w:rPr>
          <w:rFonts w:hAnsi="宋体"/>
          <w:sz w:val="28"/>
          <w:szCs w:val="28"/>
        </w:rPr>
      </w:pPr>
      <w:r>
        <w:rPr>
          <w:rFonts w:hAnsi="宋体"/>
          <w:sz w:val="28"/>
          <w:szCs w:val="28"/>
        </w:rPr>
        <w:t>1</w:t>
      </w:r>
      <w:r>
        <w:rPr>
          <w:rFonts w:hAnsi="宋体" w:hint="eastAsia"/>
          <w:sz w:val="28"/>
          <w:szCs w:val="28"/>
        </w:rPr>
        <w:t>、</w:t>
      </w:r>
      <w:r>
        <w:rPr>
          <w:rFonts w:hAnsi="宋体"/>
          <w:sz w:val="28"/>
          <w:szCs w:val="28"/>
        </w:rPr>
        <w:t xml:space="preserve"> </w:t>
      </w:r>
      <w:r>
        <w:rPr>
          <w:rFonts w:hAnsi="宋体" w:hint="eastAsia"/>
          <w:sz w:val="28"/>
          <w:szCs w:val="28"/>
        </w:rPr>
        <w:t>《城市直埋供热管道工程技术规程》（</w:t>
      </w:r>
      <w:r>
        <w:rPr>
          <w:rFonts w:hAnsi="宋体"/>
          <w:sz w:val="28"/>
          <w:szCs w:val="28"/>
        </w:rPr>
        <w:t>CJJ/T81-98</w:t>
      </w:r>
      <w:r>
        <w:rPr>
          <w:rFonts w:hAnsi="宋体" w:hint="eastAsia"/>
          <w:sz w:val="28"/>
          <w:szCs w:val="28"/>
        </w:rPr>
        <w:t>）</w:t>
      </w:r>
    </w:p>
    <w:p>
      <w:pPr>
        <w:rPr>
          <w:rFonts w:hAnsi="宋体"/>
          <w:sz w:val="28"/>
          <w:szCs w:val="28"/>
        </w:rPr>
      </w:pPr>
      <w:r>
        <w:rPr>
          <w:rFonts w:hAnsi="宋体" w:hint="eastAsia"/>
          <w:sz w:val="28"/>
          <w:szCs w:val="28"/>
        </w:rPr>
        <w:t>2、</w:t>
      </w:r>
      <w:r>
        <w:rPr>
          <w:rFonts w:hAnsi="宋体"/>
          <w:sz w:val="28"/>
          <w:szCs w:val="28"/>
        </w:rPr>
        <w:t xml:space="preserve"> </w:t>
      </w:r>
      <w:r>
        <w:rPr>
          <w:rFonts w:hAnsi="宋体" w:hint="eastAsia"/>
          <w:sz w:val="28"/>
          <w:szCs w:val="28"/>
        </w:rPr>
        <w:t>《城市热力管网工程设计规范》（</w:t>
      </w:r>
      <w:r>
        <w:rPr>
          <w:rFonts w:hAnsi="宋体"/>
          <w:sz w:val="28"/>
          <w:szCs w:val="28"/>
        </w:rPr>
        <w:t>CJJ34-2002</w:t>
      </w:r>
      <w:r>
        <w:rPr>
          <w:rFonts w:hAnsi="宋体" w:hint="eastAsia"/>
          <w:sz w:val="28"/>
          <w:szCs w:val="28"/>
        </w:rPr>
        <w:t>）</w:t>
      </w:r>
    </w:p>
    <w:p>
      <w:pPr>
        <w:rPr>
          <w:rFonts w:hAnsi="宋体"/>
          <w:sz w:val="28"/>
          <w:szCs w:val="28"/>
        </w:rPr>
      </w:pPr>
      <w:r>
        <w:rPr>
          <w:rFonts w:hAnsi="宋体" w:hint="eastAsia"/>
          <w:sz w:val="28"/>
          <w:szCs w:val="28"/>
        </w:rPr>
        <w:t>3、</w:t>
      </w:r>
      <w:r>
        <w:rPr>
          <w:rFonts w:hAnsi="宋体"/>
          <w:sz w:val="28"/>
          <w:szCs w:val="28"/>
        </w:rPr>
        <w:t xml:space="preserve"> </w:t>
      </w:r>
      <w:r>
        <w:rPr>
          <w:rFonts w:hAnsi="宋体" w:hint="eastAsia"/>
          <w:sz w:val="28"/>
          <w:szCs w:val="28"/>
        </w:rPr>
        <w:t>《城市供热管网工程施工及验收规范》（</w:t>
      </w:r>
      <w:r>
        <w:rPr>
          <w:rFonts w:hAnsi="宋体"/>
          <w:sz w:val="28"/>
          <w:szCs w:val="28"/>
        </w:rPr>
        <w:t>CJJ28-89</w:t>
      </w:r>
      <w:r>
        <w:rPr>
          <w:rFonts w:hAnsi="宋体" w:hint="eastAsia"/>
          <w:sz w:val="28"/>
          <w:szCs w:val="28"/>
        </w:rPr>
        <w:t>）</w:t>
      </w:r>
    </w:p>
    <w:p>
      <w:pPr>
        <w:rPr>
          <w:rFonts w:hAnsi="宋体"/>
          <w:sz w:val="28"/>
          <w:szCs w:val="28"/>
        </w:rPr>
      </w:pPr>
      <w:r>
        <w:rPr>
          <w:rFonts w:hAnsi="宋体" w:hint="eastAsia"/>
          <w:sz w:val="28"/>
          <w:szCs w:val="28"/>
        </w:rPr>
        <w:t>4、</w:t>
      </w:r>
      <w:r>
        <w:rPr>
          <w:rFonts w:hAnsi="宋体"/>
          <w:sz w:val="28"/>
          <w:szCs w:val="28"/>
        </w:rPr>
        <w:t xml:space="preserve"> </w:t>
      </w:r>
      <w:r>
        <w:rPr>
          <w:rFonts w:hAnsi="宋体" w:hint="eastAsia"/>
          <w:sz w:val="28"/>
          <w:szCs w:val="28"/>
        </w:rPr>
        <w:t>《城市供热管网工程质量检验评定标准》（</w:t>
      </w:r>
      <w:r>
        <w:rPr>
          <w:rFonts w:hAnsi="宋体"/>
          <w:sz w:val="28"/>
          <w:szCs w:val="28"/>
        </w:rPr>
        <w:t>CJJ38-90</w:t>
      </w:r>
      <w:r>
        <w:rPr>
          <w:rFonts w:hAnsi="宋体" w:hint="eastAsia"/>
          <w:sz w:val="28"/>
          <w:szCs w:val="28"/>
        </w:rPr>
        <w:t>）</w:t>
      </w:r>
    </w:p>
    <w:p>
      <w:pPr>
        <w:rPr>
          <w:rFonts w:hAnsi="宋体"/>
          <w:sz w:val="28"/>
          <w:szCs w:val="28"/>
        </w:rPr>
      </w:pPr>
      <w:r>
        <w:rPr>
          <w:rFonts w:hAnsi="宋体" w:hint="eastAsia"/>
          <w:sz w:val="28"/>
          <w:szCs w:val="28"/>
        </w:rPr>
        <w:t>5、</w:t>
      </w:r>
      <w:r>
        <w:rPr>
          <w:rFonts w:hAnsi="宋体"/>
          <w:sz w:val="28"/>
          <w:szCs w:val="28"/>
        </w:rPr>
        <w:t xml:space="preserve"> </w:t>
      </w:r>
      <w:r>
        <w:rPr>
          <w:rFonts w:hAnsi="宋体" w:hint="eastAsia"/>
          <w:sz w:val="28"/>
          <w:szCs w:val="28"/>
        </w:rPr>
        <w:t>《工业管道工程施工及验收规范》</w:t>
      </w:r>
      <w:r>
        <w:rPr>
          <w:rFonts w:hAnsi="宋体"/>
          <w:sz w:val="28"/>
          <w:szCs w:val="28"/>
        </w:rPr>
        <w:t>(GBJ235-97)</w:t>
      </w:r>
    </w:p>
    <w:p>
      <w:pPr>
        <w:rPr>
          <w:rFonts w:hAnsi="宋体"/>
          <w:sz w:val="28"/>
          <w:szCs w:val="28"/>
        </w:rPr>
      </w:pPr>
      <w:r>
        <w:rPr>
          <w:rFonts w:hAnsi="宋体" w:hint="eastAsia"/>
          <w:sz w:val="28"/>
          <w:szCs w:val="28"/>
        </w:rPr>
        <w:t>6、</w:t>
      </w:r>
      <w:r>
        <w:rPr>
          <w:rFonts w:hAnsi="宋体"/>
          <w:sz w:val="28"/>
          <w:szCs w:val="28"/>
        </w:rPr>
        <w:t xml:space="preserve"> </w:t>
      </w:r>
      <w:r>
        <w:rPr>
          <w:rFonts w:hAnsi="宋体" w:hint="eastAsia"/>
          <w:sz w:val="28"/>
          <w:szCs w:val="28"/>
        </w:rPr>
        <w:t>《现场设备工业管道焊接工程施工及验收规范》（</w:t>
      </w:r>
      <w:r>
        <w:rPr>
          <w:rFonts w:hAnsi="宋体"/>
          <w:sz w:val="28"/>
          <w:szCs w:val="28"/>
        </w:rPr>
        <w:t>GBJ50236-98</w:t>
      </w:r>
      <w:r>
        <w:rPr>
          <w:rFonts w:hAnsi="宋体" w:hint="eastAsia"/>
          <w:sz w:val="28"/>
          <w:szCs w:val="28"/>
        </w:rPr>
        <w:t>）</w:t>
      </w:r>
    </w:p>
    <w:p>
      <w:pPr>
        <w:rPr>
          <w:rFonts w:hAnsi="宋体"/>
          <w:sz w:val="28"/>
          <w:szCs w:val="28"/>
        </w:rPr>
      </w:pPr>
      <w:r>
        <w:rPr>
          <w:rFonts w:hAnsi="宋体" w:hint="eastAsia"/>
          <w:sz w:val="28"/>
          <w:szCs w:val="28"/>
        </w:rPr>
        <w:t>7、</w:t>
      </w:r>
      <w:r>
        <w:rPr>
          <w:rFonts w:hAnsi="宋体"/>
          <w:sz w:val="28"/>
          <w:szCs w:val="28"/>
        </w:rPr>
        <w:t xml:space="preserve"> </w:t>
      </w:r>
      <w:r>
        <w:rPr>
          <w:rFonts w:hAnsi="宋体" w:hint="eastAsia"/>
          <w:sz w:val="28"/>
          <w:szCs w:val="28"/>
        </w:rPr>
        <w:t>《钢焊缝射线照片及底片分类法》（</w:t>
      </w:r>
      <w:r>
        <w:rPr>
          <w:rFonts w:hAnsi="宋体"/>
          <w:sz w:val="28"/>
          <w:szCs w:val="28"/>
        </w:rPr>
        <w:t>GB3323</w:t>
      </w:r>
      <w:r>
        <w:rPr>
          <w:rFonts w:hAnsi="宋体" w:hint="eastAsia"/>
          <w:sz w:val="28"/>
          <w:szCs w:val="28"/>
        </w:rPr>
        <w:t>）</w:t>
      </w:r>
    </w:p>
    <w:p>
      <w:pPr>
        <w:rPr>
          <w:rFonts w:hAnsi="宋体"/>
          <w:sz w:val="28"/>
          <w:szCs w:val="28"/>
        </w:rPr>
      </w:pPr>
      <w:r>
        <w:rPr>
          <w:rFonts w:hAnsi="宋体" w:hint="eastAsia"/>
          <w:sz w:val="28"/>
          <w:szCs w:val="28"/>
        </w:rPr>
        <w:t>8、</w:t>
      </w:r>
      <w:r>
        <w:rPr>
          <w:rFonts w:hAnsi="宋体"/>
          <w:sz w:val="28"/>
          <w:szCs w:val="28"/>
        </w:rPr>
        <w:t xml:space="preserve"> </w:t>
      </w:r>
      <w:r>
        <w:rPr>
          <w:rFonts w:hAnsi="宋体" w:hint="eastAsia"/>
          <w:sz w:val="28"/>
          <w:szCs w:val="28"/>
        </w:rPr>
        <w:t>《工业设备及管道绝热工程施工及验收规范》</w:t>
      </w:r>
      <w:r>
        <w:rPr>
          <w:rFonts w:hAnsi="宋体"/>
          <w:sz w:val="28"/>
          <w:szCs w:val="28"/>
        </w:rPr>
        <w:t>(GBJ50264-97)</w:t>
      </w:r>
    </w:p>
    <w:p>
      <w:pPr>
        <w:rPr>
          <w:rFonts w:hAnsi="宋体"/>
          <w:sz w:val="28"/>
          <w:szCs w:val="28"/>
        </w:rPr>
      </w:pPr>
      <w:r>
        <w:rPr>
          <w:rFonts w:hAnsi="宋体" w:hint="eastAsia"/>
          <w:sz w:val="28"/>
          <w:szCs w:val="28"/>
        </w:rPr>
        <w:t>9、《工业设备及管道绝热工程管道及设备保温质量检验评定标准》（</w:t>
      </w:r>
      <w:r>
        <w:rPr>
          <w:rFonts w:hAnsi="宋体"/>
          <w:sz w:val="28"/>
          <w:szCs w:val="28"/>
        </w:rPr>
        <w:t>GB50:85-93</w:t>
      </w:r>
      <w:r>
        <w:rPr>
          <w:rFonts w:hAnsi="宋体" w:hint="eastAsia"/>
          <w:sz w:val="28"/>
          <w:szCs w:val="28"/>
        </w:rPr>
        <w:t>）</w:t>
      </w:r>
    </w:p>
    <w:p>
      <w:pPr>
        <w:rPr>
          <w:rFonts w:hAnsi="宋体" w:hint="eastAsia"/>
          <w:sz w:val="28"/>
          <w:szCs w:val="28"/>
        </w:rPr>
        <w:sectPr>
          <w:type w:val="nextPage"/>
          <w:pgSz w:w="11907" w:h="16840"/>
          <w:pgMar w:top="1304" w:right="1134" w:bottom="1021" w:left="1134" w:header="1202" w:footer="1202" w:gutter="0"/>
          <w:pgNumType w:start="3"/>
          <w:cols w:space="708"/>
          <w:titlePg w:val="0"/>
          <w:docGrid w:type="lines" w:linePitch="556"/>
        </w:sectPr>
      </w:pPr>
      <w:bookmarkStart w:id="3" w:name="_Toc207171512"/>
      <w:r>
        <w:rPr>
          <w:rFonts w:hAnsi="宋体" w:hint="eastAsia"/>
          <w:sz w:val="28"/>
          <w:szCs w:val="28"/>
        </w:rPr>
        <w:t>二、施工部署</w:t>
      </w:r>
      <w:bookmarkStart w:id="4" w:name="bk102"/>
      <w:bookmarkEnd w:id="3"/>
      <w:bookmarkEnd w:id="4"/>
    </w:p>
    <w:p>
      <w:pPr>
        <w:ind w:firstLine="560" w:firstLineChars="200"/>
        <w:rPr>
          <w:rFonts w:hAnsi="宋体"/>
          <w:sz w:val="28"/>
          <w:szCs w:val="28"/>
        </w:rPr>
      </w:pPr>
      <w:bookmarkStart w:id="5" w:name="bk103"/>
      <w:bookmarkEnd w:id="5"/>
      <w:r>
        <w:rPr>
          <w:rFonts w:hAnsi="宋体" w:hint="eastAsia"/>
          <w:sz w:val="28"/>
          <w:szCs w:val="28"/>
        </w:rPr>
        <w:t>依据招标文件规定的工作内容，依据本工程工期紧、任务重的特点和具体状况，且考虑到土建与安装科学合理支配和亲密协作的原则。总体布属如下：</w:t>
      </w:r>
    </w:p>
    <w:p>
      <w:pPr>
        <w:ind w:firstLine="140" w:firstLineChars="50"/>
        <w:rPr>
          <w:rFonts w:hAnsi="宋体"/>
          <w:sz w:val="28"/>
          <w:szCs w:val="28"/>
        </w:rPr>
      </w:pPr>
      <w:r>
        <w:rPr>
          <w:rFonts w:hAnsi="宋体"/>
          <w:sz w:val="28"/>
          <w:szCs w:val="28"/>
        </w:rPr>
        <w:t>1</w:t>
      </w:r>
      <w:r>
        <w:rPr>
          <w:rFonts w:hAnsi="宋体" w:hint="eastAsia"/>
          <w:sz w:val="28"/>
          <w:szCs w:val="28"/>
        </w:rPr>
        <w:t>、充分做好开工前的打算工作，依据支配刚好组织施工人员、机具进场，布设好施工用水、用电和支配好施工人员的生活设施。刚好组织工程材料进场，为正式开工做打算。</w:t>
      </w:r>
    </w:p>
    <w:p>
      <w:pPr>
        <w:ind w:firstLine="140" w:firstLineChars="50"/>
        <w:rPr>
          <w:rFonts w:hAnsi="宋体"/>
          <w:sz w:val="28"/>
          <w:szCs w:val="28"/>
        </w:rPr>
      </w:pPr>
      <w:r>
        <w:rPr>
          <w:rFonts w:hAnsi="宋体"/>
          <w:sz w:val="28"/>
          <w:szCs w:val="28"/>
        </w:rPr>
        <w:t>2</w:t>
      </w:r>
      <w:r>
        <w:rPr>
          <w:rFonts w:hAnsi="宋体" w:hint="eastAsia"/>
          <w:sz w:val="28"/>
          <w:szCs w:val="28"/>
        </w:rPr>
        <w:t>、从工程开工之日起，做好材料的定购工作。</w:t>
      </w:r>
    </w:p>
    <w:p>
      <w:pPr>
        <w:ind w:firstLine="140" w:firstLineChars="50"/>
        <w:rPr>
          <w:rFonts w:hAnsi="宋体"/>
          <w:sz w:val="28"/>
          <w:szCs w:val="28"/>
        </w:rPr>
      </w:pPr>
      <w:r>
        <w:rPr>
          <w:rFonts w:hAnsi="宋体"/>
          <w:sz w:val="28"/>
          <w:szCs w:val="28"/>
        </w:rPr>
        <w:t>3</w:t>
      </w:r>
      <w:r>
        <w:rPr>
          <w:rFonts w:hAnsi="宋体" w:hint="eastAsia"/>
          <w:sz w:val="28"/>
          <w:szCs w:val="28"/>
        </w:rPr>
        <w:t>、管沟开挖及管道主干线敷设全面铺开。这阶段，已进入正式施工高峰，项目部各级、各专业管理人员，要加强工程的施工管理、组织指挥、施工现场调度和技术、质量平安管理以及于土建和安装各专业的交叉施工协作协调工作，确保顺当正常施工。</w:t>
      </w:r>
    </w:p>
    <w:p>
      <w:pPr>
        <w:ind w:firstLine="140" w:firstLineChars="50"/>
        <w:rPr>
          <w:rFonts w:hAnsi="宋体"/>
          <w:sz w:val="28"/>
          <w:szCs w:val="28"/>
        </w:rPr>
      </w:pPr>
      <w:r>
        <w:rPr>
          <w:rFonts w:hAnsi="宋体"/>
          <w:sz w:val="28"/>
          <w:szCs w:val="28"/>
        </w:rPr>
        <w:t>4</w:t>
      </w:r>
      <w:r>
        <w:rPr>
          <w:rFonts w:hAnsi="宋体" w:hint="eastAsia"/>
          <w:sz w:val="28"/>
          <w:szCs w:val="28"/>
        </w:rPr>
        <w:t>、为确保工期，要依据土建与安装各专业同时施工交叉作业多的特点，人员、机具实行动态管理，随时做好人员机具的调配。要做到人员、机具、工作面三不闲置，以保证工期目标的实现。</w:t>
      </w:r>
    </w:p>
    <w:p>
      <w:pPr>
        <w:rPr>
          <w:rFonts w:hAnsi="宋体" w:hint="eastAsia"/>
          <w:sz w:val="28"/>
          <w:szCs w:val="28"/>
        </w:rPr>
      </w:pPr>
      <w:bookmarkStart w:id="6" w:name="_Toc207171513"/>
      <w:r>
        <w:rPr>
          <w:rFonts w:hAnsi="宋体" w:hint="eastAsia"/>
          <w:sz w:val="28"/>
          <w:szCs w:val="28"/>
        </w:rPr>
        <w:t>三、施工打算</w:t>
      </w:r>
      <w:bookmarkStart w:id="7" w:name="bk104"/>
      <w:bookmarkEnd w:id="6"/>
      <w:bookmarkEnd w:id="7"/>
    </w:p>
    <w:p>
      <w:pPr>
        <w:ind w:firstLine="140" w:firstLineChars="50"/>
        <w:rPr>
          <w:rFonts w:hAnsi="宋体"/>
          <w:sz w:val="28"/>
          <w:szCs w:val="28"/>
        </w:rPr>
      </w:pPr>
      <w:bookmarkStart w:id="8" w:name="_Toc207171514"/>
      <w:r>
        <w:rPr>
          <w:rFonts w:hAnsi="宋体"/>
          <w:sz w:val="28"/>
          <w:szCs w:val="28"/>
        </w:rPr>
        <w:t>1、组织打算</w:t>
      </w:r>
      <w:bookmarkStart w:id="9" w:name="bk105"/>
      <w:bookmarkEnd w:id="8"/>
      <w:bookmarkEnd w:id="9"/>
    </w:p>
    <w:p>
      <w:pPr>
        <w:rPr>
          <w:rFonts w:hAnsi="宋体"/>
          <w:sz w:val="28"/>
          <w:szCs w:val="28"/>
        </w:rPr>
        <w:sectPr>
          <w:type w:val="nextPage"/>
          <w:pgSz w:w="11907" w:h="16840"/>
          <w:pgMar w:top="1304" w:right="1134" w:bottom="1021" w:left="1134" w:header="1202" w:footer="1202" w:gutter="0"/>
          <w:pgNumType w:start="4"/>
          <w:cols w:space="708"/>
          <w:titlePg w:val="0"/>
          <w:docGrid w:type="lines" w:linePitch="556"/>
        </w:sectPr>
      </w:pPr>
      <w:bookmarkStart w:id="10" w:name="bk106"/>
      <w:bookmarkEnd w:id="10"/>
    </w:p>
    <w:p>
      <w:pPr>
        <w:rPr>
          <w:rFonts w:hAnsi="宋体"/>
          <w:sz w:val="28"/>
          <w:szCs w:val="28"/>
        </w:rPr>
      </w:pPr>
      <w:r>
        <w:rPr>
          <w:rFonts w:hAnsi="宋体" w:hint="eastAsia"/>
          <w:sz w:val="28"/>
          <w:szCs w:val="28"/>
        </w:rPr>
        <w:t>我单位如中标，我们将在中标通知书规定的时间内，按时与业主签订承包合同，同时快速组建项目经理部。并依据本工程的特点和具体状况制订和建立各项管理、工作制度。同时作好工程技术人员、施工人员的组织配备工作，为工程施工做好充分的打算。</w:t>
      </w:r>
    </w:p>
    <w:p>
      <w:pPr>
        <w:ind w:firstLine="140" w:firstLineChars="50"/>
        <w:rPr>
          <w:rFonts w:hAnsi="宋体"/>
          <w:sz w:val="28"/>
          <w:szCs w:val="28"/>
        </w:rPr>
      </w:pPr>
      <w:bookmarkStart w:id="11" w:name="_Toc207171515"/>
      <w:r>
        <w:rPr>
          <w:rFonts w:hAnsi="宋体"/>
          <w:sz w:val="28"/>
          <w:szCs w:val="28"/>
        </w:rPr>
        <w:t>2、技术打算</w:t>
      </w:r>
      <w:bookmarkStart w:id="12" w:name="bk107"/>
      <w:bookmarkEnd w:id="11"/>
      <w:bookmarkEnd w:id="12"/>
    </w:p>
    <w:p>
      <w:pPr>
        <w:ind w:firstLine="280" w:firstLineChars="100"/>
        <w:rPr>
          <w:rFonts w:hAnsi="宋体"/>
          <w:sz w:val="28"/>
          <w:szCs w:val="28"/>
        </w:rPr>
      </w:pPr>
      <w:bookmarkStart w:id="13" w:name="bk108"/>
      <w:bookmarkEnd w:id="13"/>
      <w:r>
        <w:rPr>
          <w:rFonts w:hAnsi="宋体"/>
          <w:sz w:val="28"/>
          <w:szCs w:val="28"/>
        </w:rPr>
        <w:t xml:space="preserve">2.1 </w:t>
      </w:r>
      <w:r>
        <w:rPr>
          <w:rFonts w:hAnsi="宋体" w:hint="eastAsia"/>
          <w:sz w:val="28"/>
          <w:szCs w:val="28"/>
        </w:rPr>
        <w:t>组织有关技术人员，熟识施工图纸，搞好各专业施工图纸的会审。仔细听取设计人员的技术交底，领悟设计意图，了解相关专业工种之间的协作要求。进一步理顺各专业的施工程序，有条不紊地组织施工。</w:t>
      </w:r>
    </w:p>
    <w:p>
      <w:pPr>
        <w:ind w:firstLine="280" w:firstLineChars="100"/>
        <w:rPr>
          <w:rFonts w:hAnsi="宋体"/>
          <w:sz w:val="28"/>
          <w:szCs w:val="28"/>
        </w:rPr>
      </w:pPr>
      <w:r>
        <w:rPr>
          <w:rFonts w:hAnsi="宋体"/>
          <w:sz w:val="28"/>
          <w:szCs w:val="28"/>
        </w:rPr>
        <w:t xml:space="preserve">2.2 </w:t>
      </w:r>
      <w:r>
        <w:rPr>
          <w:rFonts w:hAnsi="宋体" w:hint="eastAsia"/>
          <w:sz w:val="28"/>
          <w:szCs w:val="28"/>
        </w:rPr>
        <w:t>主要技术人员和管理人员在开工前要仔细探讨熟识标书、施工图、合同文件以及国家有关规范标准等有关技术资料，进一步完善施工组织设计和施工方案，切实做好施工布署。</w:t>
      </w:r>
    </w:p>
    <w:p>
      <w:pPr>
        <w:ind w:firstLine="280" w:firstLineChars="100"/>
        <w:rPr>
          <w:rFonts w:hAnsi="宋体"/>
          <w:sz w:val="28"/>
          <w:szCs w:val="28"/>
        </w:rPr>
      </w:pPr>
      <w:r>
        <w:rPr>
          <w:rFonts w:hAnsi="宋体"/>
          <w:sz w:val="28"/>
          <w:szCs w:val="28"/>
        </w:rPr>
        <w:t xml:space="preserve">2.3 </w:t>
      </w:r>
      <w:r>
        <w:rPr>
          <w:rFonts w:hAnsi="宋体" w:hint="eastAsia"/>
          <w:sz w:val="28"/>
          <w:szCs w:val="28"/>
        </w:rPr>
        <w:t>开工前要具体了解工程项目所在地区的气象自然条件状况，建设场地和水文地质状况，以便有针对性地做好施工平面布置，确保施工顺当进行。</w:t>
      </w:r>
    </w:p>
    <w:p>
      <w:pPr>
        <w:ind w:firstLine="280" w:firstLineChars="100"/>
        <w:rPr>
          <w:rFonts w:hAnsi="宋体"/>
          <w:sz w:val="28"/>
          <w:szCs w:val="28"/>
        </w:rPr>
      </w:pPr>
      <w:r>
        <w:rPr>
          <w:rFonts w:hAnsi="宋体"/>
          <w:sz w:val="28"/>
          <w:szCs w:val="28"/>
        </w:rPr>
        <w:t xml:space="preserve">2.4 </w:t>
      </w:r>
      <w:r>
        <w:rPr>
          <w:rFonts w:hAnsi="宋体" w:hint="eastAsia"/>
          <w:sz w:val="28"/>
          <w:szCs w:val="28"/>
        </w:rPr>
        <w:t>开工前，各专业技术人员应对施工队和施工班组做好全面的书面技术交底，项目部质量经理要组织有关人员，依据</w:t>
      </w:r>
      <w:r>
        <w:rPr>
          <w:rFonts w:hAnsi="宋体"/>
          <w:sz w:val="28"/>
          <w:szCs w:val="28"/>
        </w:rPr>
        <w:t xml:space="preserve">ISO9002 </w:t>
      </w:r>
      <w:r>
        <w:rPr>
          <w:rFonts w:hAnsi="宋体" w:hint="eastAsia"/>
          <w:sz w:val="28"/>
          <w:szCs w:val="28"/>
        </w:rPr>
        <w:t>标准贯标要求，作好本项目的质量策划，并编制好项目质量保证支配。同时，各专业技术人员要针对工程的具体状况，编制好具体的施工方案、作业指导书。并依据工期要求和施工布署，做好详尽的材料供应支配，施工机具支配和劳动力需用量支配，制订好土建与安装及各专业工种之间的组织协作施工措施。</w:t>
      </w:r>
      <w:r>
        <w:rPr>
          <w:rFonts w:hAnsi="宋体"/>
          <w:sz w:val="28"/>
          <w:szCs w:val="28"/>
        </w:rPr>
        <w:br/>
      </w:r>
      <w:r>
        <w:rPr>
          <w:rFonts w:hAnsi="宋体"/>
          <w:sz w:val="28"/>
          <w:szCs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https://d.book118.com/746001044040010103</w:t>
        </w:r>
      </w:hyperlink>
    </w:p>
    <w:p>
      <w:pPr>
        <w:ind w:firstLine="280" w:firstLineChars="100"/>
        <w:rPr>
          <w:rFonts w:hAnsi="宋体"/>
          <w:sz w:val="28"/>
          <w:szCs w:val="28"/>
        </w:rPr>
      </w:pPr>
    </w:p>
    <w:sectPr>
      <w:type w:val="nextPage"/>
      <w:pgSz w:w="11907" w:h="16840"/>
      <w:pgMar w:top="1304" w:right="1134" w:bottom="1021" w:left="1134" w:header="1202" w:footer="1202" w:gutter="0"/>
      <w:pgNumType w:start="5"/>
      <w:cols w:space="708"/>
      <w:titlePg w:val="0"/>
      <w:docGrid w:type="lines" w:linePitch="5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华文行楷">
    <w:altName w:val="楷体_GB2312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华文细黑">
    <w:altName w:val="黑体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..ì.">
    <w:altName w:val="宋体"/>
    <w:panose1 w:val="00000000000000000000"/>
    <w:charset w:val="86"/>
    <w:family w:val="roman"/>
    <w:pitch w:val="default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0"/>
    <w:multiLevelType w:val="multilevel"/>
    <w:tmpl w:val="00000000"/>
    <w:lvl w:ilvl="0">
      <w:start w:val="1"/>
      <w:numFmt w:val="chineseCountingThousand"/>
      <w:suff w:val="nothing"/>
      <w:lvlText w:val="第%1章"/>
      <w:lvlJc w:val="left"/>
      <w:pPr>
        <w:ind w:left="3360" w:firstLine="0"/>
      </w:pPr>
      <w:rPr>
        <w:rFonts w:hint="eastAsia"/>
      </w:rPr>
    </w:lvl>
    <w:lvl w:ilvl="1">
      <w:start w:val="1"/>
      <w:numFmt w:val="decimal"/>
      <w:suff w:val="nothing"/>
      <w:lvlText w:val="第%2节"/>
      <w:lvlJc w:val="left"/>
      <w:pPr>
        <w:ind w:left="3360" w:firstLine="0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3360" w:firstLine="0"/>
      </w:pPr>
      <w:rPr>
        <w:rFonts w:hint="eastAsia"/>
      </w:rPr>
    </w:lvl>
    <w:lvl w:ilvl="3">
      <w:start w:val="1"/>
      <w:numFmt w:val="decimal"/>
      <w:suff w:val="nothing"/>
      <w:lvlText w:val="%4"/>
      <w:lvlJc w:val="left"/>
      <w:pPr>
        <w:ind w:left="3360" w:firstLine="0"/>
      </w:pPr>
      <w:rPr>
        <w:rFonts w:hint="eastAsia"/>
      </w:rPr>
    </w:lvl>
    <w:lvl w:ilvl="4">
      <w:start w:val="1"/>
      <w:numFmt w:val="decimal"/>
      <w:suff w:val="nothing"/>
      <w:lvlText w:val="%5"/>
      <w:lvlJc w:val="left"/>
      <w:pPr>
        <w:ind w:left="3360" w:firstLine="0"/>
      </w:pPr>
      <w:rPr>
        <w:rFonts w:hint="eastAsia"/>
      </w:rPr>
    </w:lvl>
    <w:lvl w:ilvl="5">
      <w:start w:val="1"/>
      <w:numFmt w:val="none"/>
      <w:suff w:val="nothing"/>
      <w:lvlJc w:val="left"/>
      <w:pPr>
        <w:ind w:left="3360" w:firstLine="0"/>
      </w:pPr>
      <w:rPr>
        <w:rFonts w:hint="eastAsia"/>
      </w:rPr>
    </w:lvl>
    <w:lvl w:ilvl="6">
      <w:start w:val="1"/>
      <w:numFmt w:val="none"/>
      <w:suff w:val="nothing"/>
      <w:lvlJc w:val="left"/>
      <w:pPr>
        <w:ind w:left="3360" w:firstLine="0"/>
      </w:pPr>
      <w:rPr>
        <w:rFonts w:hint="eastAsia"/>
      </w:rPr>
    </w:lvl>
    <w:lvl w:ilvl="7">
      <w:start w:val="1"/>
      <w:numFmt w:val="none"/>
      <w:suff w:val="nothing"/>
      <w:lvlJc w:val="left"/>
      <w:pPr>
        <w:ind w:left="3360" w:firstLine="0"/>
      </w:pPr>
      <w:rPr>
        <w:rFonts w:hint="eastAsia"/>
      </w:rPr>
    </w:lvl>
    <w:lvl w:ilvl="8">
      <w:start w:val="1"/>
      <w:numFmt w:val="none"/>
      <w:suff w:val="nothing"/>
      <w:lvlJc w:val="left"/>
      <w:pPr>
        <w:ind w:left="336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HorizontalSpacing w:val="105"/>
  <w:drawingGridVerticalSpacing w:val="278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pacing w:line="360" w:lineRule="auto"/>
      <w:jc w:val="both"/>
    </w:pPr>
    <w:rPr>
      <w:rFonts w:ascii="宋体" w:hAnsi="华文细黑"/>
      <w:color w:val="000000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numPr>
        <w:ilvl w:val="0"/>
        <w:numId w:val="1"/>
      </w:numPr>
      <w:tabs>
        <w:tab w:val="left" w:pos="720"/>
      </w:tabs>
      <w:kinsoku w:val="0"/>
      <w:wordWrap w:val="0"/>
      <w:overflowPunct w:val="0"/>
      <w:topLinePunct/>
      <w:autoSpaceDE w:val="0"/>
      <w:autoSpaceDN w:val="0"/>
      <w:spacing w:before="100" w:beforeLines="0" w:beforeAutospacing="1" w:after="100" w:afterLines="0" w:afterAutospacing="1" w:line="240" w:lineRule="auto"/>
      <w:ind w:left="210" w:right="214" w:firstLine="420" w:leftChars="100" w:rightChars="102"/>
      <w:jc w:val="left"/>
      <w:outlineLvl w:val="0"/>
    </w:pPr>
    <w:rPr>
      <w:b/>
      <w:bCs/>
      <w:kern w:val="44"/>
      <w:sz w:val="28"/>
      <w:szCs w:val="44"/>
    </w:rPr>
  </w:style>
  <w:style w:type="paragraph" w:styleId="Heading2">
    <w:name w:val="heading 2"/>
    <w:basedOn w:val="Normal"/>
    <w:next w:val="Normal"/>
    <w:uiPriority w:val="9"/>
    <w:qFormat/>
    <w:pPr>
      <w:numPr>
        <w:ilvl w:val="1"/>
        <w:numId w:val="1"/>
      </w:numPr>
      <w:tabs>
        <w:tab w:val="left" w:pos="1140"/>
      </w:tabs>
      <w:kinsoku w:val="0"/>
      <w:wordWrap w:val="0"/>
      <w:overflowPunct w:val="0"/>
      <w:topLinePunct/>
      <w:autoSpaceDE w:val="0"/>
      <w:autoSpaceDN w:val="0"/>
      <w:spacing w:before="100" w:beforeLines="0" w:beforeAutospacing="1" w:after="100" w:afterLines="0" w:afterAutospacing="1" w:line="240" w:lineRule="auto"/>
      <w:ind w:left="100" w:right="102" w:firstLine="420" w:leftChars="100" w:rightChars="102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Heading3">
    <w:name w:val="heading 3"/>
    <w:basedOn w:val="Normal"/>
    <w:next w:val="Normal"/>
    <w:uiPriority w:val="9"/>
    <w:qFormat/>
    <w:pPr>
      <w:numPr>
        <w:ilvl w:val="2"/>
        <w:numId w:val="1"/>
      </w:numPr>
      <w:tabs>
        <w:tab w:val="left" w:pos="1560"/>
      </w:tabs>
      <w:kinsoku w:val="0"/>
      <w:wordWrap w:val="0"/>
      <w:overflowPunct w:val="0"/>
      <w:topLinePunct/>
      <w:autoSpaceDE w:val="0"/>
      <w:autoSpaceDN w:val="0"/>
      <w:spacing w:before="100" w:beforeLines="0" w:beforeAutospacing="1" w:after="100" w:afterLines="0" w:afterAutospacing="1" w:line="240" w:lineRule="auto"/>
      <w:ind w:left="100" w:right="102" w:firstLine="420" w:leftChars="100" w:rightChars="102"/>
      <w:jc w:val="left"/>
      <w:outlineLvl w:val="2"/>
    </w:pPr>
    <w:rPr>
      <w:b/>
      <w:bCs/>
      <w:sz w:val="28"/>
      <w:szCs w:val="32"/>
    </w:rPr>
  </w:style>
  <w:style w:type="paragraph" w:styleId="Heading4">
    <w:name w:val="heading 4"/>
    <w:basedOn w:val="Normal"/>
    <w:next w:val="Normal"/>
    <w:uiPriority w:val="9"/>
    <w:qFormat/>
    <w:pPr>
      <w:numPr>
        <w:ilvl w:val="3"/>
        <w:numId w:val="1"/>
      </w:numPr>
      <w:tabs>
        <w:tab w:val="left" w:pos="2000"/>
      </w:tabs>
      <w:kinsoku w:val="0"/>
      <w:wordWrap w:val="0"/>
      <w:overflowPunct w:val="0"/>
      <w:topLinePunct/>
      <w:autoSpaceDE w:val="0"/>
      <w:autoSpaceDN w:val="0"/>
      <w:spacing w:before="100" w:beforeLines="0" w:beforeAutospacing="1" w:after="100" w:afterLines="0" w:afterAutospacing="1" w:line="240" w:lineRule="auto"/>
      <w:ind w:left="100" w:right="102" w:firstLine="420" w:leftChars="100" w:rightChars="102"/>
      <w:jc w:val="left"/>
      <w:outlineLvl w:val="3"/>
    </w:pPr>
    <w:rPr>
      <w:rFonts w:ascii="Arial" w:hAnsi="Arial"/>
      <w:b/>
      <w:bCs/>
      <w:sz w:val="28"/>
      <w:szCs w:val="28"/>
    </w:rPr>
  </w:style>
  <w:style w:type="paragraph" w:styleId="Heading5">
    <w:name w:val="heading 5"/>
    <w:basedOn w:val="Normal"/>
    <w:next w:val="Normal"/>
    <w:uiPriority w:val="9"/>
    <w:qFormat/>
    <w:pPr>
      <w:numPr>
        <w:ilvl w:val="4"/>
        <w:numId w:val="1"/>
      </w:numPr>
      <w:tabs>
        <w:tab w:val="left" w:pos="2420"/>
      </w:tabs>
      <w:kinsoku w:val="0"/>
      <w:wordWrap w:val="0"/>
      <w:overflowPunct w:val="0"/>
      <w:topLinePunct/>
      <w:autoSpaceDE w:val="0"/>
      <w:autoSpaceDN w:val="0"/>
      <w:spacing w:before="100" w:beforeLines="0" w:beforeAutospacing="1" w:after="100" w:afterLines="0" w:afterAutospacing="1" w:line="240" w:lineRule="auto"/>
      <w:ind w:left="100" w:right="102" w:firstLine="420" w:leftChars="100" w:rightChars="102"/>
      <w:jc w:val="left"/>
      <w:outlineLvl w:val="4"/>
    </w:pPr>
    <w:rPr>
      <w:bCs/>
      <w:sz w:val="28"/>
      <w:szCs w:val="28"/>
    </w:rPr>
  </w:style>
  <w:style w:type="paragraph" w:styleId="Heading6">
    <w:name w:val="heading 6"/>
    <w:basedOn w:val="Normal"/>
    <w:next w:val="Normal"/>
    <w:uiPriority w:val="9"/>
    <w:qFormat/>
    <w:pPr>
      <w:numPr>
        <w:ilvl w:val="5"/>
        <w:numId w:val="1"/>
      </w:numPr>
      <w:tabs>
        <w:tab w:val="left" w:pos="3260"/>
      </w:tabs>
      <w:kinsoku w:val="0"/>
      <w:wordWrap w:val="0"/>
      <w:overflowPunct w:val="0"/>
      <w:topLinePunct/>
      <w:autoSpaceDE w:val="0"/>
      <w:autoSpaceDN w:val="0"/>
      <w:spacing w:before="100" w:beforeLines="0" w:beforeAutospacing="1" w:after="100" w:afterLines="0" w:afterAutospacing="1" w:line="240" w:lineRule="auto"/>
      <w:ind w:left="100" w:right="102" w:firstLine="420" w:leftChars="100" w:rightChars="102"/>
      <w:jc w:val="left"/>
      <w:outlineLvl w:val="5"/>
    </w:pPr>
    <w:rPr>
      <w:rFonts w:ascii="Arial" w:hAnsi="Arial"/>
      <w:bCs/>
      <w:sz w:val="28"/>
    </w:rPr>
  </w:style>
  <w:style w:type="paragraph" w:styleId="Heading7">
    <w:name w:val="heading 7"/>
    <w:basedOn w:val="Normal"/>
    <w:next w:val="Normal"/>
    <w:uiPriority w:val="9"/>
    <w:qFormat/>
    <w:pPr>
      <w:numPr>
        <w:ilvl w:val="6"/>
        <w:numId w:val="1"/>
      </w:numPr>
      <w:tabs>
        <w:tab w:val="left" w:pos="4720"/>
      </w:tabs>
      <w:kinsoku w:val="0"/>
      <w:wordWrap w:val="0"/>
      <w:overflowPunct w:val="0"/>
      <w:topLinePunct/>
      <w:autoSpaceDE w:val="0"/>
      <w:autoSpaceDN w:val="0"/>
      <w:spacing w:before="100" w:beforeLines="0" w:beforeAutospacing="1" w:after="100" w:afterLines="0" w:afterAutospacing="1" w:line="240" w:lineRule="auto"/>
      <w:ind w:left="100" w:right="102" w:firstLine="420" w:leftChars="100" w:rightChars="102"/>
      <w:jc w:val="left"/>
      <w:outlineLvl w:val="6"/>
    </w:pPr>
    <w:rPr>
      <w:b/>
      <w:bCs/>
      <w:sz w:val="28"/>
    </w:rPr>
  </w:style>
  <w:style w:type="paragraph" w:styleId="Heading8">
    <w:name w:val="heading 8"/>
    <w:basedOn w:val="Normal"/>
    <w:next w:val="Normal"/>
    <w:uiPriority w:val="9"/>
    <w:qFormat/>
    <w:pPr>
      <w:numPr>
        <w:ilvl w:val="7"/>
        <w:numId w:val="1"/>
      </w:numPr>
      <w:tabs>
        <w:tab w:val="left" w:pos="5140"/>
      </w:tabs>
      <w:kinsoku w:val="0"/>
      <w:wordWrap w:val="0"/>
      <w:overflowPunct w:val="0"/>
      <w:topLinePunct/>
      <w:autoSpaceDE w:val="0"/>
      <w:autoSpaceDN w:val="0"/>
      <w:spacing w:before="100" w:beforeLines="0" w:beforeAutospacing="1" w:after="100" w:afterLines="0" w:afterAutospacing="1" w:line="240" w:lineRule="auto"/>
      <w:ind w:left="100" w:right="102" w:firstLine="420" w:leftChars="100" w:rightChars="102"/>
      <w:jc w:val="left"/>
      <w:outlineLvl w:val="7"/>
    </w:pPr>
    <w:rPr>
      <w:rFonts w:ascii="Arial" w:hAnsi="Arial"/>
      <w:b/>
      <w:sz w:val="28"/>
    </w:rPr>
  </w:style>
  <w:style w:type="paragraph" w:styleId="Heading9">
    <w:name w:val="heading 9"/>
    <w:basedOn w:val="Normal"/>
    <w:next w:val="Normal"/>
    <w:uiPriority w:val="9"/>
    <w:qFormat/>
    <w:pPr>
      <w:numPr>
        <w:ilvl w:val="8"/>
        <w:numId w:val="1"/>
      </w:numPr>
      <w:tabs>
        <w:tab w:val="left" w:pos="5920"/>
      </w:tabs>
      <w:kinsoku w:val="0"/>
      <w:wordWrap w:val="0"/>
      <w:overflowPunct w:val="0"/>
      <w:topLinePunct/>
      <w:autoSpaceDE w:val="0"/>
      <w:autoSpaceDN w:val="0"/>
      <w:spacing w:before="100" w:beforeLines="0" w:beforeAutospacing="1" w:after="100" w:afterLines="0" w:afterAutospacing="1" w:line="240" w:lineRule="auto"/>
      <w:ind w:left="100" w:right="102" w:firstLine="420" w:leftChars="100" w:rightChars="102"/>
      <w:jc w:val="left"/>
      <w:outlineLvl w:val="8"/>
    </w:pPr>
    <w:rPr>
      <w:rFonts w:ascii="Arial" w:hAnsi="Arial"/>
      <w:b/>
      <w:sz w:val="28"/>
      <w:szCs w:val="21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TOC8">
    <w:name w:val="toc 8"/>
    <w:basedOn w:val="Normal"/>
    <w:next w:val="Normal"/>
    <w:uiPriority w:val="39"/>
    <w:pPr>
      <w:ind w:left="2940" w:leftChars="1400"/>
    </w:pPr>
  </w:style>
  <w:style w:type="paragraph" w:styleId="TOC4">
    <w:name w:val="toc 4"/>
    <w:basedOn w:val="Normal"/>
    <w:next w:val="Normal"/>
    <w:uiPriority w:val="39"/>
    <w:pPr>
      <w:ind w:left="1260" w:leftChars="600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kinsoku w:val="0"/>
      <w:wordWrap w:val="0"/>
      <w:overflowPunct w:val="0"/>
      <w:topLinePunct/>
      <w:autoSpaceDE w:val="0"/>
      <w:autoSpaceDN w:val="0"/>
      <w:snapToGrid w:val="0"/>
      <w:spacing w:before="100" w:beforeLines="0" w:beforeAutospacing="1" w:after="100" w:afterLines="0" w:afterAutospacing="1" w:line="240" w:lineRule="auto"/>
      <w:ind w:left="106" w:right="106" w:leftChars="106" w:rightChars="106"/>
      <w:jc w:val="left"/>
    </w:pPr>
    <w:rPr>
      <w:sz w:val="18"/>
      <w:szCs w:val="18"/>
    </w:rPr>
  </w:style>
  <w:style w:type="paragraph" w:styleId="TOC7">
    <w:name w:val="toc 7"/>
    <w:basedOn w:val="Normal"/>
    <w:next w:val="Normal"/>
    <w:uiPriority w:val="39"/>
    <w:pPr>
      <w:ind w:left="2520" w:leftChars="1200"/>
    </w:pPr>
  </w:style>
  <w:style w:type="paragraph" w:styleId="TOC6">
    <w:name w:val="toc 6"/>
    <w:basedOn w:val="Normal"/>
    <w:next w:val="Normal"/>
    <w:uiPriority w:val="39"/>
    <w:pPr>
      <w:ind w:left="2100" w:leftChars="1000"/>
    </w:p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kinsoku w:val="0"/>
      <w:wordWrap w:val="0"/>
      <w:overflowPunct w:val="0"/>
      <w:topLinePunct/>
      <w:autoSpaceDN w:val="0"/>
      <w:snapToGrid w:val="0"/>
      <w:spacing w:before="100" w:beforeLines="0" w:beforeAutospacing="1" w:after="100" w:afterLines="0" w:afterAutospacing="1" w:line="240" w:lineRule="auto"/>
      <w:ind w:left="106" w:right="106" w:leftChars="106" w:rightChars="106"/>
      <w:jc w:val="left"/>
    </w:pPr>
    <w:rPr>
      <w:sz w:val="18"/>
      <w:szCs w:val="18"/>
    </w:rPr>
  </w:style>
  <w:style w:type="paragraph" w:styleId="DocumentMap">
    <w:name w:val="Document Map"/>
    <w:basedOn w:val="Normal"/>
    <w:pPr>
      <w:shd w:val="clear" w:color="auto" w:fill="000080"/>
    </w:p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TOC9">
    <w:name w:val="toc 9"/>
    <w:basedOn w:val="Normal"/>
    <w:next w:val="Normal"/>
    <w:uiPriority w:val="39"/>
    <w:pPr>
      <w:ind w:left="3360" w:leftChars="160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Title">
    <w:name w:val="Title"/>
    <w:basedOn w:val="Normal"/>
    <w:next w:val="Normal"/>
    <w:uiPriority w:val="10"/>
    <w:qFormat/>
    <w:pPr>
      <w:spacing w:before="240" w:beforeLines="0" w:after="60" w:afterLines="0"/>
      <w:jc w:val="center"/>
      <w:outlineLvl w:val="0"/>
    </w:pPr>
    <w:rPr>
      <w:rFonts w:ascii="楷体_GB2312" w:eastAsia="楷体_GB2312" w:hAnsi="Arial" w:cs="Arial"/>
      <w:bCs/>
      <w:color w:val="auto"/>
      <w:sz w:val="48"/>
      <w:szCs w:val="48"/>
    </w:rPr>
  </w:style>
  <w:style w:type="paragraph" w:styleId="TOC1">
    <w:name w:val="toc 1"/>
    <w:basedOn w:val="Normal"/>
    <w:next w:val="Normal"/>
    <w:uiPriority w:val="39"/>
  </w:style>
  <w:style w:type="paragraph" w:styleId="E-mailSignature">
    <w:name w:val="E-mail Signature"/>
    <w:basedOn w:val="Normal"/>
  </w:style>
  <w:style w:type="paragraph" w:styleId="TOC5">
    <w:name w:val="toc 5"/>
    <w:basedOn w:val="Normal"/>
    <w:next w:val="Normal"/>
    <w:uiPriority w:val="39"/>
    <w:pPr>
      <w:ind w:left="1680" w:leftChars="800"/>
    </w:p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..ì." w:eastAsia="..ì."/>
      <w:color w:val="000000"/>
      <w:sz w:val="24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600104404001010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&#26631;&#20070;&#26679;&#24335;&#31456;&#33410;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标书样式章节</Template>
  <TotalTime>0</TotalTime>
  <Pages>6</Pages>
  <Words>1694</Words>
  <Characters>9656</Characters>
  <Application>Microsoft Office Word</Application>
  <DocSecurity>0</DocSecurity>
  <Lines>80</Lines>
  <Paragraphs>22</Paragraphs>
  <ScaleCrop>false</ScaleCrop>
  <Company>www.jxdong.com</Company>
  <LinksUpToDate>false</LinksUpToDate>
  <CharactersWithSpaces>11328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蔫呼呼</dc:title>
  <dc:creator>yourname</dc:creator>
  <cp:lastModifiedBy>微软用户</cp:lastModifiedBy>
  <cp:revision>36</cp:revision>
  <cp:lastPrinted>2011-06-07T10:19:00Z</cp:lastPrinted>
  <dcterms:created xsi:type="dcterms:W3CDTF">2008-08-22T04:29:00Z</dcterms:created>
  <dcterms:modified xsi:type="dcterms:W3CDTF">2012-04-15T09:37:00Z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