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计量标准器具：化学计量标准器具竞争策略分析报告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496" w:history="1">
        <w:r>
          <w:rPr>
            <w:rFonts w:ascii="仿宋" w:eastAsia="仿宋" w:hAnsi="仿宋" w:cs="仿宋" w:hint="eastAsia"/>
            <w:lang w:val="en-GB"/>
          </w:rPr>
          <w:t>前言</w:t>
        </w:r>
        <w:r>
          <w:tab/>
        </w:r>
        <w:r>
          <w:fldChar w:fldCharType="begin"/>
        </w:r>
        <w:r>
          <w:instrText xml:space="preserve"> PAGEREF _Toc31496 \h </w:instrText>
        </w:r>
        <w:r>
          <w:fldChar w:fldCharType="separate"/>
        </w:r>
        <w:r>
          <w:t>3</w:t>
        </w:r>
        <w:r>
          <w:fldChar w:fldCharType="end"/>
        </w:r>
      </w:hyperlink>
    </w:p>
    <w:p>
      <w:pPr>
        <w:pStyle w:val="TOC1"/>
        <w:tabs>
          <w:tab w:val="right" w:leader="dot" w:pos="8306"/>
        </w:tabs>
      </w:pPr>
      <w:hyperlink w:anchor="_Toc18669" w:history="1">
        <w:r>
          <w:rPr>
            <w:rFonts w:ascii="仿宋" w:eastAsia="仿宋" w:hAnsi="仿宋" w:cs="仿宋" w:hint="eastAsia"/>
            <w:lang w:val="en-GB"/>
          </w:rPr>
          <w:t>一、计量标准器具：化学计量标准器具危机管理与应对策略</w:t>
        </w:r>
        <w:r>
          <w:tab/>
        </w:r>
        <w:r>
          <w:fldChar w:fldCharType="begin"/>
        </w:r>
        <w:r>
          <w:instrText xml:space="preserve"> PAGEREF _Toc18669 \h </w:instrText>
        </w:r>
        <w:r>
          <w:fldChar w:fldCharType="separate"/>
        </w:r>
        <w:r>
          <w:t>3</w:t>
        </w:r>
        <w:r>
          <w:fldChar w:fldCharType="end"/>
        </w:r>
      </w:hyperlink>
    </w:p>
    <w:p>
      <w:pPr>
        <w:pStyle w:val="TOC2"/>
        <w:tabs>
          <w:tab w:val="right" w:leader="dot" w:pos="8306"/>
        </w:tabs>
      </w:pPr>
      <w:hyperlink w:anchor="_Toc25772" w:history="1">
        <w:r>
          <w:rPr>
            <w:rFonts w:ascii="仿宋" w:eastAsia="仿宋" w:hAnsi="仿宋" w:cs="仿宋" w:hint="eastAsia"/>
            <w:lang w:val="en-GB"/>
          </w:rPr>
          <w:t>(一)、危机预警与应急计划</w:t>
        </w:r>
        <w:r>
          <w:tab/>
        </w:r>
        <w:r>
          <w:fldChar w:fldCharType="begin"/>
        </w:r>
        <w:r>
          <w:instrText xml:space="preserve"> PAGEREF _Toc25772 \h </w:instrText>
        </w:r>
        <w:r>
          <w:fldChar w:fldCharType="separate"/>
        </w:r>
        <w:r>
          <w:t>3</w:t>
        </w:r>
        <w:r>
          <w:fldChar w:fldCharType="end"/>
        </w:r>
      </w:hyperlink>
    </w:p>
    <w:p>
      <w:pPr>
        <w:pStyle w:val="TOC2"/>
        <w:tabs>
          <w:tab w:val="right" w:leader="dot" w:pos="8306"/>
        </w:tabs>
      </w:pPr>
      <w:hyperlink w:anchor="_Toc12628" w:history="1">
        <w:r>
          <w:rPr>
            <w:rFonts w:ascii="仿宋" w:eastAsia="仿宋" w:hAnsi="仿宋" w:cs="仿宋" w:hint="eastAsia"/>
            <w:lang w:val="en-GB"/>
          </w:rPr>
          <w:t>(二)、公关与危机沟通</w:t>
        </w:r>
        <w:r>
          <w:tab/>
        </w:r>
        <w:r>
          <w:fldChar w:fldCharType="begin"/>
        </w:r>
        <w:r>
          <w:instrText xml:space="preserve"> PAGEREF _Toc12628 \h </w:instrText>
        </w:r>
        <w:r>
          <w:fldChar w:fldCharType="separate"/>
        </w:r>
        <w:r>
          <w:t>4</w:t>
        </w:r>
        <w:r>
          <w:fldChar w:fldCharType="end"/>
        </w:r>
      </w:hyperlink>
    </w:p>
    <w:p>
      <w:pPr>
        <w:pStyle w:val="TOC2"/>
        <w:tabs>
          <w:tab w:val="right" w:leader="dot" w:pos="8306"/>
        </w:tabs>
      </w:pPr>
      <w:hyperlink w:anchor="_Toc6942" w:history="1">
        <w:r>
          <w:rPr>
            <w:rFonts w:ascii="仿宋" w:eastAsia="仿宋" w:hAnsi="仿宋" w:cs="仿宋" w:hint="eastAsia"/>
            <w:lang w:val="en-GB"/>
          </w:rPr>
          <w:t>(三)、媒体关系与舆情管理</w:t>
        </w:r>
        <w:r>
          <w:tab/>
        </w:r>
        <w:r>
          <w:fldChar w:fldCharType="begin"/>
        </w:r>
        <w:r>
          <w:instrText xml:space="preserve"> PAGEREF _Toc6942 \h </w:instrText>
        </w:r>
        <w:r>
          <w:fldChar w:fldCharType="separate"/>
        </w:r>
        <w:r>
          <w:t>6</w:t>
        </w:r>
        <w:r>
          <w:fldChar w:fldCharType="end"/>
        </w:r>
      </w:hyperlink>
    </w:p>
    <w:p>
      <w:pPr>
        <w:pStyle w:val="TOC2"/>
        <w:tabs>
          <w:tab w:val="right" w:leader="dot" w:pos="8306"/>
        </w:tabs>
      </w:pPr>
      <w:hyperlink w:anchor="_Toc8239" w:history="1">
        <w:r>
          <w:rPr>
            <w:rFonts w:ascii="仿宋" w:eastAsia="仿宋" w:hAnsi="仿宋" w:cs="仿宋" w:hint="eastAsia"/>
            <w:lang w:val="en-GB"/>
          </w:rPr>
          <w:t>(四)、企业社会责任与危机回应</w:t>
        </w:r>
        <w:r>
          <w:tab/>
        </w:r>
        <w:r>
          <w:fldChar w:fldCharType="begin"/>
        </w:r>
        <w:r>
          <w:instrText xml:space="preserve"> PAGEREF _Toc8239 \h </w:instrText>
        </w:r>
        <w:r>
          <w:fldChar w:fldCharType="separate"/>
        </w:r>
        <w:r>
          <w:t>7</w:t>
        </w:r>
        <w:r>
          <w:fldChar w:fldCharType="end"/>
        </w:r>
      </w:hyperlink>
    </w:p>
    <w:p>
      <w:pPr>
        <w:pStyle w:val="TOC1"/>
        <w:tabs>
          <w:tab w:val="right" w:leader="dot" w:pos="8306"/>
        </w:tabs>
      </w:pPr>
      <w:hyperlink w:anchor="_Toc29856" w:history="1">
        <w:r>
          <w:rPr>
            <w:rFonts w:ascii="仿宋" w:eastAsia="仿宋" w:hAnsi="仿宋" w:cs="仿宋" w:hint="eastAsia"/>
            <w:lang w:val="en-GB"/>
          </w:rPr>
          <w:t>二、市场地位与竞争战略</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2955" w:history="1">
        <w:r>
          <w:rPr>
            <w:rFonts w:ascii="仿宋" w:eastAsia="仿宋" w:hAnsi="仿宋" w:cs="仿宋" w:hint="eastAsia"/>
            <w:lang w:val="en-GB"/>
          </w:rPr>
          <w:t>(一)、顾客忠诚</w:t>
        </w:r>
        <w:r>
          <w:tab/>
        </w:r>
        <w:r>
          <w:fldChar w:fldCharType="begin"/>
        </w:r>
        <w:r>
          <w:instrText xml:space="preserve"> PAGEREF _Toc2955 \h </w:instrText>
        </w:r>
        <w:r>
          <w:fldChar w:fldCharType="separate"/>
        </w:r>
        <w:r>
          <w:t>8</w:t>
        </w:r>
        <w:r>
          <w:fldChar w:fldCharType="end"/>
        </w:r>
      </w:hyperlink>
    </w:p>
    <w:p>
      <w:pPr>
        <w:pStyle w:val="TOC2"/>
        <w:tabs>
          <w:tab w:val="right" w:leader="dot" w:pos="8306"/>
        </w:tabs>
      </w:pPr>
      <w:hyperlink w:anchor="_Toc3200" w:history="1">
        <w:r>
          <w:rPr>
            <w:rFonts w:ascii="仿宋" w:eastAsia="仿宋" w:hAnsi="仿宋" w:cs="仿宋" w:hint="eastAsia"/>
            <w:lang w:val="en-GB"/>
          </w:rPr>
          <w:t>(二)、全面质量管理</w:t>
        </w:r>
        <w:r>
          <w:tab/>
        </w:r>
        <w:r>
          <w:fldChar w:fldCharType="begin"/>
        </w:r>
        <w:r>
          <w:instrText xml:space="preserve"> PAGEREF _Toc3200 \h </w:instrText>
        </w:r>
        <w:r>
          <w:fldChar w:fldCharType="separate"/>
        </w:r>
        <w:r>
          <w:t>10</w:t>
        </w:r>
        <w:r>
          <w:fldChar w:fldCharType="end"/>
        </w:r>
      </w:hyperlink>
    </w:p>
    <w:p>
      <w:pPr>
        <w:pStyle w:val="TOC2"/>
        <w:tabs>
          <w:tab w:val="right" w:leader="dot" w:pos="8306"/>
        </w:tabs>
      </w:pPr>
      <w:hyperlink w:anchor="_Toc28975" w:history="1">
        <w:r>
          <w:rPr>
            <w:rFonts w:ascii="仿宋" w:eastAsia="仿宋" w:hAnsi="仿宋" w:cs="仿宋" w:hint="eastAsia"/>
            <w:lang w:val="en-GB"/>
          </w:rPr>
          <w:t>(三)、研究市场营销学的意义</w:t>
        </w:r>
        <w:r>
          <w:tab/>
        </w:r>
        <w:r>
          <w:fldChar w:fldCharType="begin"/>
        </w:r>
        <w:r>
          <w:instrText xml:space="preserve"> PAGEREF _Toc28975 \h </w:instrText>
        </w:r>
        <w:r>
          <w:fldChar w:fldCharType="separate"/>
        </w:r>
        <w:r>
          <w:t>11</w:t>
        </w:r>
        <w:r>
          <w:fldChar w:fldCharType="end"/>
        </w:r>
      </w:hyperlink>
    </w:p>
    <w:p>
      <w:pPr>
        <w:pStyle w:val="TOC2"/>
        <w:tabs>
          <w:tab w:val="right" w:leader="dot" w:pos="8306"/>
        </w:tabs>
      </w:pPr>
      <w:hyperlink w:anchor="_Toc8812" w:history="1">
        <w:r>
          <w:rPr>
            <w:rFonts w:ascii="仿宋" w:eastAsia="仿宋" w:hAnsi="仿宋" w:cs="仿宋" w:hint="eastAsia"/>
            <w:lang w:val="en-GB"/>
          </w:rPr>
          <w:t>(四)、市场营销学的研究方法</w:t>
        </w:r>
        <w:r>
          <w:tab/>
        </w:r>
        <w:r>
          <w:fldChar w:fldCharType="begin"/>
        </w:r>
        <w:r>
          <w:instrText xml:space="preserve"> PAGEREF _Toc8812 \h </w:instrText>
        </w:r>
        <w:r>
          <w:fldChar w:fldCharType="separate"/>
        </w:r>
        <w:r>
          <w:t>12</w:t>
        </w:r>
        <w:r>
          <w:fldChar w:fldCharType="end"/>
        </w:r>
      </w:hyperlink>
    </w:p>
    <w:p>
      <w:pPr>
        <w:pStyle w:val="TOC2"/>
        <w:tabs>
          <w:tab w:val="right" w:leader="dot" w:pos="8306"/>
        </w:tabs>
      </w:pPr>
      <w:hyperlink w:anchor="_Toc28423" w:history="1">
        <w:r>
          <w:rPr>
            <w:rFonts w:ascii="仿宋" w:eastAsia="仿宋" w:hAnsi="仿宋" w:cs="仿宋" w:hint="eastAsia"/>
            <w:lang w:val="en-GB"/>
          </w:rPr>
          <w:t>(五)、选择进攻战略</w:t>
        </w:r>
        <w:r>
          <w:tab/>
        </w:r>
        <w:r>
          <w:fldChar w:fldCharType="begin"/>
        </w:r>
        <w:r>
          <w:instrText xml:space="preserve"> PAGEREF _Toc28423 \h </w:instrText>
        </w:r>
        <w:r>
          <w:fldChar w:fldCharType="separate"/>
        </w:r>
        <w:r>
          <w:t>13</w:t>
        </w:r>
        <w:r>
          <w:fldChar w:fldCharType="end"/>
        </w:r>
      </w:hyperlink>
    </w:p>
    <w:p>
      <w:pPr>
        <w:pStyle w:val="TOC2"/>
        <w:tabs>
          <w:tab w:val="right" w:leader="dot" w:pos="8306"/>
        </w:tabs>
      </w:pPr>
      <w:hyperlink w:anchor="_Toc11695" w:history="1">
        <w:r>
          <w:rPr>
            <w:rFonts w:ascii="仿宋" w:eastAsia="仿宋" w:hAnsi="仿宋" w:cs="仿宋" w:hint="eastAsia"/>
            <w:lang w:val="en-GB"/>
          </w:rPr>
          <w:t>(六)、确定战略目标与竞争对手</w:t>
        </w:r>
        <w:r>
          <w:tab/>
        </w:r>
        <w:r>
          <w:fldChar w:fldCharType="begin"/>
        </w:r>
        <w:r>
          <w:instrText xml:space="preserve"> PAGEREF _Toc11695 \h </w:instrText>
        </w:r>
        <w:r>
          <w:fldChar w:fldCharType="separate"/>
        </w:r>
        <w:r>
          <w:t>15</w:t>
        </w:r>
        <w:r>
          <w:fldChar w:fldCharType="end"/>
        </w:r>
      </w:hyperlink>
    </w:p>
    <w:p>
      <w:pPr>
        <w:pStyle w:val="TOC2"/>
        <w:tabs>
          <w:tab w:val="right" w:leader="dot" w:pos="8306"/>
        </w:tabs>
      </w:pPr>
      <w:hyperlink w:anchor="_Toc29693" w:history="1">
        <w:r>
          <w:rPr>
            <w:rFonts w:ascii="仿宋" w:eastAsia="仿宋" w:hAnsi="仿宋" w:cs="仿宋" w:hint="eastAsia"/>
            <w:lang w:val="en-GB"/>
          </w:rPr>
          <w:t>(七)、市场追随者战略</w:t>
        </w:r>
        <w:r>
          <w:tab/>
        </w:r>
        <w:r>
          <w:fldChar w:fldCharType="begin"/>
        </w:r>
        <w:r>
          <w:instrText xml:space="preserve"> PAGEREF _Toc29693 \h </w:instrText>
        </w:r>
        <w:r>
          <w:fldChar w:fldCharType="separate"/>
        </w:r>
        <w:r>
          <w:t>17</w:t>
        </w:r>
        <w:r>
          <w:fldChar w:fldCharType="end"/>
        </w:r>
      </w:hyperlink>
    </w:p>
    <w:p>
      <w:pPr>
        <w:pStyle w:val="TOC2"/>
        <w:tabs>
          <w:tab w:val="right" w:leader="dot" w:pos="8306"/>
        </w:tabs>
      </w:pPr>
      <w:hyperlink w:anchor="_Toc2861" w:history="1">
        <w:r>
          <w:rPr>
            <w:rFonts w:ascii="仿宋" w:eastAsia="仿宋" w:hAnsi="仿宋" w:cs="仿宋" w:hint="eastAsia"/>
            <w:lang w:val="en-GB"/>
          </w:rPr>
          <w:t>(八)、市场利基者战略</w:t>
        </w:r>
        <w:r>
          <w:tab/>
        </w:r>
        <w:r>
          <w:fldChar w:fldCharType="begin"/>
        </w:r>
        <w:r>
          <w:instrText xml:space="preserve"> PAGEREF _Toc2861 \h </w:instrText>
        </w:r>
        <w:r>
          <w:fldChar w:fldCharType="separate"/>
        </w:r>
        <w:r>
          <w:t>19</w:t>
        </w:r>
        <w:r>
          <w:fldChar w:fldCharType="end"/>
        </w:r>
      </w:hyperlink>
    </w:p>
    <w:p>
      <w:pPr>
        <w:pStyle w:val="TOC2"/>
        <w:tabs>
          <w:tab w:val="right" w:leader="dot" w:pos="8306"/>
        </w:tabs>
      </w:pPr>
      <w:hyperlink w:anchor="_Toc29824" w:history="1">
        <w:r>
          <w:rPr>
            <w:rFonts w:ascii="仿宋" w:eastAsia="仿宋" w:hAnsi="仿宋" w:cs="仿宋" w:hint="eastAsia"/>
            <w:lang w:val="en-GB"/>
          </w:rPr>
          <w:t>(九)、竞争战略选择</w:t>
        </w:r>
        <w:r>
          <w:tab/>
        </w:r>
        <w:r>
          <w:fldChar w:fldCharType="begin"/>
        </w:r>
        <w:r>
          <w:instrText xml:space="preserve"> PAGEREF _Toc29824 \h </w:instrText>
        </w:r>
        <w:r>
          <w:fldChar w:fldCharType="separate"/>
        </w:r>
        <w:r>
          <w:t>21</w:t>
        </w:r>
        <w:r>
          <w:fldChar w:fldCharType="end"/>
        </w:r>
      </w:hyperlink>
    </w:p>
    <w:p>
      <w:pPr>
        <w:pStyle w:val="TOC2"/>
        <w:tabs>
          <w:tab w:val="right" w:leader="dot" w:pos="8306"/>
        </w:tabs>
      </w:pPr>
      <w:hyperlink w:anchor="_Toc9294" w:history="1">
        <w:r>
          <w:rPr>
            <w:rFonts w:ascii="仿宋" w:eastAsia="仿宋" w:hAnsi="仿宋" w:cs="仿宋" w:hint="eastAsia"/>
            <w:lang w:val="en-GB"/>
          </w:rPr>
          <w:t>(十)、计量标准器具：化学计量标准器具行业竞争者识别</w:t>
        </w:r>
        <w:r>
          <w:tab/>
        </w:r>
        <w:r>
          <w:fldChar w:fldCharType="begin"/>
        </w:r>
        <w:r>
          <w:instrText xml:space="preserve"> PAGEREF _Toc9294 \h </w:instrText>
        </w:r>
        <w:r>
          <w:fldChar w:fldCharType="separate"/>
        </w:r>
        <w:r>
          <w:t>22</w:t>
        </w:r>
        <w:r>
          <w:fldChar w:fldCharType="end"/>
        </w:r>
      </w:hyperlink>
    </w:p>
    <w:p>
      <w:pPr>
        <w:pStyle w:val="TOC1"/>
        <w:tabs>
          <w:tab w:val="right" w:leader="dot" w:pos="8306"/>
        </w:tabs>
      </w:pPr>
      <w:hyperlink w:anchor="_Toc10305" w:history="1">
        <w:r>
          <w:rPr>
            <w:rFonts w:ascii="仿宋" w:eastAsia="仿宋" w:hAnsi="仿宋" w:cs="仿宋" w:hint="eastAsia"/>
            <w:lang w:val="en-GB"/>
          </w:rPr>
          <w:t>三、员工培训与绩效提升</w:t>
        </w:r>
        <w:r>
          <w:tab/>
        </w:r>
        <w:r>
          <w:fldChar w:fldCharType="begin"/>
        </w:r>
        <w:r>
          <w:instrText xml:space="preserve"> PAGEREF _Toc10305 \h </w:instrText>
        </w:r>
        <w:r>
          <w:fldChar w:fldCharType="separate"/>
        </w:r>
        <w:r>
          <w:t>24</w:t>
        </w:r>
        <w:r>
          <w:fldChar w:fldCharType="end"/>
        </w:r>
      </w:hyperlink>
    </w:p>
    <w:p>
      <w:pPr>
        <w:pStyle w:val="TOC2"/>
        <w:tabs>
          <w:tab w:val="right" w:leader="dot" w:pos="8306"/>
        </w:tabs>
      </w:pPr>
      <w:hyperlink w:anchor="_Toc7742" w:history="1">
        <w:r>
          <w:rPr>
            <w:rFonts w:ascii="仿宋" w:eastAsia="仿宋" w:hAnsi="仿宋" w:cs="仿宋" w:hint="eastAsia"/>
            <w:lang w:val="en-GB"/>
          </w:rPr>
          <w:t>(一)、培训需求分析与计划</w:t>
        </w:r>
        <w:r>
          <w:tab/>
        </w:r>
        <w:r>
          <w:fldChar w:fldCharType="begin"/>
        </w:r>
        <w:r>
          <w:instrText xml:space="preserve"> PAGEREF _Toc7742 \h </w:instrText>
        </w:r>
        <w:r>
          <w:fldChar w:fldCharType="separate"/>
        </w:r>
        <w:r>
          <w:t>24</w:t>
        </w:r>
        <w:r>
          <w:fldChar w:fldCharType="end"/>
        </w:r>
      </w:hyperlink>
    </w:p>
    <w:p>
      <w:pPr>
        <w:pStyle w:val="TOC2"/>
        <w:tabs>
          <w:tab w:val="right" w:leader="dot" w:pos="8306"/>
        </w:tabs>
      </w:pPr>
      <w:hyperlink w:anchor="_Toc17145" w:history="1">
        <w:r>
          <w:rPr>
            <w:rFonts w:ascii="仿宋" w:eastAsia="仿宋" w:hAnsi="仿宋" w:cs="仿宋" w:hint="eastAsia"/>
            <w:lang w:val="en-GB"/>
          </w:rPr>
          <w:t>(二)、绩效评价体系与激励机制</w:t>
        </w:r>
        <w:r>
          <w:tab/>
        </w:r>
        <w:r>
          <w:fldChar w:fldCharType="begin"/>
        </w:r>
        <w:r>
          <w:instrText xml:space="preserve"> PAGEREF _Toc17145 \h </w:instrText>
        </w:r>
        <w:r>
          <w:fldChar w:fldCharType="separate"/>
        </w:r>
        <w:r>
          <w:t>25</w:t>
        </w:r>
        <w:r>
          <w:fldChar w:fldCharType="end"/>
        </w:r>
      </w:hyperlink>
    </w:p>
    <w:p>
      <w:pPr>
        <w:pStyle w:val="TOC2"/>
        <w:tabs>
          <w:tab w:val="right" w:leader="dot" w:pos="8306"/>
        </w:tabs>
      </w:pPr>
      <w:hyperlink w:anchor="_Toc23591" w:history="1">
        <w:r>
          <w:rPr>
            <w:rFonts w:ascii="仿宋" w:eastAsia="仿宋" w:hAnsi="仿宋" w:cs="仿宋" w:hint="eastAsia"/>
            <w:lang w:val="en-GB"/>
          </w:rPr>
          <w:t>(三)、职业发展规划与晋升通道</w:t>
        </w:r>
        <w:r>
          <w:tab/>
        </w:r>
        <w:r>
          <w:fldChar w:fldCharType="begin"/>
        </w:r>
        <w:r>
          <w:instrText xml:space="preserve"> PAGEREF _Toc23591 \h </w:instrText>
        </w:r>
        <w:r>
          <w:fldChar w:fldCharType="separate"/>
        </w:r>
        <w:r>
          <w:t>28</w:t>
        </w:r>
        <w:r>
          <w:fldChar w:fldCharType="end"/>
        </w:r>
      </w:hyperlink>
    </w:p>
    <w:p>
      <w:pPr>
        <w:pStyle w:val="TOC2"/>
        <w:tabs>
          <w:tab w:val="right" w:leader="dot" w:pos="8306"/>
        </w:tabs>
      </w:pPr>
      <w:hyperlink w:anchor="_Toc26669" w:history="1">
        <w:r>
          <w:rPr>
            <w:rFonts w:ascii="仿宋" w:eastAsia="仿宋" w:hAnsi="仿宋" w:cs="仿宋" w:hint="eastAsia"/>
            <w:lang w:val="en-GB"/>
          </w:rPr>
          <w:t>(四)、员工满意度与团队凝聚力</w:t>
        </w:r>
        <w:r>
          <w:tab/>
        </w:r>
        <w:r>
          <w:fldChar w:fldCharType="begin"/>
        </w:r>
        <w:r>
          <w:instrText xml:space="preserve"> PAGEREF _Toc26669 \h </w:instrText>
        </w:r>
        <w:r>
          <w:fldChar w:fldCharType="separate"/>
        </w:r>
        <w:r>
          <w:t>29</w:t>
        </w:r>
        <w:r>
          <w:fldChar w:fldCharType="end"/>
        </w:r>
      </w:hyperlink>
    </w:p>
    <w:p>
      <w:pPr>
        <w:pStyle w:val="TOC1"/>
        <w:tabs>
          <w:tab w:val="right" w:leader="dot" w:pos="8306"/>
        </w:tabs>
      </w:pPr>
      <w:hyperlink w:anchor="_Toc13400" w:history="1">
        <w:r>
          <w:rPr>
            <w:rFonts w:ascii="仿宋" w:eastAsia="仿宋" w:hAnsi="仿宋" w:cs="仿宋" w:hint="eastAsia"/>
            <w:lang w:val="en-GB"/>
          </w:rPr>
          <w:t>四、发展规划分析</w:t>
        </w:r>
        <w:r>
          <w:tab/>
        </w:r>
        <w:r>
          <w:fldChar w:fldCharType="begin"/>
        </w:r>
        <w:r>
          <w:instrText xml:space="preserve"> PAGEREF _Toc13400 \h </w:instrText>
        </w:r>
        <w:r>
          <w:fldChar w:fldCharType="separate"/>
        </w:r>
        <w:r>
          <w:t>32</w:t>
        </w:r>
        <w:r>
          <w:fldChar w:fldCharType="end"/>
        </w:r>
      </w:hyperlink>
    </w:p>
    <w:p>
      <w:pPr>
        <w:pStyle w:val="TOC2"/>
        <w:tabs>
          <w:tab w:val="right" w:leader="dot" w:pos="8306"/>
        </w:tabs>
      </w:pPr>
      <w:hyperlink w:anchor="_Toc23120" w:history="1">
        <w:r>
          <w:rPr>
            <w:rFonts w:ascii="仿宋" w:eastAsia="仿宋" w:hAnsi="仿宋" w:cs="仿宋" w:hint="eastAsia"/>
            <w:lang w:val="en-GB"/>
          </w:rPr>
          <w:t>(一)、公司发展规划</w:t>
        </w:r>
        <w:r>
          <w:tab/>
        </w:r>
        <w:r>
          <w:fldChar w:fldCharType="begin"/>
        </w:r>
        <w:r>
          <w:instrText xml:space="preserve"> PAGEREF _Toc23120 \h </w:instrText>
        </w:r>
        <w:r>
          <w:fldChar w:fldCharType="separate"/>
        </w:r>
        <w:r>
          <w:t>32</w:t>
        </w:r>
        <w:r>
          <w:fldChar w:fldCharType="end"/>
        </w:r>
      </w:hyperlink>
    </w:p>
    <w:p>
      <w:pPr>
        <w:pStyle w:val="TOC2"/>
        <w:tabs>
          <w:tab w:val="right" w:leader="dot" w:pos="8306"/>
        </w:tabs>
      </w:pPr>
      <w:hyperlink w:anchor="_Toc30575" w:history="1">
        <w:r>
          <w:rPr>
            <w:rFonts w:ascii="仿宋" w:eastAsia="仿宋" w:hAnsi="仿宋" w:cs="仿宋" w:hint="eastAsia"/>
            <w:lang w:val="en-GB"/>
          </w:rPr>
          <w:t>(二)、保障措施</w:t>
        </w:r>
        <w:r>
          <w:tab/>
        </w:r>
        <w:r>
          <w:fldChar w:fldCharType="begin"/>
        </w:r>
        <w:r>
          <w:instrText xml:space="preserve"> PAGEREF _Toc30575 \h </w:instrText>
        </w:r>
        <w:r>
          <w:fldChar w:fldCharType="separate"/>
        </w:r>
        <w:r>
          <w:t>33</w:t>
        </w:r>
        <w:r>
          <w:fldChar w:fldCharType="end"/>
        </w:r>
      </w:hyperlink>
    </w:p>
    <w:p>
      <w:pPr>
        <w:pStyle w:val="TOC1"/>
        <w:tabs>
          <w:tab w:val="right" w:leader="dot" w:pos="8306"/>
        </w:tabs>
      </w:pPr>
      <w:hyperlink w:anchor="_Toc10160" w:history="1">
        <w:r>
          <w:rPr>
            <w:rFonts w:ascii="仿宋" w:eastAsia="仿宋" w:hAnsi="仿宋" w:cs="仿宋" w:hint="eastAsia"/>
            <w:lang w:val="en-GB"/>
          </w:rPr>
          <w:t>五、计量标准器具：化学计量标准器具行业前景</w:t>
        </w:r>
        <w:r>
          <w:tab/>
        </w:r>
        <w:r>
          <w:fldChar w:fldCharType="begin"/>
        </w:r>
        <w:r>
          <w:instrText xml:space="preserve"> PAGEREF _Toc10160 \h </w:instrText>
        </w:r>
        <w:r>
          <w:fldChar w:fldCharType="separate"/>
        </w:r>
        <w:r>
          <w:t>34</w:t>
        </w:r>
        <w:r>
          <w:fldChar w:fldCharType="end"/>
        </w:r>
      </w:hyperlink>
    </w:p>
    <w:p>
      <w:pPr>
        <w:pStyle w:val="TOC2"/>
        <w:tabs>
          <w:tab w:val="right" w:leader="dot" w:pos="8306"/>
        </w:tabs>
      </w:pPr>
      <w:hyperlink w:anchor="_Toc8702" w:history="1">
        <w:r>
          <w:rPr>
            <w:rFonts w:ascii="仿宋" w:eastAsia="仿宋" w:hAnsi="仿宋" w:cs="仿宋" w:hint="eastAsia"/>
            <w:lang w:val="en-GB"/>
          </w:rPr>
          <w:t>(一)、市场增长预测</w:t>
        </w:r>
        <w:r>
          <w:tab/>
        </w:r>
        <w:r>
          <w:fldChar w:fldCharType="begin"/>
        </w:r>
        <w:r>
          <w:instrText xml:space="preserve"> PAGEREF _Toc8702 \h </w:instrText>
        </w:r>
        <w:r>
          <w:fldChar w:fldCharType="separate"/>
        </w:r>
        <w:r>
          <w:t>34</w:t>
        </w:r>
        <w:r>
          <w:fldChar w:fldCharType="end"/>
        </w:r>
      </w:hyperlink>
    </w:p>
    <w:p>
      <w:pPr>
        <w:pStyle w:val="TOC2"/>
        <w:tabs>
          <w:tab w:val="right" w:leader="dot" w:pos="8306"/>
        </w:tabs>
      </w:pPr>
      <w:hyperlink w:anchor="_Toc27667" w:history="1">
        <w:r>
          <w:rPr>
            <w:rFonts w:ascii="仿宋" w:eastAsia="仿宋" w:hAnsi="仿宋" w:cs="仿宋" w:hint="eastAsia"/>
            <w:lang w:val="en-GB"/>
          </w:rPr>
          <w:t>(二)、新兴市场机会</w:t>
        </w:r>
        <w:r>
          <w:tab/>
        </w:r>
        <w:r>
          <w:fldChar w:fldCharType="begin"/>
        </w:r>
        <w:r>
          <w:instrText xml:space="preserve"> PAGEREF _Toc27667 \h </w:instrText>
        </w:r>
        <w:r>
          <w:fldChar w:fldCharType="separate"/>
        </w:r>
        <w:r>
          <w:t>35</w:t>
        </w:r>
        <w:r>
          <w:fldChar w:fldCharType="end"/>
        </w:r>
      </w:hyperlink>
    </w:p>
    <w:p>
      <w:pPr>
        <w:pStyle w:val="TOC2"/>
        <w:tabs>
          <w:tab w:val="right" w:leader="dot" w:pos="8306"/>
        </w:tabs>
      </w:pPr>
      <w:hyperlink w:anchor="_Toc5195" w:history="1">
        <w:r>
          <w:rPr>
            <w:rFonts w:ascii="仿宋" w:eastAsia="仿宋" w:hAnsi="仿宋" w:cs="仿宋" w:hint="eastAsia"/>
            <w:lang w:val="en-GB"/>
          </w:rPr>
          <w:t>(三)、技术前景展望</w:t>
        </w:r>
        <w:r>
          <w:tab/>
        </w:r>
        <w:r>
          <w:fldChar w:fldCharType="begin"/>
        </w:r>
        <w:r>
          <w:instrText xml:space="preserve"> PAGEREF _Toc5195 \h </w:instrText>
        </w:r>
        <w:r>
          <w:fldChar w:fldCharType="separate"/>
        </w:r>
        <w:r>
          <w:t>36</w:t>
        </w:r>
        <w:r>
          <w:fldChar w:fldCharType="end"/>
        </w:r>
      </w:hyperlink>
    </w:p>
    <w:p>
      <w:pPr>
        <w:pStyle w:val="TOC2"/>
        <w:tabs>
          <w:tab w:val="right" w:leader="dot" w:pos="8306"/>
        </w:tabs>
      </w:pPr>
      <w:hyperlink w:anchor="_Toc13293" w:history="1">
        <w:r>
          <w:rPr>
            <w:rFonts w:ascii="仿宋" w:eastAsia="仿宋" w:hAnsi="仿宋" w:cs="仿宋" w:hint="eastAsia"/>
            <w:lang w:val="en-GB"/>
          </w:rPr>
          <w:t>(四)、政策环境变化</w:t>
        </w:r>
        <w:r>
          <w:tab/>
        </w:r>
        <w:r>
          <w:fldChar w:fldCharType="begin"/>
        </w:r>
        <w:r>
          <w:instrText xml:space="preserve"> PAGEREF _Toc13293 \h </w:instrText>
        </w:r>
        <w:r>
          <w:fldChar w:fldCharType="separate"/>
        </w:r>
        <w:r>
          <w:t>37</w:t>
        </w:r>
        <w:r>
          <w:fldChar w:fldCharType="end"/>
        </w:r>
      </w:hyperlink>
    </w:p>
    <w:p>
      <w:pPr>
        <w:pStyle w:val="TOC1"/>
        <w:tabs>
          <w:tab w:val="right" w:leader="dot" w:pos="8306"/>
        </w:tabs>
      </w:pPr>
      <w:hyperlink w:anchor="_Toc18712" w:history="1">
        <w:r>
          <w:rPr>
            <w:rFonts w:ascii="仿宋" w:eastAsia="仿宋" w:hAnsi="仿宋" w:cs="仿宋" w:hint="eastAsia"/>
            <w:lang w:val="en-GB"/>
          </w:rPr>
          <w:t>六、计量标准器具：化学计量标准器具定价策略</w:t>
        </w:r>
        <w:r>
          <w:tab/>
        </w:r>
        <w:r>
          <w:fldChar w:fldCharType="begin"/>
        </w:r>
        <w:r>
          <w:instrText xml:space="preserve"> PAGEREF _Toc18712 \h </w:instrText>
        </w:r>
        <w:r>
          <w:fldChar w:fldCharType="separate"/>
        </w:r>
        <w:r>
          <w:t>38</w:t>
        </w:r>
        <w:r>
          <w:fldChar w:fldCharType="end"/>
        </w:r>
      </w:hyperlink>
    </w:p>
    <w:p>
      <w:pPr>
        <w:pStyle w:val="TOC2"/>
        <w:tabs>
          <w:tab w:val="right" w:leader="dot" w:pos="8306"/>
        </w:tabs>
      </w:pPr>
      <w:hyperlink w:anchor="_Toc13973" w:history="1">
        <w:r>
          <w:rPr>
            <w:rFonts w:ascii="仿宋" w:eastAsia="仿宋" w:hAnsi="仿宋" w:cs="仿宋" w:hint="eastAsia"/>
            <w:lang w:val="en-GB"/>
          </w:rPr>
          <w:t>(一)、定价策略概述</w:t>
        </w:r>
        <w:r>
          <w:tab/>
        </w:r>
        <w:r>
          <w:fldChar w:fldCharType="begin"/>
        </w:r>
        <w:r>
          <w:instrText xml:space="preserve"> PAGEREF _Toc13973 \h </w:instrText>
        </w:r>
        <w:r>
          <w:fldChar w:fldCharType="separate"/>
        </w:r>
        <w:r>
          <w:t>38</w:t>
        </w:r>
        <w:r>
          <w:fldChar w:fldCharType="end"/>
        </w:r>
      </w:hyperlink>
    </w:p>
    <w:p>
      <w:pPr>
        <w:pStyle w:val="TOC2"/>
        <w:tabs>
          <w:tab w:val="right" w:leader="dot" w:pos="8306"/>
        </w:tabs>
      </w:pPr>
      <w:hyperlink w:anchor="_Toc2963" w:history="1">
        <w:r>
          <w:rPr>
            <w:rFonts w:ascii="仿宋" w:eastAsia="仿宋" w:hAnsi="仿宋" w:cs="仿宋" w:hint="eastAsia"/>
            <w:lang w:val="en-GB"/>
          </w:rPr>
          <w:t>(二)、成本分析</w:t>
        </w:r>
        <w:r>
          <w:tab/>
        </w:r>
        <w:r>
          <w:fldChar w:fldCharType="begin"/>
        </w:r>
        <w:r>
          <w:instrText xml:space="preserve"> PAGEREF _Toc2963 \h </w:instrText>
        </w:r>
        <w:r>
          <w:fldChar w:fldCharType="separate"/>
        </w:r>
        <w:r>
          <w:t>40</w:t>
        </w:r>
        <w:r>
          <w:fldChar w:fldCharType="end"/>
        </w:r>
      </w:hyperlink>
    </w:p>
    <w:p>
      <w:pPr>
        <w:pStyle w:val="TOC2"/>
        <w:tabs>
          <w:tab w:val="right" w:leader="dot" w:pos="8306"/>
        </w:tabs>
      </w:pPr>
      <w:hyperlink w:anchor="_Toc1771" w:history="1">
        <w:r>
          <w:rPr>
            <w:rFonts w:ascii="仿宋" w:eastAsia="仿宋" w:hAnsi="仿宋" w:cs="仿宋" w:hint="eastAsia"/>
            <w:lang w:val="en-GB"/>
          </w:rPr>
          <w:t>(三)、市场需求与弹性</w:t>
        </w:r>
        <w:r>
          <w:tab/>
        </w:r>
        <w:r>
          <w:fldChar w:fldCharType="begin"/>
        </w:r>
        <w:r>
          <w:instrText xml:space="preserve"> PAGEREF _Toc1771 \h </w:instrText>
        </w:r>
        <w:r>
          <w:fldChar w:fldCharType="separate"/>
        </w:r>
        <w:r>
          <w:t>42</w:t>
        </w:r>
        <w:r>
          <w:fldChar w:fldCharType="end"/>
        </w:r>
      </w:hyperlink>
    </w:p>
    <w:p>
      <w:pPr>
        <w:pStyle w:val="TOC2"/>
        <w:tabs>
          <w:tab w:val="right" w:leader="dot" w:pos="8306"/>
        </w:tabs>
      </w:pPr>
      <w:hyperlink w:anchor="_Toc28126" w:history="1">
        <w:r>
          <w:rPr>
            <w:rFonts w:ascii="仿宋" w:eastAsia="仿宋" w:hAnsi="仿宋" w:cs="仿宋" w:hint="eastAsia"/>
            <w:lang w:val="en-GB"/>
          </w:rPr>
          <w:t>(四)、竞争对手定价</w:t>
        </w:r>
        <w:r>
          <w:tab/>
        </w:r>
        <w:r>
          <w:fldChar w:fldCharType="begin"/>
        </w:r>
        <w:r>
          <w:instrText xml:space="preserve"> PAGEREF _Toc28126 \h </w:instrText>
        </w:r>
        <w:r>
          <w:fldChar w:fldCharType="separate"/>
        </w:r>
        <w:r>
          <w:t>43</w:t>
        </w:r>
        <w:r>
          <w:fldChar w:fldCharType="end"/>
        </w:r>
      </w:hyperlink>
    </w:p>
    <w:p>
      <w:pPr>
        <w:pStyle w:val="TOC1"/>
        <w:tabs>
          <w:tab w:val="right" w:leader="dot" w:pos="8306"/>
        </w:tabs>
      </w:pPr>
      <w:hyperlink w:anchor="_Toc5697" w:history="1">
        <w:r>
          <w:rPr>
            <w:rFonts w:ascii="仿宋" w:eastAsia="仿宋" w:hAnsi="仿宋" w:cs="仿宋" w:hint="eastAsia"/>
            <w:lang w:val="en-GB"/>
          </w:rPr>
          <w:t>七、计量标准器具：化学计量标准器具组织市场分析</w:t>
        </w:r>
        <w:r>
          <w:tab/>
        </w:r>
        <w:r>
          <w:fldChar w:fldCharType="begin"/>
        </w:r>
        <w:r>
          <w:instrText xml:space="preserve"> PAGEREF _Toc5697 \h </w:instrText>
        </w:r>
        <w:r>
          <w:fldChar w:fldCharType="separate"/>
        </w:r>
        <w:r>
          <w:t>44</w:t>
        </w:r>
        <w:r>
          <w:fldChar w:fldCharType="end"/>
        </w:r>
      </w:hyperlink>
    </w:p>
    <w:p>
      <w:pPr>
        <w:pStyle w:val="TOC2"/>
        <w:tabs>
          <w:tab w:val="right" w:leader="dot" w:pos="8306"/>
        </w:tabs>
      </w:pPr>
      <w:hyperlink w:anchor="_Toc3285" w:history="1">
        <w:r>
          <w:rPr>
            <w:rFonts w:ascii="仿宋" w:eastAsia="仿宋" w:hAnsi="仿宋" w:cs="仿宋" w:hint="eastAsia"/>
            <w:lang w:val="en-GB"/>
          </w:rPr>
          <w:t>(一)、组织结构</w:t>
        </w:r>
        <w:r>
          <w:tab/>
        </w:r>
        <w:r>
          <w:fldChar w:fldCharType="begin"/>
        </w:r>
        <w:r>
          <w:instrText xml:space="preserve"> PAGEREF _Toc3285 \h </w:instrText>
        </w:r>
        <w:r>
          <w:fldChar w:fldCharType="separate"/>
        </w:r>
        <w:r>
          <w:t>44</w:t>
        </w:r>
        <w:r>
          <w:fldChar w:fldCharType="end"/>
        </w:r>
      </w:hyperlink>
    </w:p>
    <w:p>
      <w:pPr>
        <w:pStyle w:val="TOC2"/>
        <w:tabs>
          <w:tab w:val="right" w:leader="dot" w:pos="8306"/>
        </w:tabs>
      </w:pPr>
      <w:hyperlink w:anchor="_Toc910" w:history="1">
        <w:r>
          <w:rPr>
            <w:rFonts w:ascii="仿宋" w:eastAsia="仿宋" w:hAnsi="仿宋" w:cs="仿宋" w:hint="eastAsia"/>
            <w:lang w:val="en-GB"/>
          </w:rPr>
          <w:t>(二)、决策机制</w:t>
        </w:r>
        <w:r>
          <w:tab/>
        </w:r>
        <w:r>
          <w:fldChar w:fldCharType="begin"/>
        </w:r>
        <w:r>
          <w:instrText xml:space="preserve"> PAGEREF _Toc910 \h </w:instrText>
        </w:r>
        <w:r>
          <w:fldChar w:fldCharType="separate"/>
        </w:r>
        <w:r>
          <w:t>46</w:t>
        </w:r>
        <w:r>
          <w:fldChar w:fldCharType="end"/>
        </w:r>
      </w:hyperlink>
    </w:p>
    <w:p>
      <w:pPr>
        <w:pStyle w:val="TOC2"/>
        <w:tabs>
          <w:tab w:val="right" w:leader="dot" w:pos="8306"/>
        </w:tabs>
      </w:pPr>
      <w:hyperlink w:anchor="_Toc21239" w:history="1">
        <w:r>
          <w:rPr>
            <w:rFonts w:ascii="仿宋" w:eastAsia="仿宋" w:hAnsi="仿宋" w:cs="仿宋" w:hint="eastAsia"/>
            <w:lang w:val="en-GB"/>
          </w:rPr>
          <w:t>(三)、企业文化</w:t>
        </w:r>
        <w:r>
          <w:tab/>
        </w:r>
        <w:r>
          <w:fldChar w:fldCharType="begin"/>
        </w:r>
        <w:r>
          <w:instrText xml:space="preserve"> PAGEREF _Toc21239 \h </w:instrText>
        </w:r>
        <w:r>
          <w:fldChar w:fldCharType="separate"/>
        </w:r>
        <w:r>
          <w:t>47</w:t>
        </w:r>
        <w:r>
          <w:fldChar w:fldCharType="end"/>
        </w:r>
      </w:hyperlink>
    </w:p>
    <w:p>
      <w:pPr>
        <w:pStyle w:val="TOC2"/>
        <w:tabs>
          <w:tab w:val="right" w:leader="dot" w:pos="8306"/>
        </w:tabs>
      </w:pPr>
      <w:hyperlink w:anchor="_Toc16687" w:history="1">
        <w:r>
          <w:rPr>
            <w:rFonts w:ascii="仿宋" w:eastAsia="仿宋" w:hAnsi="仿宋" w:cs="仿宋" w:hint="eastAsia"/>
            <w:lang w:val="en-GB"/>
          </w:rPr>
          <w:t>(四)、供应商关系</w:t>
        </w:r>
        <w:r>
          <w:tab/>
        </w:r>
        <w:r>
          <w:fldChar w:fldCharType="begin"/>
        </w:r>
        <w:r>
          <w:instrText xml:space="preserve"> PAGEREF _Toc16687 \h </w:instrText>
        </w:r>
        <w:r>
          <w:fldChar w:fldCharType="separate"/>
        </w:r>
        <w:r>
          <w:t>49</w:t>
        </w:r>
        <w:r>
          <w:fldChar w:fldCharType="end"/>
        </w:r>
      </w:hyperlink>
    </w:p>
    <w:p>
      <w:pPr>
        <w:pStyle w:val="TOC1"/>
        <w:tabs>
          <w:tab w:val="right" w:leader="dot" w:pos="8306"/>
        </w:tabs>
      </w:pPr>
      <w:hyperlink w:anchor="_Toc15261" w:history="1">
        <w:r>
          <w:rPr>
            <w:rFonts w:ascii="仿宋" w:eastAsia="仿宋" w:hAnsi="仿宋" w:cs="仿宋" w:hint="eastAsia"/>
            <w:lang w:val="en-GB"/>
          </w:rPr>
          <w:t>八、计量标准器具：化学计量标准器具行业竞争对选址的影响</w:t>
        </w:r>
        <w:r>
          <w:tab/>
        </w:r>
        <w:r>
          <w:fldChar w:fldCharType="begin"/>
        </w:r>
        <w:r>
          <w:instrText xml:space="preserve"> PAGEREF _Toc15261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8" w:history="1">
        <w:r>
          <w:rPr>
            <w:rFonts w:ascii="仿宋" w:eastAsia="仿宋" w:hAnsi="仿宋" w:cs="仿宋" w:hint="eastAsia"/>
            <w:lang w:val="en-GB"/>
          </w:rPr>
          <w:t>(一)、地理位置分析</w:t>
        </w:r>
        <w:r>
          <w:tab/>
        </w:r>
        <w:r>
          <w:fldChar w:fldCharType="begin"/>
        </w:r>
        <w:r>
          <w:instrText xml:space="preserve"> PAGEREF _Toc11718 \h </w:instrText>
        </w:r>
        <w:r>
          <w:fldChar w:fldCharType="separate"/>
        </w:r>
        <w:r>
          <w:t>50</w:t>
        </w:r>
        <w:r>
          <w:fldChar w:fldCharType="end"/>
        </w:r>
      </w:hyperlink>
    </w:p>
    <w:p>
      <w:pPr>
        <w:pStyle w:val="TOC2"/>
        <w:tabs>
          <w:tab w:val="right" w:leader="dot" w:pos="8306"/>
        </w:tabs>
      </w:pPr>
      <w:hyperlink w:anchor="_Toc24802" w:history="1">
        <w:r>
          <w:rPr>
            <w:rFonts w:ascii="仿宋" w:eastAsia="仿宋" w:hAnsi="仿宋" w:cs="仿宋" w:hint="eastAsia"/>
            <w:lang w:val="en-GB"/>
          </w:rPr>
          <w:t>(二)、供应链优势</w:t>
        </w:r>
        <w:r>
          <w:tab/>
        </w:r>
        <w:r>
          <w:fldChar w:fldCharType="begin"/>
        </w:r>
        <w:r>
          <w:instrText xml:space="preserve"> PAGEREF _Toc24802 \h </w:instrText>
        </w:r>
        <w:r>
          <w:fldChar w:fldCharType="separate"/>
        </w:r>
        <w:r>
          <w:t>51</w:t>
        </w:r>
        <w:r>
          <w:fldChar w:fldCharType="end"/>
        </w:r>
      </w:hyperlink>
    </w:p>
    <w:p>
      <w:pPr>
        <w:pStyle w:val="TOC2"/>
        <w:tabs>
          <w:tab w:val="right" w:leader="dot" w:pos="8306"/>
        </w:tabs>
      </w:pPr>
      <w:hyperlink w:anchor="_Toc24821" w:history="1">
        <w:r>
          <w:rPr>
            <w:rFonts w:ascii="仿宋" w:eastAsia="仿宋" w:hAnsi="仿宋" w:cs="仿宋" w:hint="eastAsia"/>
            <w:lang w:val="en-GB"/>
          </w:rPr>
          <w:t>(三)、人才资源</w:t>
        </w:r>
        <w:r>
          <w:tab/>
        </w:r>
        <w:r>
          <w:fldChar w:fldCharType="begin"/>
        </w:r>
        <w:r>
          <w:instrText xml:space="preserve"> PAGEREF _Toc24821 \h </w:instrText>
        </w:r>
        <w:r>
          <w:fldChar w:fldCharType="separate"/>
        </w:r>
        <w:r>
          <w:t>52</w:t>
        </w:r>
        <w:r>
          <w:fldChar w:fldCharType="end"/>
        </w:r>
      </w:hyperlink>
    </w:p>
    <w:p>
      <w:pPr>
        <w:pStyle w:val="TOC2"/>
        <w:tabs>
          <w:tab w:val="right" w:leader="dot" w:pos="8306"/>
        </w:tabs>
      </w:pPr>
      <w:hyperlink w:anchor="_Toc12787" w:history="1">
        <w:r>
          <w:rPr>
            <w:rFonts w:ascii="仿宋" w:eastAsia="仿宋" w:hAnsi="仿宋" w:cs="仿宋" w:hint="eastAsia"/>
            <w:lang w:val="en-GB"/>
          </w:rPr>
          <w:t>(四)、政策支持</w:t>
        </w:r>
        <w:r>
          <w:tab/>
        </w:r>
        <w:r>
          <w:fldChar w:fldCharType="begin"/>
        </w:r>
        <w:r>
          <w:instrText xml:space="preserve"> PAGEREF _Toc12787 \h </w:instrText>
        </w:r>
        <w:r>
          <w:fldChar w:fldCharType="separate"/>
        </w:r>
        <w:r>
          <w:t>53</w:t>
        </w:r>
        <w:r>
          <w:fldChar w:fldCharType="end"/>
        </w:r>
      </w:hyperlink>
    </w:p>
    <w:p>
      <w:pPr>
        <w:pStyle w:val="TOC1"/>
        <w:tabs>
          <w:tab w:val="right" w:leader="dot" w:pos="8306"/>
        </w:tabs>
      </w:pPr>
      <w:hyperlink w:anchor="_Toc13062" w:history="1">
        <w:r>
          <w:rPr>
            <w:rFonts w:ascii="仿宋" w:eastAsia="仿宋" w:hAnsi="仿宋" w:cs="仿宋" w:hint="eastAsia"/>
            <w:lang w:val="en-GB"/>
          </w:rPr>
          <w:t>九、计量标准器具：化学计量标准器具消费者市场分析</w:t>
        </w:r>
        <w:r>
          <w:tab/>
        </w:r>
        <w:r>
          <w:fldChar w:fldCharType="begin"/>
        </w:r>
        <w:r>
          <w:instrText xml:space="preserve"> PAGEREF _Toc13062 \h </w:instrText>
        </w:r>
        <w:r>
          <w:fldChar w:fldCharType="separate"/>
        </w:r>
        <w:r>
          <w:t>54</w:t>
        </w:r>
        <w:r>
          <w:fldChar w:fldCharType="end"/>
        </w:r>
      </w:hyperlink>
    </w:p>
    <w:p>
      <w:pPr>
        <w:pStyle w:val="TOC2"/>
        <w:tabs>
          <w:tab w:val="right" w:leader="dot" w:pos="8306"/>
        </w:tabs>
      </w:pPr>
      <w:hyperlink w:anchor="_Toc23702" w:history="1">
        <w:r>
          <w:rPr>
            <w:rFonts w:ascii="仿宋" w:eastAsia="仿宋" w:hAnsi="仿宋" w:cs="仿宋" w:hint="eastAsia"/>
            <w:lang w:val="en-GB"/>
          </w:rPr>
          <w:t>(一)、目标客户群体</w:t>
        </w:r>
        <w:r>
          <w:tab/>
        </w:r>
        <w:r>
          <w:fldChar w:fldCharType="begin"/>
        </w:r>
        <w:r>
          <w:instrText xml:space="preserve"> PAGEREF _Toc23702 \h </w:instrText>
        </w:r>
        <w:r>
          <w:fldChar w:fldCharType="separate"/>
        </w:r>
        <w:r>
          <w:t>54</w:t>
        </w:r>
        <w:r>
          <w:fldChar w:fldCharType="end"/>
        </w:r>
      </w:hyperlink>
    </w:p>
    <w:p>
      <w:pPr>
        <w:pStyle w:val="TOC2"/>
        <w:tabs>
          <w:tab w:val="right" w:leader="dot" w:pos="8306"/>
        </w:tabs>
      </w:pPr>
      <w:hyperlink w:anchor="_Toc32448" w:history="1">
        <w:r>
          <w:rPr>
            <w:rFonts w:ascii="仿宋" w:eastAsia="仿宋" w:hAnsi="仿宋" w:cs="仿宋" w:hint="eastAsia"/>
            <w:lang w:val="en-GB"/>
          </w:rPr>
          <w:t>(二)、消费者需求</w:t>
        </w:r>
        <w:r>
          <w:tab/>
        </w:r>
        <w:r>
          <w:fldChar w:fldCharType="begin"/>
        </w:r>
        <w:r>
          <w:instrText xml:space="preserve"> PAGEREF _Toc32448 \h </w:instrText>
        </w:r>
        <w:r>
          <w:fldChar w:fldCharType="separate"/>
        </w:r>
        <w:r>
          <w:t>56</w:t>
        </w:r>
        <w:r>
          <w:fldChar w:fldCharType="end"/>
        </w:r>
      </w:hyperlink>
    </w:p>
    <w:p>
      <w:pPr>
        <w:pStyle w:val="TOC1"/>
        <w:tabs>
          <w:tab w:val="right" w:leader="dot" w:pos="8306"/>
        </w:tabs>
      </w:pPr>
      <w:hyperlink w:anchor="_Toc3110" w:history="1">
        <w:r>
          <w:rPr>
            <w:rFonts w:ascii="仿宋" w:eastAsia="仿宋" w:hAnsi="仿宋" w:cs="仿宋" w:hint="eastAsia"/>
            <w:lang w:val="en-GB"/>
          </w:rPr>
          <w:t>十、计量标准器具：化学计量标准器具促销策略</w:t>
        </w:r>
        <w:r>
          <w:tab/>
        </w:r>
        <w:r>
          <w:fldChar w:fldCharType="begin"/>
        </w:r>
        <w:r>
          <w:instrText xml:space="preserve"> PAGEREF _Toc3110 \h </w:instrText>
        </w:r>
        <w:r>
          <w:fldChar w:fldCharType="separate"/>
        </w:r>
        <w:r>
          <w:t>57</w:t>
        </w:r>
        <w:r>
          <w:fldChar w:fldCharType="end"/>
        </w:r>
      </w:hyperlink>
    </w:p>
    <w:p>
      <w:pPr>
        <w:pStyle w:val="TOC2"/>
        <w:tabs>
          <w:tab w:val="right" w:leader="dot" w:pos="8306"/>
        </w:tabs>
      </w:pPr>
      <w:hyperlink w:anchor="_Toc22264" w:history="1">
        <w:r>
          <w:rPr>
            <w:rFonts w:ascii="仿宋" w:eastAsia="仿宋" w:hAnsi="仿宋" w:cs="仿宋" w:hint="eastAsia"/>
            <w:lang w:val="en-GB"/>
          </w:rPr>
          <w:t>(一)、广告与宣传</w:t>
        </w:r>
        <w:r>
          <w:tab/>
        </w:r>
        <w:r>
          <w:fldChar w:fldCharType="begin"/>
        </w:r>
        <w:r>
          <w:instrText xml:space="preserve"> PAGEREF _Toc22264 \h </w:instrText>
        </w:r>
        <w:r>
          <w:fldChar w:fldCharType="separate"/>
        </w:r>
        <w:r>
          <w:t>57</w:t>
        </w:r>
        <w:r>
          <w:fldChar w:fldCharType="end"/>
        </w:r>
      </w:hyperlink>
    </w:p>
    <w:p>
      <w:pPr>
        <w:pStyle w:val="TOC2"/>
        <w:tabs>
          <w:tab w:val="right" w:leader="dot" w:pos="8306"/>
        </w:tabs>
      </w:pPr>
      <w:hyperlink w:anchor="_Toc29029" w:history="1">
        <w:r>
          <w:rPr>
            <w:rFonts w:ascii="仿宋" w:eastAsia="仿宋" w:hAnsi="仿宋" w:cs="仿宋" w:hint="eastAsia"/>
            <w:lang w:val="en-GB"/>
          </w:rPr>
          <w:t>(二)、促销活动</w:t>
        </w:r>
        <w:r>
          <w:tab/>
        </w:r>
        <w:r>
          <w:fldChar w:fldCharType="begin"/>
        </w:r>
        <w:r>
          <w:instrText xml:space="preserve"> PAGEREF _Toc29029 \h </w:instrText>
        </w:r>
        <w:r>
          <w:fldChar w:fldCharType="separate"/>
        </w:r>
        <w:r>
          <w:t>59</w:t>
        </w:r>
        <w:r>
          <w:fldChar w:fldCharType="end"/>
        </w:r>
      </w:hyperlink>
    </w:p>
    <w:p>
      <w:pPr>
        <w:pStyle w:val="TOC2"/>
        <w:tabs>
          <w:tab w:val="right" w:leader="dot" w:pos="8306"/>
        </w:tabs>
      </w:pPr>
      <w:hyperlink w:anchor="_Toc30115" w:history="1">
        <w:r>
          <w:rPr>
            <w:rFonts w:ascii="仿宋" w:eastAsia="仿宋" w:hAnsi="仿宋" w:cs="仿宋" w:hint="eastAsia"/>
            <w:lang w:val="en-GB"/>
          </w:rPr>
          <w:t>(三)、品牌推广</w:t>
        </w:r>
        <w:r>
          <w:tab/>
        </w:r>
        <w:r>
          <w:fldChar w:fldCharType="begin"/>
        </w:r>
        <w:r>
          <w:instrText xml:space="preserve"> PAGEREF _Toc30115 \h </w:instrText>
        </w:r>
        <w:r>
          <w:fldChar w:fldCharType="separate"/>
        </w:r>
        <w:r>
          <w:t>60</w:t>
        </w:r>
        <w:r>
          <w:fldChar w:fldCharType="end"/>
        </w:r>
      </w:hyperlink>
    </w:p>
    <w:p>
      <w:pPr>
        <w:pStyle w:val="TOC2"/>
        <w:tabs>
          <w:tab w:val="right" w:leader="dot" w:pos="8306"/>
        </w:tabs>
      </w:pPr>
      <w:hyperlink w:anchor="_Toc25032" w:history="1">
        <w:r>
          <w:rPr>
            <w:rFonts w:ascii="仿宋" w:eastAsia="仿宋" w:hAnsi="仿宋" w:cs="仿宋" w:hint="eastAsia"/>
            <w:lang w:val="en-GB"/>
          </w:rPr>
          <w:t>(四)、数字营销</w:t>
        </w:r>
        <w:r>
          <w:tab/>
        </w:r>
        <w:r>
          <w:fldChar w:fldCharType="begin"/>
        </w:r>
        <w:r>
          <w:instrText xml:space="preserve"> PAGEREF _Toc25032 \h </w:instrText>
        </w:r>
        <w:r>
          <w:fldChar w:fldCharType="separate"/>
        </w:r>
        <w:r>
          <w:t>62</w:t>
        </w:r>
        <w:r>
          <w:fldChar w:fldCharType="end"/>
        </w:r>
      </w:hyperlink>
    </w:p>
    <w:p>
      <w:pPr>
        <w:pStyle w:val="TOC1"/>
        <w:tabs>
          <w:tab w:val="right" w:leader="dot" w:pos="8306"/>
        </w:tabs>
      </w:pPr>
      <w:hyperlink w:anchor="_Toc6255" w:history="1">
        <w:r>
          <w:rPr>
            <w:rFonts w:ascii="仿宋" w:eastAsia="仿宋" w:hAnsi="仿宋" w:cs="仿宋" w:hint="eastAsia"/>
            <w:lang w:val="en-GB"/>
          </w:rPr>
          <w:t>十一、计量标准器具：化学计量标准器具风险管理与合规</w:t>
        </w:r>
        <w:r>
          <w:tab/>
        </w:r>
        <w:r>
          <w:fldChar w:fldCharType="begin"/>
        </w:r>
        <w:r>
          <w:instrText xml:space="preserve"> PAGEREF _Toc6255 \h </w:instrText>
        </w:r>
        <w:r>
          <w:fldChar w:fldCharType="separate"/>
        </w:r>
        <w:r>
          <w:t>64</w:t>
        </w:r>
        <w:r>
          <w:fldChar w:fldCharType="end"/>
        </w:r>
      </w:hyperlink>
    </w:p>
    <w:p>
      <w:pPr>
        <w:pStyle w:val="TOC2"/>
        <w:tabs>
          <w:tab w:val="right" w:leader="dot" w:pos="8306"/>
        </w:tabs>
      </w:pPr>
      <w:hyperlink w:anchor="_Toc4646" w:history="1">
        <w:r>
          <w:rPr>
            <w:rFonts w:ascii="仿宋" w:eastAsia="仿宋" w:hAnsi="仿宋" w:cs="仿宋" w:hint="eastAsia"/>
            <w:lang w:val="en-GB"/>
          </w:rPr>
          <w:t>(一)、风险评估与监测体系</w:t>
        </w:r>
        <w:r>
          <w:tab/>
        </w:r>
        <w:r>
          <w:fldChar w:fldCharType="begin"/>
        </w:r>
        <w:r>
          <w:instrText xml:space="preserve"> PAGEREF _Toc4646 \h </w:instrText>
        </w:r>
        <w:r>
          <w:fldChar w:fldCharType="separate"/>
        </w:r>
        <w:r>
          <w:t>64</w:t>
        </w:r>
        <w:r>
          <w:fldChar w:fldCharType="end"/>
        </w:r>
      </w:hyperlink>
    </w:p>
    <w:p>
      <w:pPr>
        <w:pStyle w:val="TOC2"/>
        <w:tabs>
          <w:tab w:val="right" w:leader="dot" w:pos="8306"/>
        </w:tabs>
      </w:pPr>
      <w:hyperlink w:anchor="_Toc24366" w:history="1">
        <w:r>
          <w:rPr>
            <w:rFonts w:ascii="仿宋" w:eastAsia="仿宋" w:hAnsi="仿宋" w:cs="仿宋" w:hint="eastAsia"/>
            <w:lang w:val="en-GB"/>
          </w:rPr>
          <w:t>(二)、合规政策制定与执行</w:t>
        </w:r>
        <w:r>
          <w:tab/>
        </w:r>
        <w:r>
          <w:fldChar w:fldCharType="begin"/>
        </w:r>
        <w:r>
          <w:instrText xml:space="preserve"> PAGEREF _Toc24366 \h </w:instrText>
        </w:r>
        <w:r>
          <w:fldChar w:fldCharType="separate"/>
        </w:r>
        <w:r>
          <w:t>65</w:t>
        </w:r>
        <w:r>
          <w:fldChar w:fldCharType="end"/>
        </w:r>
      </w:hyperlink>
    </w:p>
    <w:p>
      <w:pPr>
        <w:pStyle w:val="TOC2"/>
        <w:tabs>
          <w:tab w:val="right" w:leader="dot" w:pos="8306"/>
        </w:tabs>
      </w:pPr>
      <w:hyperlink w:anchor="_Toc20474" w:history="1">
        <w:r>
          <w:rPr>
            <w:rFonts w:ascii="仿宋" w:eastAsia="仿宋" w:hAnsi="仿宋" w:cs="仿宋" w:hint="eastAsia"/>
            <w:lang w:val="en-GB"/>
          </w:rPr>
          <w:t>(三)、危机管理与灾备计划</w:t>
        </w:r>
        <w:r>
          <w:tab/>
        </w:r>
        <w:r>
          <w:fldChar w:fldCharType="begin"/>
        </w:r>
        <w:r>
          <w:instrText xml:space="preserve"> PAGEREF _Toc20474 \h </w:instrText>
        </w:r>
        <w:r>
          <w:fldChar w:fldCharType="separate"/>
        </w:r>
        <w:r>
          <w:t>66</w:t>
        </w:r>
        <w:r>
          <w:fldChar w:fldCharType="end"/>
        </w:r>
      </w:hyperlink>
    </w:p>
    <w:p>
      <w:pPr>
        <w:pStyle w:val="TOC2"/>
        <w:tabs>
          <w:tab w:val="right" w:leader="dot" w:pos="8306"/>
        </w:tabs>
      </w:pPr>
      <w:hyperlink w:anchor="_Toc8861" w:history="1">
        <w:r>
          <w:rPr>
            <w:rFonts w:ascii="仿宋" w:eastAsia="仿宋" w:hAnsi="仿宋" w:cs="仿宋" w:hint="eastAsia"/>
            <w:lang w:val="en-GB"/>
          </w:rPr>
          <w:t>(四)、法律事务与法规遵从</w:t>
        </w:r>
        <w:r>
          <w:tab/>
        </w:r>
        <w:r>
          <w:fldChar w:fldCharType="begin"/>
        </w:r>
        <w:r>
          <w:instrText xml:space="preserve"> PAGEREF _Toc8861 \h </w:instrText>
        </w:r>
        <w:r>
          <w:fldChar w:fldCharType="separate"/>
        </w:r>
        <w:r>
          <w:t>68</w:t>
        </w:r>
        <w:r>
          <w:fldChar w:fldCharType="end"/>
        </w:r>
      </w:hyperlink>
    </w:p>
    <w:p>
      <w:pPr>
        <w:pStyle w:val="TOC1"/>
        <w:tabs>
          <w:tab w:val="right" w:leader="dot" w:pos="8306"/>
        </w:tabs>
      </w:pPr>
      <w:hyperlink w:anchor="_Toc30099" w:history="1">
        <w:r>
          <w:rPr>
            <w:rFonts w:ascii="仿宋" w:eastAsia="仿宋" w:hAnsi="仿宋" w:cs="仿宋" w:hint="eastAsia"/>
            <w:lang w:val="en-GB"/>
          </w:rPr>
          <w:t>十二、市场营销与销售策略</w:t>
        </w:r>
        <w:r>
          <w:tab/>
        </w:r>
        <w:r>
          <w:fldChar w:fldCharType="begin"/>
        </w:r>
        <w:r>
          <w:instrText xml:space="preserve"> PAGEREF _Toc30099 \h </w:instrText>
        </w:r>
        <w:r>
          <w:fldChar w:fldCharType="separate"/>
        </w:r>
        <w:r>
          <w:t>69</w:t>
        </w:r>
        <w:r>
          <w:fldChar w:fldCharType="end"/>
        </w:r>
      </w:hyperlink>
    </w:p>
    <w:p>
      <w:pPr>
        <w:pStyle w:val="TOC2"/>
        <w:tabs>
          <w:tab w:val="right" w:leader="dot" w:pos="8306"/>
        </w:tabs>
      </w:pPr>
      <w:hyperlink w:anchor="_Toc11843" w:history="1">
        <w:r>
          <w:rPr>
            <w:rFonts w:ascii="仿宋" w:eastAsia="仿宋" w:hAnsi="仿宋" w:cs="仿宋" w:hint="eastAsia"/>
            <w:lang w:val="en-GB"/>
          </w:rPr>
          <w:t>(一)、市场推广与品牌建设</w:t>
        </w:r>
        <w:r>
          <w:tab/>
        </w:r>
        <w:r>
          <w:fldChar w:fldCharType="begin"/>
        </w:r>
        <w:r>
          <w:instrText xml:space="preserve"> PAGEREF _Toc11843 \h </w:instrText>
        </w:r>
        <w:r>
          <w:fldChar w:fldCharType="separate"/>
        </w:r>
        <w:r>
          <w:t>69</w:t>
        </w:r>
        <w:r>
          <w:fldChar w:fldCharType="end"/>
        </w:r>
      </w:hyperlink>
    </w:p>
    <w:p>
      <w:pPr>
        <w:pStyle w:val="TOC2"/>
        <w:tabs>
          <w:tab w:val="right" w:leader="dot" w:pos="8306"/>
        </w:tabs>
      </w:pPr>
      <w:hyperlink w:anchor="_Toc30954" w:history="1">
        <w:r>
          <w:rPr>
            <w:rFonts w:ascii="仿宋" w:eastAsia="仿宋" w:hAnsi="仿宋" w:cs="仿宋" w:hint="eastAsia"/>
            <w:lang w:val="en-GB"/>
          </w:rPr>
          <w:t>(二)、销售渠道与分销网络</w:t>
        </w:r>
        <w:r>
          <w:tab/>
        </w:r>
        <w:r>
          <w:fldChar w:fldCharType="begin"/>
        </w:r>
        <w:r>
          <w:instrText xml:space="preserve"> PAGEREF _Toc30954 \h </w:instrText>
        </w:r>
        <w:r>
          <w:fldChar w:fldCharType="separate"/>
        </w:r>
        <w:r>
          <w:t>70</w:t>
        </w:r>
        <w:r>
          <w:fldChar w:fldCharType="end"/>
        </w:r>
      </w:hyperlink>
    </w:p>
    <w:p>
      <w:pPr>
        <w:pStyle w:val="TOC2"/>
        <w:tabs>
          <w:tab w:val="right" w:leader="dot" w:pos="8306"/>
        </w:tabs>
      </w:pPr>
      <w:hyperlink w:anchor="_Toc24198" w:history="1">
        <w:r>
          <w:rPr>
            <w:rFonts w:ascii="仿宋" w:eastAsia="仿宋" w:hAnsi="仿宋" w:cs="仿宋" w:hint="eastAsia"/>
            <w:lang w:val="en-GB"/>
          </w:rPr>
          <w:t>(三)、客户关系管理与维护</w:t>
        </w:r>
        <w:r>
          <w:tab/>
        </w:r>
        <w:r>
          <w:fldChar w:fldCharType="begin"/>
        </w:r>
        <w:r>
          <w:instrText xml:space="preserve"> PAGEREF _Toc24198 \h </w:instrText>
        </w:r>
        <w:r>
          <w:fldChar w:fldCharType="separate"/>
        </w:r>
        <w:r>
          <w:t>71</w:t>
        </w:r>
        <w:r>
          <w:fldChar w:fldCharType="end"/>
        </w:r>
      </w:hyperlink>
    </w:p>
    <w:p>
      <w:pPr>
        <w:pStyle w:val="TOC2"/>
        <w:tabs>
          <w:tab w:val="right" w:leader="dot" w:pos="8306"/>
        </w:tabs>
      </w:pPr>
      <w:hyperlink w:anchor="_Toc12784" w:history="1">
        <w:r>
          <w:rPr>
            <w:rFonts w:ascii="仿宋" w:eastAsia="仿宋" w:hAnsi="仿宋" w:cs="仿宋" w:hint="eastAsia"/>
            <w:lang w:val="en-GB"/>
          </w:rPr>
          <w:t>(四)、市场反馈与调整策略</w:t>
        </w:r>
        <w:r>
          <w:tab/>
        </w:r>
        <w:r>
          <w:fldChar w:fldCharType="begin"/>
        </w:r>
        <w:r>
          <w:instrText xml:space="preserve"> PAGEREF _Toc12784 \h </w:instrText>
        </w:r>
        <w:r>
          <w:fldChar w:fldCharType="separate"/>
        </w:r>
        <w:r>
          <w:t>72</w:t>
        </w:r>
        <w:r>
          <w:fldChar w:fldCharType="end"/>
        </w:r>
      </w:hyperlink>
    </w:p>
    <w:p>
      <w:pPr>
        <w:pStyle w:val="TOC1"/>
        <w:tabs>
          <w:tab w:val="right" w:leader="dot" w:pos="8306"/>
        </w:tabs>
      </w:pPr>
      <w:hyperlink w:anchor="_Toc27685" w:history="1">
        <w:r>
          <w:rPr>
            <w:rFonts w:ascii="仿宋" w:eastAsia="仿宋" w:hAnsi="仿宋" w:cs="仿宋" w:hint="eastAsia"/>
            <w:lang w:val="en-GB"/>
          </w:rPr>
          <w:t>十三、计量标准器具：化学计量标准器具可持续发展战略</w:t>
        </w:r>
        <w:r>
          <w:tab/>
        </w:r>
        <w:r>
          <w:fldChar w:fldCharType="begin"/>
        </w:r>
        <w:r>
          <w:instrText xml:space="preserve"> PAGEREF _Toc27685 \h </w:instrText>
        </w:r>
        <w:r>
          <w:fldChar w:fldCharType="separate"/>
        </w:r>
        <w:r>
          <w:t>74</w:t>
        </w:r>
        <w:r>
          <w:fldChar w:fldCharType="end"/>
        </w:r>
      </w:hyperlink>
    </w:p>
    <w:p>
      <w:pPr>
        <w:pStyle w:val="TOC2"/>
        <w:tabs>
          <w:tab w:val="right" w:leader="dot" w:pos="8306"/>
        </w:tabs>
      </w:pPr>
      <w:hyperlink w:anchor="_Toc7321" w:history="1">
        <w:r>
          <w:rPr>
            <w:rFonts w:ascii="仿宋" w:eastAsia="仿宋" w:hAnsi="仿宋" w:cs="仿宋" w:hint="eastAsia"/>
            <w:lang w:val="en-GB"/>
          </w:rPr>
          <w:t>(一)、环保与社会责任</w:t>
        </w:r>
        <w:r>
          <w:tab/>
        </w:r>
        <w:r>
          <w:fldChar w:fldCharType="begin"/>
        </w:r>
        <w:r>
          <w:instrText xml:space="preserve"> PAGEREF _Toc7321 \h </w:instrText>
        </w:r>
        <w:r>
          <w:fldChar w:fldCharType="separate"/>
        </w:r>
        <w:r>
          <w:t>74</w:t>
        </w:r>
        <w:r>
          <w:fldChar w:fldCharType="end"/>
        </w:r>
      </w:hyperlink>
    </w:p>
    <w:p>
      <w:pPr>
        <w:pStyle w:val="TOC2"/>
        <w:tabs>
          <w:tab w:val="right" w:leader="dot" w:pos="8306"/>
        </w:tabs>
      </w:pPr>
      <w:hyperlink w:anchor="_Toc14516" w:history="1">
        <w:r>
          <w:rPr>
            <w:rFonts w:ascii="仿宋" w:eastAsia="仿宋" w:hAnsi="仿宋" w:cs="仿宋" w:hint="eastAsia"/>
            <w:lang w:val="en-GB"/>
          </w:rPr>
          <w:t>(二)、资源有效利用与循环经济</w:t>
        </w:r>
        <w:r>
          <w:tab/>
        </w:r>
        <w:r>
          <w:fldChar w:fldCharType="begin"/>
        </w:r>
        <w:r>
          <w:instrText xml:space="preserve"> PAGEREF _Toc14516 \h </w:instrText>
        </w:r>
        <w:r>
          <w:fldChar w:fldCharType="separate"/>
        </w:r>
        <w:r>
          <w:t>75</w:t>
        </w:r>
        <w:r>
          <w:fldChar w:fldCharType="end"/>
        </w:r>
      </w:hyperlink>
    </w:p>
    <w:p>
      <w:pPr>
        <w:pStyle w:val="TOC2"/>
        <w:tabs>
          <w:tab w:val="right" w:leader="dot" w:pos="8306"/>
        </w:tabs>
      </w:pPr>
      <w:hyperlink w:anchor="_Toc15342" w:history="1">
        <w:r>
          <w:rPr>
            <w:rFonts w:ascii="仿宋" w:eastAsia="仿宋" w:hAnsi="仿宋" w:cs="仿宋" w:hint="eastAsia"/>
            <w:lang w:val="en-GB"/>
          </w:rPr>
          <w:t>(三)、社会影响与公益活动</w:t>
        </w:r>
        <w:r>
          <w:tab/>
        </w:r>
        <w:r>
          <w:fldChar w:fldCharType="begin"/>
        </w:r>
        <w:r>
          <w:instrText xml:space="preserve"> PAGEREF _Toc15342 \h </w:instrText>
        </w:r>
        <w:r>
          <w:fldChar w:fldCharType="separate"/>
        </w:r>
        <w:r>
          <w:t>76</w:t>
        </w:r>
        <w:r>
          <w:fldChar w:fldCharType="end"/>
        </w:r>
      </w:hyperlink>
    </w:p>
    <w:p>
      <w:pPr>
        <w:pStyle w:val="TOC2"/>
        <w:tabs>
          <w:tab w:val="right" w:leader="dot" w:pos="8306"/>
        </w:tabs>
      </w:pPr>
      <w:hyperlink w:anchor="_Toc19410" w:history="1">
        <w:r>
          <w:rPr>
            <w:rFonts w:ascii="仿宋" w:eastAsia="仿宋" w:hAnsi="仿宋" w:cs="仿宋" w:hint="eastAsia"/>
            <w:lang w:val="en-GB"/>
          </w:rPr>
          <w:t>(四)、可持续供应链与生产模式</w:t>
        </w:r>
        <w:r>
          <w:tab/>
        </w:r>
        <w:r>
          <w:fldChar w:fldCharType="begin"/>
        </w:r>
        <w:r>
          <w:instrText xml:space="preserve"> PAGEREF _Toc19410 \h </w:instrText>
        </w:r>
        <w:r>
          <w:fldChar w:fldCharType="separate"/>
        </w:r>
        <w:r>
          <w:t>78</w:t>
        </w:r>
        <w:r>
          <w:fldChar w:fldCharType="end"/>
        </w:r>
      </w:hyperlink>
    </w:p>
    <w:p>
      <w:pPr>
        <w:pStyle w:val="TOC1"/>
        <w:tabs>
          <w:tab w:val="right" w:leader="dot" w:pos="8306"/>
        </w:tabs>
      </w:pPr>
      <w:hyperlink w:anchor="_Toc12002" w:history="1">
        <w:r>
          <w:rPr>
            <w:rFonts w:ascii="仿宋" w:eastAsia="仿宋" w:hAnsi="仿宋" w:cs="仿宋" w:hint="eastAsia"/>
            <w:lang w:val="en-GB"/>
          </w:rPr>
          <w:t>十四、计量标准器具：化学计量标准器具数字化发展方案</w:t>
        </w:r>
        <w:r>
          <w:tab/>
        </w:r>
        <w:r>
          <w:fldChar w:fldCharType="begin"/>
        </w:r>
        <w:r>
          <w:instrText xml:space="preserve"> PAGEREF _Toc12002 \h </w:instrText>
        </w:r>
        <w:r>
          <w:fldChar w:fldCharType="separate"/>
        </w:r>
        <w:r>
          <w:t>79</w:t>
        </w:r>
        <w:r>
          <w:fldChar w:fldCharType="end"/>
        </w:r>
      </w:hyperlink>
    </w:p>
    <w:p>
      <w:pPr>
        <w:pStyle w:val="TOC2"/>
        <w:tabs>
          <w:tab w:val="right" w:leader="dot" w:pos="8306"/>
        </w:tabs>
      </w:pPr>
      <w:hyperlink w:anchor="_Toc28460" w:history="1">
        <w:r>
          <w:rPr>
            <w:rFonts w:ascii="仿宋" w:eastAsia="仿宋" w:hAnsi="仿宋" w:cs="仿宋" w:hint="eastAsia"/>
            <w:lang w:val="en-GB"/>
          </w:rPr>
          <w:t>(一)、数字化战略规划</w:t>
        </w:r>
        <w:r>
          <w:tab/>
        </w:r>
        <w:r>
          <w:fldChar w:fldCharType="begin"/>
        </w:r>
        <w:r>
          <w:instrText xml:space="preserve"> PAGEREF _Toc28460 \h </w:instrText>
        </w:r>
        <w:r>
          <w:fldChar w:fldCharType="separate"/>
        </w:r>
        <w:r>
          <w:t>79</w:t>
        </w:r>
        <w:r>
          <w:fldChar w:fldCharType="end"/>
        </w:r>
      </w:hyperlink>
    </w:p>
    <w:p>
      <w:pPr>
        <w:pStyle w:val="TOC2"/>
        <w:tabs>
          <w:tab w:val="right" w:leader="dot" w:pos="8306"/>
        </w:tabs>
      </w:pPr>
      <w:hyperlink w:anchor="_Toc19662" w:history="1">
        <w:r>
          <w:rPr>
            <w:rFonts w:ascii="仿宋" w:eastAsia="仿宋" w:hAnsi="仿宋" w:cs="仿宋" w:hint="eastAsia"/>
            <w:lang w:val="en-GB"/>
          </w:rPr>
          <w:t>(二)、数据安全与隐私保护</w:t>
        </w:r>
        <w:r>
          <w:tab/>
        </w:r>
        <w:r>
          <w:fldChar w:fldCharType="begin"/>
        </w:r>
        <w:r>
          <w:instrText xml:space="preserve"> PAGEREF _Toc19662 \h </w:instrText>
        </w:r>
        <w:r>
          <w:fldChar w:fldCharType="separate"/>
        </w:r>
        <w:r>
          <w:t>80</w:t>
        </w:r>
        <w:r>
          <w:fldChar w:fldCharType="end"/>
        </w:r>
      </w:hyperlink>
    </w:p>
    <w:p>
      <w:pPr>
        <w:pStyle w:val="TOC2"/>
        <w:tabs>
          <w:tab w:val="right" w:leader="dot" w:pos="8306"/>
        </w:tabs>
      </w:pPr>
      <w:hyperlink w:anchor="_Toc1939" w:history="1">
        <w:r>
          <w:rPr>
            <w:rFonts w:ascii="仿宋" w:eastAsia="仿宋" w:hAnsi="仿宋" w:cs="仿宋" w:hint="eastAsia"/>
            <w:lang w:val="en-GB"/>
          </w:rPr>
          <w:t>(三)、人工智能与大数据应用</w:t>
        </w:r>
        <w:r>
          <w:tab/>
        </w:r>
        <w:r>
          <w:fldChar w:fldCharType="begin"/>
        </w:r>
        <w:r>
          <w:instrText xml:space="preserve"> PAGEREF _Toc1939 \h </w:instrText>
        </w:r>
        <w:r>
          <w:fldChar w:fldCharType="separate"/>
        </w:r>
        <w:r>
          <w:t>81</w:t>
        </w:r>
        <w:r>
          <w:fldChar w:fldCharType="end"/>
        </w:r>
      </w:hyperlink>
    </w:p>
    <w:p>
      <w:pPr>
        <w:pStyle w:val="TOC2"/>
        <w:tabs>
          <w:tab w:val="right" w:leader="dot" w:pos="8306"/>
        </w:tabs>
      </w:pPr>
      <w:hyperlink w:anchor="_Toc3768" w:history="1">
        <w:r>
          <w:rPr>
            <w:rFonts w:ascii="仿宋" w:eastAsia="仿宋" w:hAnsi="仿宋" w:cs="仿宋" w:hint="eastAsia"/>
            <w:lang w:val="en-GB"/>
          </w:rPr>
          <w:t>(四)、信息技术基础设施建设</w:t>
        </w:r>
        <w:r>
          <w:tab/>
        </w:r>
        <w:r>
          <w:fldChar w:fldCharType="begin"/>
        </w:r>
        <w:r>
          <w:instrText xml:space="preserve"> PAGEREF _Toc3768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49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计量标准器具：化学计量标准器具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8669"/>
      <w:r>
        <w:rPr>
          <w:rFonts w:ascii="仿宋" w:eastAsia="仿宋" w:hAnsi="仿宋" w:cs="仿宋" w:hint="eastAsia"/>
          <w:sz w:val="28"/>
          <w:lang w:val="en-GB"/>
        </w:rPr>
        <w:t>一、计量标准器具：化学计量标准器具危机管理与应对策略</w:t>
      </w:r>
      <w:bookmarkEnd w:id="2"/>
    </w:p>
    <w:p>
      <w:pPr>
        <w:pStyle w:val="Heading2"/>
        <w:rPr>
          <w:rFonts w:ascii="仿宋" w:eastAsia="仿宋" w:hAnsi="仿宋" w:cs="仿宋" w:hint="eastAsia"/>
          <w:lang w:val="en-GB"/>
        </w:rPr>
      </w:pPr>
      <w:bookmarkStart w:id="3" w:name="_Toc25772"/>
      <w:r>
        <w:rPr>
          <w:rFonts w:ascii="仿宋" w:eastAsia="仿宋" w:hAnsi="仿宋" w:cs="仿宋" w:hint="eastAsia"/>
          <w:lang w:val="en-GB"/>
        </w:rPr>
        <w:t>(一)、危机预警与应急计划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4" w:name="_Toc12628"/>
      <w:r>
        <w:rPr>
          <w:rFonts w:ascii="仿宋" w:eastAsia="仿宋" w:hAnsi="仿宋" w:cs="仿宋" w:hint="eastAsia"/>
          <w:sz w:val="28"/>
          <w:lang w:val="en-GB"/>
        </w:rPr>
        <w:t>(二)、公关与危机沟通</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关系维护与合作伙伴关系建设是公司危机管理的基石。公司将注重与各利益相关方的关系维护和合作伙伴关系建设。通过定期的交流活动、企业社会责任计量标准器具：化学计量标准器具项目的推动等方式，公司将增进与员工、客户、供应商、投资者等各方的良好关系。在危机时，公司将充分发挥各方关系的积极作用，争取更多理解和支持。与关键合作伙伴之间，公司将建立长期稳定的合作机制，共同应对危机，形成危机共建共享的格局。</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形象修复与长期声誉管理是公司在危机后重要的工作。公司将根据危机的具体情况，制定相应的形象修复策略。通过开展品牌形象宣传、产品升级、社会公益活动等多种手段，公司将努力恢复公众对其的信任。长期声誉管理方面，公司将不仅仅在危机时关注形象维护，而是通过日常经营和企业社会责任的全面推动，树立积极向上的企业形象，增强公众对公司的好感度和认同感。</w:t>
      </w:r>
    </w:p>
    <w:p>
      <w:pPr>
        <w:pStyle w:val="Heading2"/>
        <w:ind w:firstLine="560" w:firstLineChars="200"/>
        <w:rPr>
          <w:rFonts w:ascii="仿宋" w:eastAsia="仿宋" w:hAnsi="仿宋" w:cs="仿宋" w:hint="eastAsia"/>
          <w:sz w:val="28"/>
          <w:lang w:val="en-GB"/>
        </w:rPr>
      </w:pPr>
      <w:bookmarkStart w:id="5" w:name="_Toc6942"/>
      <w:r>
        <w:rPr>
          <w:rFonts w:ascii="仿宋" w:eastAsia="仿宋" w:hAnsi="仿宋" w:cs="仿宋" w:hint="eastAsia"/>
          <w:sz w:val="28"/>
          <w:lang w:val="en-GB"/>
        </w:rPr>
        <w:t>(三)、媒体关系与舆情管理</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媒体关系建设：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积极构建与各类媒体的良好关系。这包括与新闻机构、计量标准器具：化学计量标准器具行业媒体、社交媒体等多个媒体渠道的沟通与合作。建立定期的媒体沟通渠道，向媒体提供及时准确的企业信息，展示公司的发展成就和社会责任履行，以确保对外信息传递的一致性和准确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舆情监测与分析：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全面的舆情监测系统，跟踪主流媒体、社交媒体和专业论坛等多个平台的舆情信息。通过先进的舆情分析工具，实时监测与公司相关的正面和负面舆情，深度分析舆情数据，及时了解公众关注点，为公司决策提供科学依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危机舆情处理：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https://d.book118.com/746024103221010040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计量标准器具：化学计量标准器具竞争策略分析报告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D3A0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2D3A05"/>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024103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2024-01-08T15:18:00Z</dcterms:created>
  <dcterms:modified xsi:type="dcterms:W3CDTF">2024-01-08T15:18:43Z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EC2DE34DE1774359AE78BE5EF5378656_11</vt:lpwstr>
  </property>
  <property fmtid="{D5CDD505-2E9C-101B-9397-08002B2CF9AE}" pid="3" name="KSOProductBuildVer">
    <vt:lpwstr>2052-12.1.0.16120</vt:lpwstr>
  </property>
</Properties>
</file>