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before="60" w:after="260" w:line="240" w:lineRule="auto"/>
        <w:jc w:val="both"/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spacing w:before="60" w:after="260" w:line="240" w:lineRule="auto"/>
        <w:jc w:val="both"/>
        <w:rPr>
          <w:rFonts w:ascii="微软雅黑" w:eastAsia="微软雅黑" w:hAnsi="微软雅黑" w:cs="微软雅黑" w:hint="default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2024年广告发布行业分析报告及未来五到十年行业发展趋势报告</w:t>
      </w:r>
    </w:p>
    <w:p>
      <w:pPr>
        <w:sectPr>
          <w:pgSz w:w="11906" w:h="16838"/>
          <w:pgMar w:top="1134" w:right="1474" w:bottom="1134" w:left="1474" w:header="851" w:footer="992" w:gutter="0"/>
          <w:cols w:num="1" w:space="425"/>
          <w:docGrid w:type="lines" w:linePitch="312" w:charSpace="0"/>
        </w:sectPr>
      </w:pPr>
    </w:p>
    <w:p>
      <w:pPr>
        <w:pStyle w:val="TOC1"/>
        <w:tabs>
          <w:tab w:val="right" w:leader="dot" w:pos="8958"/>
        </w:tabs>
      </w:pPr>
      <w:r>
        <w:fldChar w:fldCharType="begin"/>
      </w:r>
      <w:r>
        <w:instrText xml:space="preserve">TOC \o "1-3" \h \u </w:instrText>
      </w:r>
      <w:r>
        <w:fldChar w:fldCharType="separate"/>
      </w:r>
      <w:hyperlink w:anchor="_Toc17584" w:history="1">
        <w:r>
          <w:rPr>
            <w:rFonts w:eastAsia="微软雅黑" w:hint="eastAsia"/>
            <w:snapToGrid/>
            <w:lang w:val="en-US" w:eastAsia="en-US"/>
          </w:rPr>
          <w:t>一、关于未来5-10年</w:t>
        </w:r>
        <w:r>
          <w:rPr>
            <w:rFonts w:eastAsia="微软雅黑" w:hint="eastAsia"/>
            <w:snapToGrid/>
            <w:lang w:val="en-US" w:eastAsia="en-US"/>
          </w:rPr>
          <w:t>广告发布</w:t>
        </w:r>
        <w:r>
          <w:rPr>
            <w:rFonts w:eastAsia="微软雅黑" w:hint="eastAsia"/>
            <w:snapToGrid/>
            <w:lang w:val="en-US" w:eastAsia="en-US"/>
          </w:rPr>
          <w:t>行业发展机遇与挑战的建议</w:t>
        </w:r>
        <w:r>
          <w:tab/>
        </w:r>
        <w:r>
          <w:fldChar w:fldCharType="begin"/>
        </w:r>
        <w:r>
          <w:instrText xml:space="preserve"> PAGEREF _Toc17584 \h </w:instrText>
        </w:r>
        <w:r>
          <w:fldChar w:fldCharType="separate"/>
        </w:r>
        <w:r>
          <w:t>4</w:t>
        </w:r>
        <w:r>
          <w:fldChar w:fldCharType="end"/>
        </w:r>
      </w:hyperlink>
      <w:r>
        <w:fldChar w:fldCharType="end"/>
      </w:r>
    </w:p>
    <w:p>
      <w:pPr>
        <w:pStyle w:val="TOC2"/>
        <w:tabs>
          <w:tab w:val="right" w:leader="dot" w:pos="8958"/>
        </w:tabs>
      </w:pPr>
      <w:hyperlink w:anchor="_Toc21556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广告发布</w:t>
        </w:r>
        <w:r>
          <w:rPr>
            <w:rFonts w:eastAsia="微软雅黑" w:hint="eastAsia"/>
            <w:snapToGrid/>
            <w:lang w:val="en-US" w:eastAsia="en-US"/>
          </w:rPr>
          <w:t>行业发展趋势展望</w:t>
        </w:r>
        <w:r>
          <w:tab/>
        </w:r>
        <w:r>
          <w:fldChar w:fldCharType="begin"/>
        </w:r>
        <w:r>
          <w:instrText xml:space="preserve"> PAGEREF _Toc21556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235" w:history="1">
        <w:r>
          <w:rPr>
            <w:rFonts w:eastAsia="微软雅黑" w:hint="eastAsia"/>
            <w:snapToGrid/>
            <w:lang w:val="en-US" w:eastAsia="zh-CN"/>
          </w:rPr>
          <w:t>(二)、2024-2029年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行业宏观政策指导的机遇</w:t>
        </w:r>
        <w:r>
          <w:tab/>
        </w:r>
        <w:r>
          <w:fldChar w:fldCharType="begin"/>
        </w:r>
        <w:r>
          <w:instrText xml:space="preserve"> PAGEREF _Toc15235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957" w:history="1">
        <w:r>
          <w:rPr>
            <w:rFonts w:eastAsia="微软雅黑" w:hint="eastAsia"/>
            <w:snapToGrid/>
            <w:lang w:val="en-US" w:eastAsia="zh-CN"/>
          </w:rPr>
          <w:t>(三)、2024-2029年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产业结构调整的机遇</w:t>
        </w:r>
        <w:r>
          <w:tab/>
        </w:r>
        <w:r>
          <w:fldChar w:fldCharType="begin"/>
        </w:r>
        <w:r>
          <w:instrText xml:space="preserve"> PAGEREF _Toc11957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960" w:history="1">
        <w:r>
          <w:rPr>
            <w:rFonts w:eastAsia="微软雅黑" w:hint="eastAsia"/>
            <w:snapToGrid/>
            <w:lang w:val="en-US" w:eastAsia="zh-CN"/>
          </w:rPr>
          <w:t>(四)、2024-2029年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行业面临的挑战与对策</w:t>
        </w:r>
        <w:r>
          <w:tab/>
        </w:r>
        <w:r>
          <w:fldChar w:fldCharType="begin"/>
        </w:r>
        <w:r>
          <w:instrText xml:space="preserve"> PAGEREF _Toc22960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873" w:history="1">
        <w:r>
          <w:rPr>
            <w:rFonts w:eastAsia="微软雅黑" w:hint="eastAsia"/>
            <w:snapToGrid/>
            <w:lang w:val="en-US" w:eastAsia="en-US"/>
          </w:rPr>
          <w:t>二、宏观经济对</w:t>
        </w:r>
        <w:r>
          <w:rPr>
            <w:rFonts w:eastAsia="微软雅黑" w:hint="eastAsia"/>
            <w:snapToGrid/>
            <w:lang w:val="en-US" w:eastAsia="en-US"/>
          </w:rPr>
          <w:t>广告发布</w:t>
        </w:r>
        <w:r>
          <w:rPr>
            <w:rFonts w:eastAsia="微软雅黑" w:hint="eastAsia"/>
            <w:snapToGrid/>
            <w:lang w:val="en-US" w:eastAsia="en-US"/>
          </w:rPr>
          <w:t>行业的影响</w:t>
        </w:r>
        <w:r>
          <w:tab/>
        </w:r>
        <w:r>
          <w:fldChar w:fldCharType="begin"/>
        </w:r>
        <w:r>
          <w:instrText xml:space="preserve"> PAGEREF _Toc2873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227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行业线性决策机制分析</w:t>
        </w:r>
        <w:r>
          <w:tab/>
        </w:r>
        <w:r>
          <w:fldChar w:fldCharType="begin"/>
        </w:r>
        <w:r>
          <w:instrText xml:space="preserve"> PAGEREF _Toc24227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168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行业竞争与行业壁垒分析</w:t>
        </w:r>
        <w:r>
          <w:tab/>
        </w:r>
        <w:r>
          <w:fldChar w:fldCharType="begin"/>
        </w:r>
        <w:r>
          <w:instrText xml:space="preserve"> PAGEREF _Toc28168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651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行业库存管理波动分析</w:t>
        </w:r>
        <w:r>
          <w:tab/>
        </w:r>
        <w:r>
          <w:fldChar w:fldCharType="begin"/>
        </w:r>
        <w:r>
          <w:instrText xml:space="preserve"> PAGEREF _Toc7651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7251" w:history="1">
        <w:r>
          <w:rPr>
            <w:rFonts w:eastAsia="微软雅黑" w:hint="eastAsia"/>
            <w:snapToGrid/>
            <w:lang w:val="en-US" w:eastAsia="en-US"/>
          </w:rPr>
          <w:t>三、</w:t>
        </w:r>
        <w:r>
          <w:rPr>
            <w:rFonts w:eastAsia="微软雅黑" w:hint="eastAsia"/>
            <w:snapToGrid/>
            <w:lang w:val="en-US" w:eastAsia="en-US"/>
          </w:rPr>
          <w:t>广告发布</w:t>
        </w:r>
        <w:r>
          <w:rPr>
            <w:rFonts w:eastAsia="微软雅黑" w:hint="eastAsia"/>
            <w:snapToGrid/>
            <w:lang w:val="en-US" w:eastAsia="en-US"/>
          </w:rPr>
          <w:t>行业(2024-2029)发展趋势预测</w:t>
        </w:r>
        <w:r>
          <w:tab/>
        </w:r>
        <w:r>
          <w:fldChar w:fldCharType="begin"/>
        </w:r>
        <w:r>
          <w:instrText xml:space="preserve"> PAGEREF _Toc17251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63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广告发布</w:t>
        </w:r>
        <w:r>
          <w:rPr>
            <w:rFonts w:eastAsia="微软雅黑" w:hint="eastAsia"/>
            <w:snapToGrid/>
            <w:lang w:val="en-US" w:eastAsia="en-US"/>
          </w:rPr>
          <w:t>行业当下面临的机会和挑战</w:t>
        </w:r>
        <w:r>
          <w:tab/>
        </w:r>
        <w:r>
          <w:fldChar w:fldCharType="begin"/>
        </w:r>
        <w:r>
          <w:instrText xml:space="preserve"> PAGEREF _Toc1563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892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行业经营理念快速转变的意义</w:t>
        </w:r>
        <w:r>
          <w:tab/>
        </w:r>
        <w:r>
          <w:fldChar w:fldCharType="begin"/>
        </w:r>
        <w:r>
          <w:instrText xml:space="preserve"> PAGEREF _Toc27892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439" w:history="1">
        <w:r>
          <w:rPr>
            <w:rFonts w:eastAsia="微软雅黑" w:hint="eastAsia"/>
            <w:snapToGrid/>
            <w:lang w:val="en-US" w:eastAsia="zh-CN"/>
          </w:rPr>
          <w:t>(三)、整合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行业的技术服务</w:t>
        </w:r>
        <w:r>
          <w:tab/>
        </w:r>
        <w:r>
          <w:fldChar w:fldCharType="begin"/>
        </w:r>
        <w:r>
          <w:instrText xml:space="preserve"> PAGEREF _Toc4439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133" w:history="1">
        <w:r>
          <w:rPr>
            <w:rFonts w:eastAsia="微软雅黑" w:hint="eastAsia"/>
            <w:snapToGrid/>
            <w:lang w:val="en-US" w:eastAsia="zh-CN"/>
          </w:rPr>
          <w:t>(四)、迅速转变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行业企业的增长动力</w:t>
        </w:r>
        <w:r>
          <w:tab/>
        </w:r>
        <w:r>
          <w:fldChar w:fldCharType="begin"/>
        </w:r>
        <w:r>
          <w:instrText xml:space="preserve"> PAGEREF _Toc10133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8697" w:history="1">
        <w:r>
          <w:rPr>
            <w:rFonts w:eastAsia="微软雅黑" w:hint="eastAsia"/>
            <w:snapToGrid/>
            <w:lang w:val="en-US" w:eastAsia="en-US"/>
          </w:rPr>
          <w:t>四、</w:t>
        </w:r>
        <w:r>
          <w:rPr>
            <w:rFonts w:eastAsia="微软雅黑" w:hint="eastAsia"/>
            <w:snapToGrid/>
            <w:lang w:val="en-US" w:eastAsia="en-US"/>
          </w:rPr>
          <w:t>广告发布</w:t>
        </w:r>
        <w:r>
          <w:rPr>
            <w:rFonts w:eastAsia="微软雅黑" w:hint="eastAsia"/>
            <w:snapToGrid/>
            <w:lang w:val="en-US" w:eastAsia="en-US"/>
          </w:rPr>
          <w:t>行业企业差异化突破战略</w:t>
        </w:r>
        <w:r>
          <w:tab/>
        </w:r>
        <w:r>
          <w:fldChar w:fldCharType="begin"/>
        </w:r>
        <w:r>
          <w:instrText xml:space="preserve"> PAGEREF _Toc28697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832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广告发布</w:t>
        </w:r>
        <w:r>
          <w:rPr>
            <w:rFonts w:eastAsia="微软雅黑" w:hint="eastAsia"/>
            <w:snapToGrid/>
            <w:lang w:val="en-US" w:eastAsia="en-US"/>
          </w:rPr>
          <w:t>行业产品差异化获取“商机”</w:t>
        </w:r>
        <w:r>
          <w:tab/>
        </w:r>
        <w:r>
          <w:fldChar w:fldCharType="begin"/>
        </w:r>
        <w:r>
          <w:instrText xml:space="preserve"> PAGEREF _Toc29832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639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行业市场分化赢得“商机”</w:t>
        </w:r>
        <w:r>
          <w:tab/>
        </w:r>
        <w:r>
          <w:fldChar w:fldCharType="begin"/>
        </w:r>
        <w:r>
          <w:instrText xml:space="preserve"> PAGEREF _Toc3639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787" w:history="1">
        <w:r>
          <w:rPr>
            <w:rFonts w:eastAsia="微软雅黑" w:hint="eastAsia"/>
            <w:snapToGrid/>
            <w:lang w:val="en-US" w:eastAsia="zh-CN"/>
          </w:rPr>
          <w:t>(三)、以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行业服务差异化“抓住”商机</w:t>
        </w:r>
        <w:r>
          <w:tab/>
        </w:r>
        <w:r>
          <w:fldChar w:fldCharType="begin"/>
        </w:r>
        <w:r>
          <w:instrText xml:space="preserve"> PAGEREF _Toc18787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345" w:history="1">
        <w:r>
          <w:rPr>
            <w:rFonts w:eastAsia="微软雅黑" w:hint="eastAsia"/>
            <w:snapToGrid/>
            <w:lang w:val="en-US" w:eastAsia="zh-CN"/>
          </w:rPr>
          <w:t>(四)、用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行业客户差异化“抓住”商机</w:t>
        </w:r>
        <w:r>
          <w:tab/>
        </w:r>
        <w:r>
          <w:fldChar w:fldCharType="begin"/>
        </w:r>
        <w:r>
          <w:instrText xml:space="preserve"> PAGEREF _Toc18345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255" w:history="1">
        <w:r>
          <w:rPr>
            <w:rFonts w:eastAsia="微软雅黑" w:hint="eastAsia"/>
            <w:snapToGrid/>
            <w:lang w:val="en-US" w:eastAsia="zh-CN"/>
          </w:rPr>
          <w:t>(五)、以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行业渠道差异化“争取”商机</w:t>
        </w:r>
        <w:r>
          <w:tab/>
        </w:r>
        <w:r>
          <w:fldChar w:fldCharType="begin"/>
        </w:r>
        <w:r>
          <w:instrText xml:space="preserve"> PAGEREF _Toc9255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5287" w:history="1">
        <w:r>
          <w:rPr>
            <w:rFonts w:eastAsia="微软雅黑" w:hint="eastAsia"/>
            <w:snapToGrid/>
            <w:lang w:val="en-US" w:eastAsia="en-US"/>
          </w:rPr>
          <w:t>五、2024-2029年</w:t>
        </w:r>
        <w:r>
          <w:rPr>
            <w:rFonts w:eastAsia="微软雅黑" w:hint="eastAsia"/>
            <w:snapToGrid/>
            <w:lang w:val="en-US" w:eastAsia="en-US"/>
          </w:rPr>
          <w:t>广告发布</w:t>
        </w:r>
        <w:r>
          <w:rPr>
            <w:rFonts w:eastAsia="微软雅黑" w:hint="eastAsia"/>
            <w:snapToGrid/>
            <w:lang w:val="en-US" w:eastAsia="en-US"/>
          </w:rPr>
          <w:t>行业企业市场突破具体策略</w:t>
        </w:r>
        <w:r>
          <w:tab/>
        </w:r>
        <w:r>
          <w:fldChar w:fldCharType="begin"/>
        </w:r>
        <w:r>
          <w:instrText xml:space="preserve"> PAGEREF _Toc5287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819" w:history="1">
        <w:r>
          <w:rPr>
            <w:rFonts w:eastAsia="微软雅黑" w:hint="eastAsia"/>
            <w:snapToGrid/>
            <w:lang w:val="en-US" w:eastAsia="en-US"/>
          </w:rPr>
          <w:t>(一)、密切关注竞争对手的策略，提高</w:t>
        </w:r>
        <w:r>
          <w:rPr>
            <w:rFonts w:eastAsia="微软雅黑" w:hint="eastAsia"/>
            <w:snapToGrid/>
            <w:lang w:val="en-US" w:eastAsia="en-US"/>
          </w:rPr>
          <w:t>广告发布</w:t>
        </w:r>
        <w:r>
          <w:rPr>
            <w:rFonts w:eastAsia="微软雅黑" w:hint="eastAsia"/>
            <w:snapToGrid/>
            <w:lang w:val="en-US" w:eastAsia="en-US"/>
          </w:rPr>
          <w:t>行业产品在行业内的竞争力</w:t>
        </w:r>
        <w:r>
          <w:tab/>
        </w:r>
        <w:r>
          <w:fldChar w:fldCharType="begin"/>
        </w:r>
        <w:r>
          <w:instrText xml:space="preserve"> PAGEREF _Toc19819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612" w:history="1">
        <w:r>
          <w:rPr>
            <w:rFonts w:eastAsia="微软雅黑" w:hint="eastAsia"/>
            <w:snapToGrid/>
            <w:lang w:val="en-US" w:eastAsia="zh-CN"/>
          </w:rPr>
          <w:t>(二)、使用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行业市场渗透策略，不断开发新客户</w:t>
        </w:r>
        <w:r>
          <w:tab/>
        </w:r>
        <w:r>
          <w:fldChar w:fldCharType="begin"/>
        </w:r>
        <w:r>
          <w:instrText xml:space="preserve"> PAGEREF _Toc28612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318" w:history="1">
        <w:r>
          <w:rPr>
            <w:rFonts w:eastAsia="微软雅黑" w:hint="eastAsia"/>
            <w:snapToGrid/>
            <w:lang w:val="en-US" w:eastAsia="zh-CN"/>
          </w:rPr>
          <w:t>(三)、实施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行业市场发展战略，不断开拓各类市场创新源</w:t>
        </w:r>
        <w:r>
          <w:tab/>
        </w:r>
        <w:r>
          <w:fldChar w:fldCharType="begin"/>
        </w:r>
        <w:r>
          <w:instrText xml:space="preserve"> PAGEREF _Toc8318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568" w:history="1">
        <w:r>
          <w:rPr>
            <w:rFonts w:eastAsia="微软雅黑" w:hint="eastAsia"/>
            <w:snapToGrid/>
            <w:lang w:val="en-US" w:eastAsia="zh-CN"/>
          </w:rPr>
          <w:t>(四)、不断提高产品质量，建立覆盖完善的服务体系</w:t>
        </w:r>
        <w:r>
          <w:tab/>
        </w:r>
        <w:r>
          <w:fldChar w:fldCharType="begin"/>
        </w:r>
        <w:r>
          <w:instrText xml:space="preserve"> PAGEREF _Toc3568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776" w:history="1">
        <w:r>
          <w:rPr>
            <w:rFonts w:eastAsia="微软雅黑" w:hint="eastAsia"/>
            <w:snapToGrid/>
            <w:lang w:val="en-US" w:eastAsia="zh-CN"/>
          </w:rPr>
          <w:t>(五)、实施线上线下融合，深化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行业国内外市场拓展</w:t>
        </w:r>
        <w:r>
          <w:tab/>
        </w:r>
        <w:r>
          <w:fldChar w:fldCharType="begin"/>
        </w:r>
        <w:r>
          <w:instrText xml:space="preserve"> PAGEREF _Toc12776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2649" w:history="1">
        <w:r>
          <w:rPr>
            <w:rFonts w:eastAsia="微软雅黑" w:hint="eastAsia"/>
            <w:snapToGrid/>
            <w:lang w:val="en-US" w:eastAsia="zh-CN"/>
          </w:rPr>
          <w:t>(六)、在市场开发中结合渗透和其他策略</w:t>
        </w:r>
        <w:r>
          <w:tab/>
        </w:r>
        <w:r>
          <w:fldChar w:fldCharType="begin"/>
        </w:r>
        <w:r>
          <w:instrText xml:space="preserve"> PAGEREF _Toc32649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1961" w:history="1">
        <w:r>
          <w:rPr>
            <w:rFonts w:eastAsia="微软雅黑" w:hint="eastAsia"/>
            <w:snapToGrid/>
            <w:lang w:val="en-US" w:eastAsia="en-US"/>
          </w:rPr>
          <w:t>六、</w:t>
        </w:r>
        <w:r>
          <w:rPr>
            <w:rFonts w:eastAsia="微软雅黑" w:hint="eastAsia"/>
            <w:snapToGrid/>
            <w:lang w:val="en-US" w:eastAsia="en-US"/>
          </w:rPr>
          <w:t>广告发布</w:t>
        </w:r>
        <w:r>
          <w:rPr>
            <w:rFonts w:eastAsia="微软雅黑" w:hint="eastAsia"/>
            <w:snapToGrid/>
            <w:lang w:val="en-US" w:eastAsia="en-US"/>
          </w:rPr>
          <w:t>行业财务状况分析</w:t>
        </w:r>
        <w:r>
          <w:tab/>
        </w:r>
        <w:r>
          <w:fldChar w:fldCharType="begin"/>
        </w:r>
        <w:r>
          <w:instrText xml:space="preserve"> PAGEREF _Toc11961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165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广告发布</w:t>
        </w:r>
        <w:r>
          <w:rPr>
            <w:rFonts w:eastAsia="微软雅黑" w:hint="eastAsia"/>
            <w:snapToGrid/>
            <w:lang w:val="en-US" w:eastAsia="en-US"/>
          </w:rPr>
          <w:t>行业近三年财务数据及指标分析</w:t>
        </w:r>
        <w:r>
          <w:tab/>
        </w:r>
        <w:r>
          <w:fldChar w:fldCharType="begin"/>
        </w:r>
        <w:r>
          <w:instrText xml:space="preserve"> PAGEREF _Toc19165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476" w:history="1">
        <w:r>
          <w:rPr>
            <w:rFonts w:eastAsia="微软雅黑" w:hint="eastAsia"/>
            <w:snapToGrid/>
            <w:lang w:val="en-US" w:eastAsia="zh-CN"/>
          </w:rPr>
          <w:t>(二)、现金流对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_Toc25476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1450" w:history="1">
        <w:r>
          <w:rPr>
            <w:rFonts w:eastAsia="微软雅黑" w:hint="eastAsia"/>
            <w:snapToGrid/>
            <w:lang w:val="en-US" w:eastAsia="en-US"/>
          </w:rPr>
          <w:t>七、</w:t>
        </w:r>
        <w:r>
          <w:rPr>
            <w:rFonts w:eastAsia="微软雅黑" w:hint="eastAsia"/>
            <w:snapToGrid/>
            <w:lang w:val="en-US" w:eastAsia="en-US"/>
          </w:rPr>
          <w:t>广告发布</w:t>
        </w:r>
        <w:r>
          <w:rPr>
            <w:rFonts w:eastAsia="微软雅黑" w:hint="eastAsia"/>
            <w:snapToGrid/>
            <w:lang w:val="en-US" w:eastAsia="en-US"/>
          </w:rPr>
          <w:t>行业风险控制解析</w:t>
        </w:r>
        <w:r>
          <w:tab/>
        </w:r>
        <w:r>
          <w:fldChar w:fldCharType="begin"/>
        </w:r>
        <w:r>
          <w:instrText xml:space="preserve"> PAGEREF _Toc21450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087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广告发布</w:t>
        </w:r>
        <w:r>
          <w:rPr>
            <w:rFonts w:eastAsia="微软雅黑" w:hint="eastAsia"/>
            <w:snapToGrid/>
            <w:lang w:val="en-US" w:eastAsia="en-US"/>
          </w:rPr>
          <w:t>行业系统风险分析</w:t>
        </w:r>
        <w:r>
          <w:tab/>
        </w:r>
        <w:r>
          <w:fldChar w:fldCharType="begin"/>
        </w:r>
        <w:r>
          <w:instrText xml:space="preserve"> PAGEREF _Toc4087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741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行业第二产业的经营风险</w:t>
        </w:r>
        <w:r>
          <w:tab/>
        </w:r>
        <w:r>
          <w:fldChar w:fldCharType="begin"/>
        </w:r>
        <w:r>
          <w:instrText xml:space="preserve"> PAGEREF _Toc16741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5230" w:history="1">
        <w:r>
          <w:rPr>
            <w:rFonts w:eastAsia="微软雅黑" w:hint="eastAsia"/>
            <w:snapToGrid/>
            <w:lang w:val="en-US" w:eastAsia="en-US"/>
          </w:rPr>
          <w:t>八、2024-2029年</w:t>
        </w:r>
        <w:r>
          <w:rPr>
            <w:rFonts w:eastAsia="微软雅黑" w:hint="eastAsia"/>
            <w:snapToGrid/>
            <w:lang w:val="en-US" w:eastAsia="en-US"/>
          </w:rPr>
          <w:t>广告发布</w:t>
        </w:r>
        <w:r>
          <w:rPr>
            <w:rFonts w:eastAsia="微软雅黑" w:hint="eastAsia"/>
            <w:snapToGrid/>
            <w:lang w:val="en-US" w:eastAsia="en-US"/>
          </w:rPr>
          <w:t>行业市场运行趋势及存在问题分析</w:t>
        </w:r>
        <w:r>
          <w:tab/>
        </w:r>
        <w:r>
          <w:fldChar w:fldCharType="begin"/>
        </w:r>
        <w:r>
          <w:instrText xml:space="preserve"> PAGEREF _Toc5230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  <w:sectPr>
          <w:footerReference w:type="default" r:id="rId4"/>
          <w:pgSz w:w="11906" w:h="16838"/>
          <w:pgMar w:top="1134" w:right="1474" w:bottom="1134" w:left="1474" w:header="708" w:footer="708" w:gutter="0"/>
          <w:pgNumType w:start="2"/>
          <w:cols w:num="1" w:sep="1" w:space="708"/>
          <w:vAlign w:val="top"/>
          <w:titlePg w:val="0"/>
          <w:docGrid w:linePitch="360" w:charSpace="0"/>
        </w:sectPr>
      </w:pPr>
      <w:hyperlink w:anchor="_Toc22986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广告发布</w:t>
        </w:r>
        <w:r>
          <w:rPr>
            <w:rFonts w:eastAsia="微软雅黑" w:hint="eastAsia"/>
            <w:snapToGrid/>
            <w:lang w:val="en-US" w:eastAsia="en-US"/>
          </w:rPr>
          <w:t>行业市场运行动态分析</w:t>
        </w:r>
        <w:r>
          <w:tab/>
        </w:r>
        <w:r>
          <w:fldChar w:fldCharType="begin"/>
        </w:r>
        <w:r>
          <w:instrText xml:space="preserve"> PAGEREF _Toc22986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539" w:history="1">
        <w:r>
          <w:rPr>
            <w:rFonts w:eastAsia="微软雅黑" w:hint="eastAsia"/>
            <w:snapToGrid/>
            <w:lang w:val="en-US" w:eastAsia="zh-CN"/>
          </w:rPr>
          <w:t>(二)、现阶段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_Toc12539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849" w:history="1">
        <w:r>
          <w:rPr>
            <w:rFonts w:eastAsia="微软雅黑" w:hint="eastAsia"/>
            <w:snapToGrid/>
            <w:lang w:val="en-US" w:eastAsia="zh-CN"/>
          </w:rPr>
          <w:t>(三)、现阶段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_Toc19849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77" w:history="1">
        <w:r>
          <w:rPr>
            <w:rFonts w:eastAsia="微软雅黑" w:hint="eastAsia"/>
            <w:snapToGrid/>
            <w:lang w:val="en-US" w:eastAsia="zh-CN"/>
          </w:rPr>
          <w:t>(四)、规范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行业的发展</w:t>
        </w:r>
        <w:r>
          <w:tab/>
        </w:r>
        <w:r>
          <w:fldChar w:fldCharType="begin"/>
        </w:r>
        <w:r>
          <w:instrText xml:space="preserve"> PAGEREF _Toc2477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30533" w:history="1">
        <w:r>
          <w:rPr>
            <w:rFonts w:eastAsia="微软雅黑" w:hint="eastAsia"/>
            <w:snapToGrid/>
            <w:lang w:val="en-US" w:eastAsia="en-US"/>
          </w:rPr>
          <w:t>九、关于</w:t>
        </w:r>
        <w:r>
          <w:rPr>
            <w:rFonts w:eastAsia="微软雅黑" w:hint="eastAsia"/>
            <w:snapToGrid/>
            <w:lang w:val="en-US" w:eastAsia="en-US"/>
          </w:rPr>
          <w:t>广告发布</w:t>
        </w:r>
        <w:r>
          <w:rPr>
            <w:rFonts w:eastAsia="微软雅黑" w:hint="eastAsia"/>
            <w:snapToGrid/>
            <w:lang w:val="en-US" w:eastAsia="en-US"/>
          </w:rPr>
          <w:t>行业发展战略规划的建议</w:t>
        </w:r>
        <w:r>
          <w:tab/>
        </w:r>
        <w:r>
          <w:fldChar w:fldCharType="begin"/>
        </w:r>
        <w:r>
          <w:instrText xml:space="preserve"> PAGEREF _Toc30533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48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广告发布</w:t>
        </w:r>
        <w:r>
          <w:rPr>
            <w:rFonts w:eastAsia="微软雅黑" w:hint="eastAsia"/>
            <w:snapToGrid/>
            <w:lang w:val="en-US" w:eastAsia="en-US"/>
          </w:rPr>
          <w:t>行业战略规划简介</w:t>
        </w:r>
        <w:r>
          <w:tab/>
        </w:r>
        <w:r>
          <w:fldChar w:fldCharType="begin"/>
        </w:r>
        <w:r>
          <w:instrText xml:space="preserve"> PAGEREF _Toc548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31104" w:history="1">
        <w:r>
          <w:rPr>
            <w:rFonts w:eastAsia="微软雅黑" w:hint="eastAsia"/>
            <w:snapToGrid/>
            <w:lang w:val="en-US" w:eastAsia="zh-CN"/>
          </w:rPr>
          <w:t>1、行业的社会化</w:t>
        </w:r>
        <w:r>
          <w:tab/>
        </w:r>
        <w:r>
          <w:fldChar w:fldCharType="begin"/>
        </w:r>
        <w:r>
          <w:instrText xml:space="preserve"> PAGEREF _Toc31104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1172" w:history="1">
        <w:r>
          <w:rPr>
            <w:rFonts w:eastAsia="微软雅黑" w:hint="eastAsia"/>
            <w:snapToGrid/>
            <w:lang w:val="en-US" w:eastAsia="zh-CN"/>
          </w:rPr>
          <w:t>2、行业的规模化</w:t>
        </w:r>
        <w:r>
          <w:tab/>
        </w:r>
        <w:r>
          <w:fldChar w:fldCharType="begin"/>
        </w:r>
        <w:r>
          <w:instrText xml:space="preserve"> PAGEREF _Toc21172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233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行业的市场应用方向</w:t>
        </w:r>
        <w:r>
          <w:tab/>
        </w:r>
        <w:r>
          <w:fldChar w:fldCharType="begin"/>
        </w:r>
        <w:r>
          <w:instrText xml:space="preserve"> PAGEREF _Toc13233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75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行业的发展重点</w:t>
        </w:r>
        <w:r>
          <w:tab/>
        </w:r>
        <w:r>
          <w:fldChar w:fldCharType="begin"/>
        </w:r>
        <w:r>
          <w:instrText xml:space="preserve"> PAGEREF _Toc2975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4370" w:history="1">
        <w:r>
          <w:rPr>
            <w:rFonts w:eastAsia="微软雅黑" w:hint="eastAsia"/>
            <w:snapToGrid/>
            <w:lang w:val="en-US" w:eastAsia="en-US"/>
          </w:rPr>
          <w:t>十、</w:t>
        </w:r>
        <w:r>
          <w:rPr>
            <w:rFonts w:eastAsia="微软雅黑" w:hint="eastAsia"/>
            <w:snapToGrid/>
            <w:lang w:val="en-US" w:eastAsia="en-US"/>
          </w:rPr>
          <w:t>广告发布</w:t>
        </w:r>
        <w:r>
          <w:rPr>
            <w:rFonts w:eastAsia="微软雅黑" w:hint="eastAsia"/>
            <w:snapToGrid/>
            <w:lang w:val="en-US" w:eastAsia="en-US"/>
          </w:rPr>
          <w:t>行业企业战略选择</w:t>
        </w:r>
        <w:r>
          <w:tab/>
        </w:r>
        <w:r>
          <w:fldChar w:fldCharType="begin"/>
        </w:r>
        <w:r>
          <w:instrText xml:space="preserve"> PAGEREF _Toc4370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990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行业SWOT分析</w:t>
        </w:r>
        <w:r>
          <w:tab/>
        </w:r>
        <w:r>
          <w:fldChar w:fldCharType="begin"/>
        </w:r>
        <w:r>
          <w:instrText xml:space="preserve"> PAGEREF _Toc7990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32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行业企业战略确定</w:t>
        </w:r>
        <w:r>
          <w:tab/>
        </w:r>
        <w:r>
          <w:fldChar w:fldCharType="begin"/>
        </w:r>
        <w:r>
          <w:instrText xml:space="preserve"> PAGEREF _Toc1732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571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行业PEST分析</w:t>
        </w:r>
        <w:r>
          <w:tab/>
        </w:r>
        <w:r>
          <w:fldChar w:fldCharType="begin"/>
        </w:r>
        <w:r>
          <w:instrText xml:space="preserve"> PAGEREF _Toc4571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090" w:history="1">
        <w:r>
          <w:rPr>
            <w:rFonts w:eastAsia="微软雅黑" w:hint="eastAsia"/>
            <w:snapToGrid/>
            <w:lang w:val="en-US" w:eastAsia="zh-CN"/>
          </w:rPr>
          <w:t>1、政策因素</w:t>
        </w:r>
        <w:r>
          <w:tab/>
        </w:r>
        <w:r>
          <w:fldChar w:fldCharType="begin"/>
        </w:r>
        <w:r>
          <w:instrText xml:space="preserve"> PAGEREF _Toc1090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0043" w:history="1">
        <w:r>
          <w:rPr>
            <w:rFonts w:eastAsia="微软雅黑" w:hint="eastAsia"/>
            <w:snapToGrid/>
            <w:lang w:val="en-US" w:eastAsia="zh-CN"/>
          </w:rPr>
          <w:t>2、经济因素</w:t>
        </w:r>
        <w:r>
          <w:tab/>
        </w:r>
        <w:r>
          <w:fldChar w:fldCharType="begin"/>
        </w:r>
        <w:r>
          <w:instrText xml:space="preserve"> PAGEREF _Toc10043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8726" w:history="1">
        <w:r>
          <w:rPr>
            <w:rFonts w:eastAsia="微软雅黑" w:hint="eastAsia"/>
            <w:snapToGrid/>
            <w:lang w:val="en-US" w:eastAsia="zh-CN"/>
          </w:rPr>
          <w:t>3、社会因素</w:t>
        </w:r>
        <w:r>
          <w:tab/>
        </w:r>
        <w:r>
          <w:fldChar w:fldCharType="begin"/>
        </w:r>
        <w:r>
          <w:instrText xml:space="preserve"> PAGEREF _Toc28726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4125" w:history="1">
        <w:r>
          <w:rPr>
            <w:rFonts w:eastAsia="微软雅黑" w:hint="eastAsia"/>
            <w:snapToGrid/>
            <w:lang w:val="en-US" w:eastAsia="zh-CN"/>
          </w:rPr>
          <w:t>4、技术因素</w:t>
        </w:r>
        <w:r>
          <w:tab/>
        </w:r>
        <w:r>
          <w:fldChar w:fldCharType="begin"/>
        </w:r>
        <w:r>
          <w:instrText xml:space="preserve"> PAGEREF _Toc24125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3855" w:history="1">
        <w:r>
          <w:rPr>
            <w:rFonts w:eastAsia="微软雅黑" w:hint="eastAsia"/>
            <w:snapToGrid/>
            <w:lang w:val="en-US" w:eastAsia="en-US"/>
          </w:rPr>
          <w:t>十一、“疫情”对</w:t>
        </w:r>
        <w:r>
          <w:rPr>
            <w:rFonts w:eastAsia="微软雅黑" w:hint="eastAsia"/>
            <w:snapToGrid/>
            <w:lang w:val="en-US" w:eastAsia="en-US"/>
          </w:rPr>
          <w:t>广告发布</w:t>
        </w:r>
        <w:r>
          <w:rPr>
            <w:rFonts w:eastAsia="微软雅黑" w:hint="eastAsia"/>
            <w:snapToGrid/>
            <w:lang w:val="en-US" w:eastAsia="en-US"/>
          </w:rPr>
          <w:t>行业可持续发展目标的影响及对策</w:t>
        </w:r>
        <w:r>
          <w:tab/>
        </w:r>
        <w:r>
          <w:fldChar w:fldCharType="begin"/>
        </w:r>
        <w:r>
          <w:instrText xml:space="preserve"> PAGEREF _Toc23855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900" w:history="1">
        <w:r>
          <w:rPr>
            <w:rFonts w:eastAsia="微软雅黑" w:hint="eastAsia"/>
            <w:snapToGrid/>
            <w:lang w:val="en-US" w:eastAsia="zh-CN"/>
          </w:rPr>
          <w:t>(一)、国内有关政府机构对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行业的建议</w:t>
        </w:r>
        <w:r>
          <w:tab/>
        </w:r>
        <w:r>
          <w:fldChar w:fldCharType="begin"/>
        </w:r>
        <w:r>
          <w:instrText xml:space="preserve"> PAGEREF _Toc22900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560" w:history="1">
        <w:r>
          <w:rPr>
            <w:rFonts w:eastAsia="微软雅黑" w:hint="eastAsia"/>
            <w:snapToGrid/>
            <w:lang w:val="en-US" w:eastAsia="zh-CN"/>
          </w:rPr>
          <w:t>(二)、关于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产业上下游产业合作的建议</w:t>
        </w:r>
        <w:r>
          <w:tab/>
        </w:r>
        <w:r>
          <w:fldChar w:fldCharType="begin"/>
        </w:r>
        <w:r>
          <w:instrText xml:space="preserve"> PAGEREF _Toc15560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" w:history="1">
        <w:r>
          <w:rPr>
            <w:rFonts w:eastAsia="微软雅黑" w:hint="eastAsia"/>
            <w:snapToGrid/>
            <w:lang w:val="en-US" w:eastAsia="zh-CN"/>
          </w:rPr>
          <w:t>(三)、突破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行业企业疫情的策略</w:t>
        </w:r>
        <w:r>
          <w:tab/>
        </w:r>
        <w:r>
          <w:fldChar w:fldCharType="begin"/>
        </w:r>
        <w:r>
          <w:instrText xml:space="preserve"> PAGEREF _Toc22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9772" w:history="1">
        <w:r>
          <w:rPr>
            <w:rFonts w:eastAsia="微软雅黑" w:hint="eastAsia"/>
            <w:snapToGrid/>
            <w:lang w:val="en-US" w:eastAsia="en-US"/>
          </w:rPr>
          <w:t>十二、</w:t>
        </w:r>
        <w:r>
          <w:rPr>
            <w:rFonts w:eastAsia="微软雅黑" w:hint="eastAsia"/>
            <w:snapToGrid/>
            <w:lang w:val="en-US" w:eastAsia="en-US"/>
          </w:rPr>
          <w:t>广告发布</w:t>
        </w:r>
        <w:r>
          <w:rPr>
            <w:rFonts w:eastAsia="微软雅黑" w:hint="eastAsia"/>
            <w:snapToGrid/>
            <w:lang w:val="en-US" w:eastAsia="en-US"/>
          </w:rPr>
          <w:t>行业多元化趋势</w:t>
        </w:r>
        <w:r>
          <w:tab/>
        </w:r>
        <w:r>
          <w:fldChar w:fldCharType="begin"/>
        </w:r>
        <w:r>
          <w:instrText xml:space="preserve"> PAGEREF _Toc19772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355" w:history="1">
        <w:r>
          <w:rPr>
            <w:rFonts w:eastAsia="微软雅黑" w:hint="eastAsia"/>
            <w:snapToGrid/>
            <w:lang w:val="en-US" w:eastAsia="en-US"/>
          </w:rPr>
          <w:t>(一)、宏观机制升级</w:t>
        </w:r>
        <w:r>
          <w:tab/>
        </w:r>
        <w:r>
          <w:fldChar w:fldCharType="begin"/>
        </w:r>
        <w:r>
          <w:instrText xml:space="preserve"> PAGEREF _Toc17355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301" w:history="1">
        <w:r>
          <w:rPr>
            <w:rFonts w:eastAsia="微软雅黑" w:hint="eastAsia"/>
            <w:snapToGrid/>
            <w:lang w:val="en-US" w:eastAsia="zh-CN"/>
          </w:rPr>
          <w:t>(二)、服务模式多元化</w:t>
        </w:r>
        <w:r>
          <w:tab/>
        </w:r>
        <w:r>
          <w:fldChar w:fldCharType="begin"/>
        </w:r>
        <w:r>
          <w:instrText xml:space="preserve"> PAGEREF _Toc7301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610" w:history="1">
        <w:r>
          <w:rPr>
            <w:rFonts w:eastAsia="微软雅黑" w:hint="eastAsia"/>
            <w:snapToGrid/>
            <w:lang w:val="en-US" w:eastAsia="zh-CN"/>
          </w:rPr>
          <w:t>(三)、新的价格战将不可避免</w:t>
        </w:r>
        <w:r>
          <w:tab/>
        </w:r>
        <w:r>
          <w:fldChar w:fldCharType="begin"/>
        </w:r>
        <w:r>
          <w:instrText xml:space="preserve"> PAGEREF _Toc6610 \</w:instrText>
        </w:r>
        <w:r>
          <w:instrText xml:space="preserve">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487" w:history="1">
        <w:r>
          <w:rPr>
            <w:rFonts w:eastAsia="微软雅黑" w:hint="eastAsia"/>
            <w:snapToGrid/>
            <w:lang w:val="en-US" w:eastAsia="zh-CN"/>
          </w:rPr>
          <w:t>(四)、社会化特征增强</w:t>
        </w:r>
        <w:r>
          <w:tab/>
        </w:r>
        <w:r>
          <w:fldChar w:fldCharType="begin"/>
        </w:r>
        <w:r>
          <w:instrText xml:space="preserve"> PAGEREF _Toc5487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199" w:history="1">
        <w:r>
          <w:rPr>
            <w:rFonts w:eastAsia="微软雅黑" w:hint="eastAsia"/>
            <w:snapToGrid/>
            <w:lang w:val="en-US" w:eastAsia="zh-CN"/>
          </w:rPr>
          <w:t>(五)、信息化实施力度加大</w:t>
        </w:r>
        <w:r>
          <w:tab/>
        </w:r>
        <w:r>
          <w:fldChar w:fldCharType="begin"/>
        </w:r>
        <w:r>
          <w:instrText xml:space="preserve"> PAGEREF _Toc27199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232" w:history="1">
        <w:r>
          <w:rPr>
            <w:rFonts w:eastAsia="微软雅黑" w:hint="eastAsia"/>
            <w:snapToGrid/>
            <w:lang w:val="en-US" w:eastAsia="zh-CN"/>
          </w:rPr>
          <w:t>(六)、生态化建设进一步开放</w:t>
        </w:r>
        <w:r>
          <w:tab/>
        </w:r>
        <w:r>
          <w:fldChar w:fldCharType="begin"/>
        </w:r>
        <w:r>
          <w:instrText xml:space="preserve"> PAGEREF _Toc28232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698" w:history="1">
        <w:r>
          <w:rPr>
            <w:rFonts w:eastAsia="微软雅黑" w:hint="eastAsia"/>
            <w:snapToGrid/>
            <w:lang w:val="en-US" w:eastAsia="zh-CN"/>
          </w:rPr>
          <w:t>(七)、呈现集群化分布</w:t>
        </w:r>
        <w:r>
          <w:tab/>
        </w:r>
        <w:r>
          <w:fldChar w:fldCharType="begin"/>
        </w:r>
        <w:r>
          <w:instrText xml:space="preserve"> PAGEREF _Toc3698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991" w:history="1">
        <w:r>
          <w:rPr>
            <w:rFonts w:eastAsia="微软雅黑" w:hint="eastAsia"/>
            <w:snapToGrid/>
            <w:lang w:val="en-US" w:eastAsia="zh-CN"/>
          </w:rPr>
          <w:t>(八)、各信息化厂商推动</w:t>
        </w:r>
        <w:r>
          <w:rPr>
            <w:rFonts w:eastAsia="微软雅黑" w:hint="eastAsia"/>
            <w:snapToGrid/>
            <w:lang w:val="en-US" w:eastAsia="zh-CN"/>
          </w:rPr>
          <w:t>广告发布</w:t>
        </w:r>
        <w:r>
          <w:rPr>
            <w:rFonts w:eastAsia="微软雅黑" w:hint="eastAsia"/>
            <w:snapToGrid/>
            <w:lang w:val="en-US" w:eastAsia="zh-CN"/>
          </w:rPr>
          <w:t>行业发展</w:t>
        </w:r>
        <w:r>
          <w:tab/>
        </w:r>
        <w:r>
          <w:fldChar w:fldCharType="begin"/>
        </w:r>
        <w:r>
          <w:instrText xml:space="preserve"> PAGEREF _Toc19991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2751" w:history="1">
        <w:r>
          <w:rPr>
            <w:rFonts w:eastAsia="微软雅黑" w:hint="eastAsia"/>
            <w:snapToGrid/>
            <w:lang w:val="en-US" w:eastAsia="zh-CN"/>
          </w:rPr>
          <w:t>(九)、政府采购政策加码</w:t>
        </w:r>
        <w:r>
          <w:tab/>
        </w:r>
        <w:r>
          <w:fldChar w:fldCharType="begin"/>
        </w:r>
        <w:r>
          <w:instrText xml:space="preserve"> PAGEREF _Toc32751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726" w:history="1">
        <w:r>
          <w:rPr>
            <w:rFonts w:eastAsia="微软雅黑" w:hint="eastAsia"/>
            <w:snapToGrid/>
            <w:lang w:val="en-US" w:eastAsia="zh-CN"/>
          </w:rPr>
          <w:t>(十)、个性化定制受宠</w:t>
        </w:r>
        <w:r>
          <w:tab/>
        </w:r>
        <w:r>
          <w:fldChar w:fldCharType="begin"/>
        </w:r>
        <w:r>
          <w:instrText xml:space="preserve"> PAGEREF _Toc25726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020" w:history="1">
        <w:r>
          <w:rPr>
            <w:rFonts w:eastAsia="微软雅黑" w:hint="eastAsia"/>
            <w:snapToGrid/>
            <w:lang w:val="en-US" w:eastAsia="zh-CN"/>
          </w:rPr>
          <w:t>(十一)、品牌不断强化</w:t>
        </w:r>
        <w:r>
          <w:tab/>
        </w:r>
        <w:r>
          <w:fldChar w:fldCharType="begin"/>
        </w:r>
        <w:r>
          <w:instrText xml:space="preserve"> PAGEREF _Toc9020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0914" w:history="1">
        <w:r>
          <w:rPr>
            <w:rFonts w:eastAsia="微软雅黑" w:hint="eastAsia"/>
            <w:snapToGrid/>
            <w:lang w:val="en-US" w:eastAsia="zh-CN"/>
          </w:rPr>
          <w:t>(十二)、互联网已经成为标配“风生水起“</w:t>
        </w:r>
        <w:r>
          <w:tab/>
        </w:r>
        <w:r>
          <w:fldChar w:fldCharType="begin"/>
        </w:r>
        <w:r>
          <w:instrText xml:space="preserve"> PAGEREF _Toc20914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940" w:history="1">
        <w:r>
          <w:rPr>
            <w:rFonts w:eastAsia="微软雅黑" w:hint="eastAsia"/>
            <w:snapToGrid/>
            <w:lang w:val="en-US" w:eastAsia="zh-CN"/>
          </w:rPr>
          <w:t>(十三)、一体式服务为发展趋势</w:t>
        </w:r>
        <w:r>
          <w:tab/>
        </w:r>
        <w:r>
          <w:fldChar w:fldCharType="begin"/>
        </w:r>
        <w:r>
          <w:instrText xml:space="preserve"> PAGEREF _Toc13940 \h </w:instrText>
        </w:r>
        <w:r>
          <w:fldChar w:fldCharType="separate"/>
        </w:r>
        <w:r>
          <w:t>34</w:t>
        </w:r>
        <w:r>
          <w:fldChar w:fldCharType="end"/>
        </w:r>
      </w:hyperlink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https://d.book118.com/746121230125010031</w:t>
        </w:r>
      </w:hyperlink>
    </w:p>
    <w:p>
      <w:pPr>
        <w:pStyle w:val="TOC2"/>
        <w:tabs>
          <w:tab w:val="right" w:leader="dot" w:pos="8958"/>
        </w:tabs>
      </w:pPr>
    </w:p>
    <w:sectPr>
      <w:footerReference w:type="default" r:id="rId6"/>
      <w:type w:val="nextPage"/>
      <w:pgSz w:w="11906" w:h="16838"/>
      <w:pgMar w:top="1134" w:right="1474" w:bottom="1134" w:left="1474" w:header="708" w:footer="708" w:gutter="0"/>
      <w:pgNumType w:start="3"/>
      <w:cols w:num="1" w:sep="1" w:space="708"/>
      <w:vAlign w:val="top"/>
      <w:titlePg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3</w:t>
    </w:r>
    <w:r>
      <w:rPr>
        <w:sz w:val="2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182124A"/>
    <w:rsid w:val="06E24289"/>
    <w:rsid w:val="11CF29B4"/>
    <w:rsid w:val="12947766"/>
    <w:rsid w:val="22051117"/>
    <w:rsid w:val="2C662CED"/>
    <w:rsid w:val="2ED30C2E"/>
    <w:rsid w:val="419848E4"/>
    <w:rsid w:val="470B3DF4"/>
    <w:rsid w:val="515E59ED"/>
    <w:rsid w:val="65A46E2F"/>
    <w:rsid w:val="71EB0F45"/>
    <w:rsid w:val="7D8D6C79"/>
  </w:rsids>
  <w:docVars>
    <w:docVar w:name="commondata" w:val="eyJoZGlkIjoiODkzZjBjOTFhODcyNGUzNzA2YTQ4ZTJjNjI5M2JiO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rPr>
      <w:rFonts w:ascii="Times New Roman" w:hAnsi="Times New Roman" w:eastAsiaTheme="minorEastAsia" w:cs="Times New Roman"/>
      <w:sz w:val="24"/>
      <w:szCs w:val="24"/>
      <w:lang w:val="en-US" w:eastAsia="zh-CN" w:bidi="ar-SA"/>
    </w:rPr>
  </w:style>
  <w:style w:type="paragraph" w:styleId="Heading1">
    <w:name w:val="heading 1"/>
    <w:basedOn w:val="Title"/>
    <w:next w:val="Normal0"/>
    <w:qFormat/>
    <w:pPr>
      <w:keepNext/>
      <w:keepLines/>
      <w:snapToGrid w:val="0"/>
      <w:spacing w:before="340" w:beforeLines="0" w:beforeAutospacing="0" w:after="330" w:afterLines="0" w:afterAutospacing="0" w:line="624" w:lineRule="auto"/>
      <w:jc w:val="left"/>
      <w:outlineLvl w:val="0"/>
    </w:pPr>
    <w:rPr>
      <w:rFonts w:ascii="Times New Roman" w:eastAsia="微软雅黑" w:hAnsi="Times New Roman" w:cs="Times New Roman"/>
      <w:b w:val="0"/>
      <w:color w:val="000000"/>
      <w:kern w:val="44"/>
      <w:sz w:val="36"/>
      <w:lang w:eastAsia="en-US"/>
      <w14:textFill>
        <w14:solidFill>
          <w14:schemeClr w14:val="tx1"/>
        </w14:solidFill>
      </w14:textFill>
    </w:rPr>
  </w:style>
  <w:style w:type="paragraph" w:styleId="Heading2">
    <w:name w:val="heading 2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  <w:lang w:eastAsia="en-US"/>
    </w:rPr>
  </w:style>
  <w:style w:type="paragraph" w:styleId="Heading3">
    <w:name w:val="heading 3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等线"/>
      <w:b/>
      <w:sz w:val="32"/>
      <w:lang w:eastAsia="en-US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_0"/>
    <w:qFormat/>
    <w:rPr>
      <w:rFonts w:ascii="Times New Roman" w:eastAsia="等线" w:hAnsi="Times New Roman" w:cs="Times New Roman"/>
      <w:sz w:val="24"/>
      <w:szCs w:val="24"/>
      <w:lang w:val="en-US" w:eastAsia="en-US" w:bidi="ar-SA"/>
    </w:rPr>
  </w:style>
  <w:style w:type="paragraph" w:styleId="TOC1">
    <w:name w:val="toc 1"/>
    <w:basedOn w:val="Normal"/>
    <w:next w:val="Normal0"/>
    <w:rPr>
      <w:rFonts w:eastAsia="等线"/>
      <w:lang w:eastAsia="en-US"/>
    </w:rPr>
  </w:style>
  <w:style w:type="paragraph" w:styleId="TOC2">
    <w:name w:val="toc 2"/>
    <w:basedOn w:val="Normal"/>
    <w:next w:val="Normal0"/>
    <w:pPr>
      <w:ind w:left="420" w:leftChars="200"/>
    </w:pPr>
    <w:rPr>
      <w:rFonts w:eastAsia="等线"/>
      <w:lang w:eastAsia="en-US"/>
    </w:rPr>
  </w:style>
  <w:style w:type="paragraph" w:styleId="TOC3">
    <w:name w:val="toc 3"/>
    <w:basedOn w:val="Normal"/>
    <w:next w:val="Normal0"/>
    <w:pPr>
      <w:ind w:left="840" w:leftChars="400"/>
    </w:pPr>
    <w:rPr>
      <w:rFonts w:eastAsia="等线"/>
      <w:lang w:eastAsia="en-US"/>
    </w:rPr>
  </w:style>
  <w:style w:type="paragraph" w:styleId="Title">
    <w:name w:val="Title"/>
    <w:basedOn w:val="Normal"/>
    <w:qFormat/>
    <w:pPr>
      <w:spacing w:before="240" w:beforeLines="0" w:beforeAutospacing="0" w:after="60" w:afterLines="0" w:afterAutospacing="0"/>
      <w:jc w:val="center"/>
      <w:outlineLvl w:val="0"/>
    </w:pPr>
    <w:rPr>
      <w:rFonts w:ascii="Arial" w:eastAsia="等线" w:hAnsi="Arial"/>
      <w:b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46121230125010031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hanxinru</dc:creator>
  <cp:lastModifiedBy>本色</cp:lastModifiedBy>
  <cp:revision>0</cp:revision>
  <dcterms:created xsi:type="dcterms:W3CDTF">2022-03-08T13:56:00Z</dcterms:created>
  <dcterms:modified xsi:type="dcterms:W3CDTF">2023-02-21T13:13:27Z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3982D1B992A044889A6B184E4F7A4BA7</vt:lpwstr>
  </property>
  <property fmtid="{D5CDD505-2E9C-101B-9397-08002B2CF9AE}" pid="3" name="KSOProductBuildVer">
    <vt:lpwstr>2052-11.1.0.13012</vt:lpwstr>
  </property>
</Properties>
</file>