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2" w:line="188" w:lineRule="auto"/>
        <w:ind w:left="8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ICS</w:t>
      </w:r>
      <w:r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     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65.020</w:t>
      </w:r>
    </w:p>
    <w:p>
      <w:pPr>
        <w:spacing w:before="166" w:line="188" w:lineRule="auto"/>
        <w:ind w:left="8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spacing w:val="13"/>
          <w:w w:val="101"/>
          <w:sz w:val="16"/>
          <w:szCs w:val="16"/>
        </w:rPr>
        <w:t xml:space="preserve">  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60</w:t>
      </w:r>
    </w:p>
    <w:p>
      <w:pPr>
        <w:spacing w:before="72" w:line="188" w:lineRule="auto"/>
        <w:ind w:left="6030"/>
        <w:rPr>
          <w:rFonts w:ascii="Times New Roman" w:eastAsia="Times New Roman" w:hAnsi="Times New Roman" w:cs="Times New Roman"/>
          <w:sz w:val="68"/>
          <w:szCs w:val="6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68"/>
          <w:szCs w:val="68"/>
        </w:rPr>
        <w:t>DB65</w:t>
      </w:r>
    </w:p>
    <w:p>
      <w:pPr>
        <w:spacing w:before="401" w:line="221" w:lineRule="auto"/>
        <w:ind w:left="87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新</w:t>
      </w:r>
      <w:r>
        <w:rPr>
          <w:rFonts w:ascii="SimHei" w:eastAsia="SimHei" w:hAnsi="SimHei" w:cs="SimHei"/>
          <w:spacing w:val="41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疆</w:t>
      </w:r>
      <w:r>
        <w:rPr>
          <w:rFonts w:ascii="SimHei" w:eastAsia="SimHei" w:hAnsi="SimHei" w:cs="SimHei"/>
          <w:spacing w:val="37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维</w:t>
      </w:r>
      <w:r>
        <w:rPr>
          <w:rFonts w:ascii="SimHei" w:eastAsia="SimHei" w:hAnsi="SimHei" w:cs="SimHei"/>
          <w:spacing w:val="60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吾</w:t>
      </w:r>
      <w:r>
        <w:rPr>
          <w:rFonts w:ascii="SimHei" w:eastAsia="SimHei" w:hAnsi="SimHei" w:cs="SimHei"/>
          <w:spacing w:val="47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尔</w:t>
      </w:r>
      <w:r>
        <w:rPr>
          <w:rFonts w:ascii="SimHei" w:eastAsia="SimHei" w:hAnsi="SimHei" w:cs="SimHei"/>
          <w:spacing w:val="108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自</w:t>
      </w:r>
      <w:r>
        <w:rPr>
          <w:rFonts w:ascii="SimHei" w:eastAsia="SimHei" w:hAnsi="SimHei" w:cs="SimHei"/>
          <w:spacing w:val="48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治</w:t>
      </w:r>
      <w:r>
        <w:rPr>
          <w:rFonts w:ascii="SimHei" w:eastAsia="SimHei" w:hAnsi="SimHei" w:cs="SimHei"/>
          <w:spacing w:val="72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区</w:t>
      </w:r>
      <w:r>
        <w:rPr>
          <w:rFonts w:ascii="SimHei" w:eastAsia="SimHei" w:hAnsi="SimHei" w:cs="SimHei"/>
          <w:spacing w:val="44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地</w:t>
      </w:r>
      <w:r>
        <w:rPr>
          <w:rFonts w:ascii="SimHei" w:eastAsia="SimHei" w:hAnsi="SimHei" w:cs="SimHei"/>
          <w:spacing w:val="52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方</w:t>
      </w:r>
      <w:r>
        <w:rPr>
          <w:rFonts w:ascii="SimHei" w:eastAsia="SimHei" w:hAnsi="SimHei" w:cs="SimHei"/>
          <w:spacing w:val="31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标</w:t>
      </w:r>
      <w:r>
        <w:rPr>
          <w:rFonts w:ascii="SimHei" w:eastAsia="SimHei" w:hAnsi="SimHei" w:cs="SimHei"/>
          <w:spacing w:val="43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3"/>
          <w:szCs w:val="53"/>
        </w:rPr>
        <w:t>准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60" w:line="170" w:lineRule="auto"/>
        <w:ind w:right="151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DB65/T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3863-2016</w:t>
      </w:r>
    </w:p>
    <w:p>
      <w:pPr>
        <w:spacing w:line="60" w:lineRule="exact"/>
        <w:ind w:firstLine="80"/>
        <w:textAlignment w:val="center"/>
      </w:pPr>
      <w:r>
        <w:drawing>
          <wp:inline distT="0" distB="0" distL="0" distR="0">
            <wp:extent cx="6045137" cy="38069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5137" cy="38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73" w:line="221" w:lineRule="auto"/>
        <w:ind w:left="217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b/>
          <w:bCs/>
          <w:spacing w:val="-23"/>
          <w:sz w:val="53"/>
          <w:szCs w:val="53"/>
        </w:rPr>
        <w:t>新疆林果示范基地建设项目检查验收规范</w:t>
      </w:r>
    </w:p>
    <w:p>
      <w:pPr>
        <w:spacing w:before="179" w:line="227" w:lineRule="auto"/>
        <w:ind w:left="3310" w:right="1120" w:hanging="219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Specification</w:t>
      </w:r>
      <w:r>
        <w:rPr>
          <w:rFonts w:ascii="Times New Roman" w:eastAsia="Times New Roman" w:hAnsi="Times New Roman" w:cs="Times New Roman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for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fruit</w:t>
      </w:r>
      <w:r>
        <w:rPr>
          <w:rFonts w:ascii="Times New Roman" w:eastAsia="Times New Roman" w:hAnsi="Times New Roman" w:cs="Times New Roman"/>
          <w:spacing w:val="32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demonstration</w:t>
      </w:r>
      <w:r>
        <w:rPr>
          <w:rFonts w:ascii="Times New Roman" w:eastAsia="Times New Roman" w:hAnsi="Times New Roman" w:cs="Times New Roman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base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constructio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spacing w:val="23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project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44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acceptance</w:t>
      </w:r>
      <w:r>
        <w:rPr>
          <w:rFonts w:ascii="Times New Roman" w:eastAsia="Times New Roman" w:hAnsi="Times New Roman" w:cs="Times New Roman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Xinjiang</w:t>
      </w:r>
    </w:p>
    <w:p/>
    <w:p/>
    <w:p/>
    <w:p/>
    <w:p/>
    <w:p/>
    <w:p/>
    <w:p/>
    <w:p/>
    <w:p/>
    <w:p/>
    <w:p/>
    <w:p/>
    <w:p/>
    <w:p/>
    <w:p/>
    <w:p/>
    <w:p/>
    <w:p/>
    <w:p>
      <w:pPr>
        <w:sectPr>
          <w:pgSz w:w="11910" w:h="16840"/>
          <w:pgMar w:top="655" w:right="910" w:bottom="0" w:left="1400" w:header="0" w:footer="0" w:gutter="0"/>
          <w:cols w:num="1" w:space="708" w:equalWidth="0">
            <w:col w:w="9600" w:space="0"/>
          </w:cols>
        </w:sectPr>
      </w:pPr>
    </w:p>
    <w:p/>
    <w:p/>
    <w:p/>
    <w:p/>
    <w:p/>
    <w:p/>
    <w:p/>
    <w:p/>
    <w:p/>
    <w:p/>
    <w:p>
      <w:pPr>
        <w:spacing w:line="86" w:lineRule="exact"/>
      </w:pPr>
    </w:p>
    <w:p>
      <w:pPr>
        <w:sectPr>
          <w:type w:val="nextPage"/>
          <w:pgSz w:w="11910" w:h="16840"/>
          <w:pgMar w:top="655" w:right="910" w:bottom="0" w:left="1400" w:header="0" w:footer="0" w:gutter="0"/>
          <w:pgNumType w:start="2"/>
          <w:cols w:num="1" w:space="708" w:equalWidth="0">
            <w:col w:w="9600" w:space="0"/>
          </w:cols>
          <w:titlePg w:val="0"/>
        </w:sectPr>
      </w:pPr>
    </w:p>
    <w:p>
      <w:pPr>
        <w:spacing w:before="55" w:line="221" w:lineRule="auto"/>
        <w:ind w:left="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8"/>
          <w:sz w:val="27"/>
          <w:szCs w:val="27"/>
        </w:rPr>
        <w:t>2016-01-28</w:t>
      </w:r>
      <w:r>
        <w:rPr>
          <w:rFonts w:ascii="SimHei" w:eastAsia="SimHei" w:hAnsi="SimHei" w:cs="SimHei"/>
          <w:spacing w:val="-36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5" w:line="187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7"/>
          <w:sz w:val="27"/>
          <w:szCs w:val="27"/>
        </w:rPr>
        <w:t>2016-03-01</w:t>
      </w:r>
      <w:r>
        <w:rPr>
          <w:rFonts w:ascii="SimHei" w:eastAsia="SimHei" w:hAnsi="SimHei" w:cs="SimHei"/>
          <w:spacing w:val="-60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7"/>
          <w:szCs w:val="27"/>
        </w:rPr>
        <w:t>实施</w:t>
      </w:r>
    </w:p>
    <w:p>
      <w:pPr>
        <w:sectPr>
          <w:type w:val="continuous"/>
          <w:pgSz w:w="11910" w:h="16840"/>
          <w:pgMar w:top="655" w:right="910" w:bottom="0" w:left="1400" w:header="0" w:footer="0" w:gutter="0"/>
          <w:pgNumType w:start="3"/>
          <w:cols w:num="2" w:space="708" w:equalWidth="0">
            <w:col w:w="7514" w:space="100"/>
            <w:col w:w="1987" w:space="0"/>
          </w:cols>
        </w:sectPr>
      </w:pPr>
    </w:p>
    <w:p>
      <w:pPr>
        <w:spacing w:line="59" w:lineRule="exact"/>
        <w:textAlignment w:val="center"/>
      </w:pPr>
      <w:r>
        <w:drawing>
          <wp:inline distT="0" distB="0" distL="0" distR="0">
            <wp:extent cx="6051565" cy="3801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1565" cy="38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187" w:lineRule="auto"/>
        <w:ind w:left="103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新</w:t>
      </w:r>
      <w:r>
        <w:rPr>
          <w:rFonts w:ascii="SimHei" w:eastAsia="SimHei" w:hAnsi="SimHei" w:cs="SimHei"/>
          <w:spacing w:val="-3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疆</w:t>
      </w:r>
      <w:r>
        <w:rPr>
          <w:rFonts w:ascii="SimHei" w:eastAsia="SimHei" w:hAnsi="SimHei" w:cs="SimHei"/>
          <w:spacing w:val="-40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维</w:t>
      </w:r>
      <w:r>
        <w:rPr>
          <w:rFonts w:ascii="SimHei" w:eastAsia="SimHei" w:hAnsi="SimHei" w:cs="SimHei"/>
          <w:spacing w:val="-27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吾</w:t>
      </w:r>
      <w:r>
        <w:rPr>
          <w:rFonts w:ascii="SimHei" w:eastAsia="SimHei" w:hAnsi="SimHei" w:cs="SimHei"/>
          <w:spacing w:val="-3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尔</w:t>
      </w:r>
      <w:r>
        <w:rPr>
          <w:rFonts w:ascii="SimHei" w:eastAsia="SimHei" w:hAnsi="SimHei" w:cs="SimHei"/>
          <w:spacing w:val="1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自</w:t>
      </w:r>
      <w:r>
        <w:rPr>
          <w:rFonts w:ascii="SimHei" w:eastAsia="SimHei" w:hAnsi="SimHei" w:cs="SimHei"/>
          <w:spacing w:val="-34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治</w:t>
      </w:r>
      <w:r>
        <w:rPr>
          <w:rFonts w:ascii="SimHei" w:eastAsia="SimHei" w:hAnsi="SimHei" w:cs="SimHei"/>
          <w:spacing w:val="-19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区</w:t>
      </w:r>
      <w:r>
        <w:rPr>
          <w:rFonts w:ascii="SimHei" w:eastAsia="SimHei" w:hAnsi="SimHei" w:cs="SimHei"/>
          <w:spacing w:val="-36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质</w:t>
      </w:r>
      <w:r>
        <w:rPr>
          <w:rFonts w:ascii="SimHei" w:eastAsia="SimHei" w:hAnsi="SimHei" w:cs="SimHei"/>
          <w:spacing w:val="-34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量</w:t>
      </w:r>
      <w:r>
        <w:rPr>
          <w:rFonts w:ascii="SimHei" w:eastAsia="SimHei" w:hAnsi="SimHei" w:cs="SimHei"/>
          <w:spacing w:val="-3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技</w:t>
      </w:r>
      <w:r>
        <w:rPr>
          <w:rFonts w:ascii="SimHei" w:eastAsia="SimHei" w:hAnsi="SimHei" w:cs="SimHei"/>
          <w:spacing w:val="-39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术</w:t>
      </w:r>
      <w:r>
        <w:rPr>
          <w:rFonts w:ascii="SimHei" w:eastAsia="SimHei" w:hAnsi="SimHei" w:cs="SimHei"/>
          <w:spacing w:val="-39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监</w:t>
      </w:r>
      <w:r>
        <w:rPr>
          <w:rFonts w:ascii="SimHei" w:eastAsia="SimHei" w:hAnsi="SimHei" w:cs="SimHei"/>
          <w:spacing w:val="-3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督</w:t>
      </w:r>
      <w:r>
        <w:rPr>
          <w:rFonts w:ascii="SimHei" w:eastAsia="SimHei" w:hAnsi="SimHei" w:cs="SimHei"/>
          <w:spacing w:val="-3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局</w:t>
      </w:r>
      <w:r>
        <w:rPr>
          <w:rFonts w:ascii="SimHei" w:eastAsia="SimHei" w:hAnsi="SimHei" w:cs="SimHei"/>
          <w:spacing w:val="20"/>
          <w:sz w:val="31"/>
          <w:szCs w:val="31"/>
        </w:rPr>
        <w:t xml:space="preserve">   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发布</w:t>
      </w:r>
    </w:p>
    <w:p>
      <w:pPr>
        <w:sectPr>
          <w:type w:val="continuous"/>
          <w:pgSz w:w="11910" w:h="16840"/>
          <w:pgMar w:top="655" w:right="910" w:bottom="0" w:left="1400" w:header="0" w:footer="0" w:gutter="0"/>
          <w:pgNumType w:start="4"/>
          <w:cols w:num="1" w:space="708" w:equalWidth="0">
            <w:col w:w="9600" w:space="0"/>
          </w:cols>
        </w:sectPr>
      </w:pPr>
    </w:p>
    <w:p>
      <w:pPr>
        <w:spacing w:before="101" w:line="188" w:lineRule="auto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1"/>
          <w:szCs w:val="21"/>
        </w:rPr>
        <w:t>DB65/T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1"/>
          <w:szCs w:val="21"/>
        </w:rPr>
        <w:t>3863-2016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14" w:line="222" w:lineRule="auto"/>
        <w:ind w:left="3738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前</w:t>
      </w:r>
      <w:r>
        <w:rPr>
          <w:rFonts w:ascii="SimHei" w:eastAsia="SimHei" w:hAnsi="SimHei" w:cs="SimHei"/>
          <w:spacing w:val="26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68" w:line="246" w:lineRule="auto"/>
        <w:ind w:left="163" w:right="5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本标准按</w:t>
      </w: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1"/>
          <w:sz w:val="21"/>
          <w:szCs w:val="21"/>
        </w:rPr>
        <w:t>/T1.1-2009</w:t>
      </w:r>
      <w:r>
        <w:rPr>
          <w:rFonts w:ascii="SimSun" w:eastAsia="SimSun" w:hAnsi="SimSun" w:cs="SimSun"/>
          <w:spacing w:val="9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《标准化工作导则第1部分：标准的结构和编</w:t>
      </w:r>
      <w:r>
        <w:rPr>
          <w:rFonts w:ascii="SimSun" w:eastAsia="SimSun" w:hAnsi="SimSun" w:cs="SimSun"/>
          <w:sz w:val="21"/>
          <w:szCs w:val="21"/>
        </w:rPr>
        <w:t>写》的要求编制。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本标准由新疆维吾尔自治区重点林业工程质量管理管理总站提出。</w:t>
      </w:r>
    </w:p>
    <w:p>
      <w:pPr>
        <w:spacing w:before="60" w:line="219" w:lineRule="auto"/>
        <w:ind w:left="1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本标准由新疆维吾尔自治区林业厅归口。</w:t>
      </w:r>
    </w:p>
    <w:p>
      <w:pPr>
        <w:spacing w:before="61" w:line="219" w:lineRule="auto"/>
        <w:ind w:left="1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本标准起草单位：新疆维吾尔自治区重点林业工程质量管理总站。</w:t>
      </w:r>
    </w:p>
    <w:p>
      <w:pPr>
        <w:spacing w:before="59" w:line="216" w:lineRule="auto"/>
        <w:ind w:left="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,本标准主要起草人：刘克新、帕尔哈提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·吾吐克、李君、刘万林、李建贵。</w:t>
      </w:r>
    </w:p>
    <w:p>
      <w:pPr>
        <w:sectPr>
          <w:pgSz w:w="11910" w:h="16840"/>
          <w:pgMar w:top="1431" w:right="1293" w:bottom="0" w:left="1786" w:header="0" w:footer="0" w:gutter="0"/>
          <w:pgNumType w:start="5"/>
          <w:cols w:space="708"/>
        </w:sectPr>
      </w:pPr>
    </w:p>
    <w:p>
      <w:pPr>
        <w:spacing w:before="98" w:line="188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3863-2016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221" w:lineRule="auto"/>
        <w:ind w:left="215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2"/>
          <w:sz w:val="31"/>
          <w:szCs w:val="31"/>
        </w:rPr>
        <w:t>新疆林果示范基地项目检查验收规范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75" w:line="223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1</w:t>
      </w:r>
      <w:r>
        <w:rPr>
          <w:rFonts w:ascii="SimHei" w:eastAsia="SimHei" w:hAnsi="SimHei" w:cs="SimHei"/>
          <w:spacing w:val="43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范围</w:t>
      </w:r>
    </w:p>
    <w:p>
      <w:pPr>
        <w:spacing w:before="183" w:line="238" w:lineRule="auto"/>
        <w:ind w:left="420" w:right="118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4"/>
          <w:sz w:val="23"/>
          <w:szCs w:val="23"/>
        </w:rPr>
        <w:t>本标准规定了林果示范基地项目检查验收的术语与定义、内容、方法、标准、程序。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4"/>
          <w:sz w:val="23"/>
          <w:szCs w:val="23"/>
        </w:rPr>
        <w:t>本标准适用于各类林果示范基地项目的检查验收。</w:t>
      </w:r>
    </w:p>
    <w:p>
      <w:pPr>
        <w:spacing w:before="203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2</w:t>
      </w:r>
      <w:r>
        <w:rPr>
          <w:rFonts w:ascii="SimHei" w:eastAsia="SimHei" w:hAnsi="SimHei" w:cs="SimHei"/>
          <w:spacing w:val="40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规范性引用文件</w:t>
      </w:r>
    </w:p>
    <w:p>
      <w:pPr>
        <w:spacing w:before="186" w:line="234" w:lineRule="auto"/>
        <w:ind w:right="12" w:firstLine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5"/>
          <w:sz w:val="23"/>
          <w:szCs w:val="23"/>
        </w:rPr>
        <w:t>下列文件对于本标准的应用是必不可少的。凡是住日期的</w:t>
      </w:r>
      <w:r>
        <w:rPr>
          <w:rFonts w:ascii="SimSun" w:eastAsia="SimSun" w:hAnsi="SimSun" w:cs="SimSun"/>
          <w:spacing w:val="-26"/>
          <w:sz w:val="23"/>
          <w:szCs w:val="23"/>
        </w:rPr>
        <w:t>引用文件，仅所住日期的版本适用于本标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准。凡是不住日期的引用文件，其最新版本(包括所有的修改单)适用</w:t>
      </w:r>
      <w:r>
        <w:rPr>
          <w:rFonts w:ascii="SimSun" w:eastAsia="SimSun" w:hAnsi="SimSun" w:cs="SimSun"/>
          <w:spacing w:val="-18"/>
          <w:sz w:val="23"/>
          <w:szCs w:val="23"/>
        </w:rPr>
        <w:t>于本标准。</w:t>
      </w:r>
    </w:p>
    <w:p>
      <w:pPr>
        <w:spacing w:before="49" w:line="219" w:lineRule="auto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7"/>
          <w:sz w:val="23"/>
          <w:szCs w:val="23"/>
        </w:rPr>
        <w:t>GB/T</w:t>
      </w:r>
      <w:r>
        <w:rPr>
          <w:rFonts w:ascii="SimSun" w:eastAsia="SimSun" w:hAnsi="SimSun" w:cs="SimSun"/>
          <w:spacing w:val="2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15776</w:t>
      </w:r>
      <w:r>
        <w:rPr>
          <w:rFonts w:ascii="SimSun" w:eastAsia="SimSun" w:hAnsi="SimSun" w:cs="SimSun"/>
          <w:spacing w:val="9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造林技术规程</w:t>
      </w:r>
    </w:p>
    <w:p>
      <w:pPr>
        <w:spacing w:before="37" w:line="219" w:lineRule="auto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7"/>
          <w:sz w:val="23"/>
          <w:szCs w:val="23"/>
        </w:rPr>
        <w:t>LY/T</w:t>
      </w:r>
      <w:r>
        <w:rPr>
          <w:rFonts w:ascii="SimSun" w:eastAsia="SimSun" w:hAnsi="SimSun" w:cs="SimSun"/>
          <w:spacing w:val="2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1557</w:t>
      </w:r>
      <w:r>
        <w:rPr>
          <w:rFonts w:ascii="SimSun" w:eastAsia="SimSun" w:hAnsi="SimSun" w:cs="SimSun"/>
          <w:spacing w:val="2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7"/>
          <w:sz w:val="23"/>
          <w:szCs w:val="23"/>
        </w:rPr>
        <w:t>名特优经济林基地建设技术规程</w:t>
      </w:r>
    </w:p>
    <w:p>
      <w:pPr>
        <w:spacing w:before="37" w:line="219" w:lineRule="auto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sz w:val="23"/>
          <w:szCs w:val="23"/>
        </w:rPr>
        <w:t>LY/T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1607</w:t>
      </w:r>
      <w:r>
        <w:rPr>
          <w:rFonts w:ascii="SimSun" w:eastAsia="SimSun" w:hAnsi="SimSun" w:cs="SimSun"/>
          <w:spacing w:val="2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6"/>
          <w:sz w:val="23"/>
          <w:szCs w:val="23"/>
        </w:rPr>
        <w:t>造林作业设计规程</w:t>
      </w:r>
    </w:p>
    <w:p>
      <w:pPr>
        <w:spacing w:before="194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8"/>
          <w:sz w:val="23"/>
          <w:szCs w:val="23"/>
        </w:rPr>
        <w:t>3</w:t>
      </w:r>
      <w:r>
        <w:rPr>
          <w:rFonts w:ascii="SimHei" w:eastAsia="SimHei" w:hAnsi="SimHei" w:cs="SimHei"/>
          <w:spacing w:val="42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8"/>
          <w:sz w:val="23"/>
          <w:szCs w:val="23"/>
        </w:rPr>
        <w:t>术语与定义</w:t>
      </w:r>
    </w:p>
    <w:p>
      <w:pPr>
        <w:spacing w:before="176" w:line="509" w:lineRule="exact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3"/>
          <w:position w:val="21"/>
          <w:sz w:val="23"/>
          <w:szCs w:val="23"/>
        </w:rPr>
        <w:t>下列术语与定义适用于本文件。</w:t>
      </w:r>
    </w:p>
    <w:p>
      <w:pPr>
        <w:spacing w:before="1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3.1</w:t>
      </w:r>
    </w:p>
    <w:p>
      <w:pPr>
        <w:spacing w:before="205" w:line="477" w:lineRule="exact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4"/>
          <w:position w:val="19"/>
          <w:sz w:val="23"/>
          <w:szCs w:val="23"/>
        </w:rPr>
        <w:t>砧木苗</w:t>
      </w:r>
      <w:r>
        <w:rPr>
          <w:rFonts w:ascii="SimSun" w:eastAsia="SimSun" w:hAnsi="SimSun" w:cs="SimSun"/>
          <w:spacing w:val="5"/>
          <w:position w:val="19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4"/>
          <w:position w:val="19"/>
          <w:sz w:val="23"/>
          <w:szCs w:val="23"/>
        </w:rPr>
        <w:t>Rootstock</w:t>
      </w:r>
      <w:r>
        <w:rPr>
          <w:rFonts w:ascii="SimSun" w:eastAsia="SimSun" w:hAnsi="SimSun" w:cs="SimSun"/>
          <w:spacing w:val="8"/>
          <w:position w:val="1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position w:val="19"/>
          <w:sz w:val="23"/>
          <w:szCs w:val="23"/>
        </w:rPr>
        <w:t>seedling</w:t>
      </w:r>
    </w:p>
    <w:p>
      <w:pPr>
        <w:spacing w:before="1" w:line="219" w:lineRule="auto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2"/>
          <w:sz w:val="23"/>
          <w:szCs w:val="23"/>
        </w:rPr>
        <w:t>指用种子繁育而成的苗木。</w:t>
      </w:r>
    </w:p>
    <w:p>
      <w:pPr>
        <w:spacing w:before="216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3.2</w:t>
      </w:r>
    </w:p>
    <w:p>
      <w:pPr>
        <w:spacing w:before="201" w:line="214" w:lineRule="auto"/>
        <w:ind w:left="42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6"/>
          <w:sz w:val="23"/>
          <w:szCs w:val="23"/>
        </w:rPr>
        <w:t>嫁接苗</w:t>
      </w:r>
      <w:r>
        <w:rPr>
          <w:rFonts w:ascii="SimSun" w:eastAsia="SimSun" w:hAnsi="SimSun" w:cs="SimSun"/>
          <w:spacing w:val="101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23"/>
          <w:szCs w:val="23"/>
        </w:rPr>
        <w:t>Grafted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23"/>
          <w:szCs w:val="23"/>
        </w:rPr>
        <w:t>seedling</w:t>
      </w:r>
    </w:p>
    <w:p>
      <w:pPr>
        <w:spacing w:before="214" w:line="500" w:lineRule="exact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2"/>
          <w:position w:val="20"/>
          <w:sz w:val="23"/>
          <w:szCs w:val="23"/>
        </w:rPr>
        <w:t>通过嫁接技术将优良品种植株上的枝或芽接到另一植株</w:t>
      </w:r>
      <w:r>
        <w:rPr>
          <w:rFonts w:ascii="SimSun" w:eastAsia="SimSun" w:hAnsi="SimSun" w:cs="SimSun"/>
          <w:spacing w:val="-23"/>
          <w:position w:val="20"/>
          <w:sz w:val="23"/>
          <w:szCs w:val="23"/>
        </w:rPr>
        <w:t>的枝、干或根上，接口愈合而成的苗木。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3.3</w:t>
      </w:r>
    </w:p>
    <w:p>
      <w:pPr>
        <w:spacing w:before="188" w:line="215" w:lineRule="auto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4"/>
          <w:sz w:val="23"/>
          <w:szCs w:val="23"/>
        </w:rPr>
        <w:t>主栽品种</w:t>
      </w:r>
      <w:r>
        <w:rPr>
          <w:rFonts w:ascii="SimSun" w:eastAsia="SimSun" w:hAnsi="SimSun" w:cs="SimSun"/>
          <w:spacing w:val="8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Main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cultivated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variety</w:t>
      </w:r>
    </w:p>
    <w:p>
      <w:pPr>
        <w:spacing w:before="215" w:line="218" w:lineRule="auto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3"/>
          <w:sz w:val="23"/>
          <w:szCs w:val="23"/>
        </w:rPr>
        <w:t>指以获取品质优良、高产或较高经济价值等为主要目的的优</w:t>
      </w:r>
      <w:r>
        <w:rPr>
          <w:rFonts w:ascii="SimSun" w:eastAsia="SimSun" w:hAnsi="SimSun" w:cs="SimSun"/>
          <w:spacing w:val="-24"/>
          <w:sz w:val="23"/>
          <w:szCs w:val="23"/>
        </w:rPr>
        <w:t>良果树品种。</w:t>
      </w:r>
    </w:p>
    <w:p>
      <w:pPr>
        <w:spacing w:before="286" w:line="183" w:lineRule="auto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2"/>
          <w:sz w:val="15"/>
          <w:szCs w:val="15"/>
        </w:rPr>
        <w:t>3.4</w:t>
      </w:r>
    </w:p>
    <w:p>
      <w:pPr>
        <w:spacing w:before="191" w:line="218" w:lineRule="auto"/>
        <w:ind w:left="42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32"/>
          <w:sz w:val="26"/>
          <w:szCs w:val="26"/>
        </w:rPr>
        <w:t>授粉品种</w:t>
      </w:r>
      <w:r>
        <w:rPr>
          <w:rFonts w:ascii="SimHei" w:eastAsia="SimHei" w:hAnsi="SimHei" w:cs="SimHei"/>
          <w:spacing w:val="105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-32"/>
          <w:sz w:val="26"/>
          <w:szCs w:val="26"/>
        </w:rPr>
        <w:t>Pollinated</w:t>
      </w:r>
      <w:r>
        <w:rPr>
          <w:rFonts w:ascii="SimHei" w:eastAsia="SimHei" w:hAnsi="SimHei" w:cs="SimHei"/>
          <w:spacing w:val="-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-32"/>
          <w:sz w:val="26"/>
          <w:szCs w:val="26"/>
        </w:rPr>
        <w:t>variety</w:t>
      </w:r>
    </w:p>
    <w:p>
      <w:pPr>
        <w:spacing w:before="198" w:line="234" w:lineRule="auto"/>
        <w:ind w:right="6" w:firstLine="420"/>
        <w:rPr>
          <w:rFonts w:ascii="SimSun" w:eastAsia="SimSun" w:hAnsi="SimSun" w:cs="SimSun"/>
          <w:sz w:val="23"/>
          <w:szCs w:val="23"/>
        </w:rPr>
        <w:sectPr>
          <w:footerReference w:type="default" r:id="rId6"/>
          <w:pgSz w:w="11910" w:h="16840"/>
          <w:pgMar w:top="1431" w:right="1159" w:bottom="915" w:left="1519" w:header="0" w:footer="766" w:gutter="0"/>
          <w:pgNumType w:start="6"/>
          <w:cols w:space="708"/>
        </w:sectPr>
      </w:pPr>
      <w:r>
        <w:rPr>
          <w:rFonts w:ascii="SimSun" w:eastAsia="SimSun" w:hAnsi="SimSun" w:cs="SimSun"/>
          <w:spacing w:val="-25"/>
          <w:sz w:val="23"/>
          <w:szCs w:val="23"/>
        </w:rPr>
        <w:t>是与主栽品种花期相同或相近、亲和力强、花粉量大、散粉时间长、并</w:t>
      </w:r>
      <w:r>
        <w:rPr>
          <w:rFonts w:ascii="SimSun" w:eastAsia="SimSun" w:hAnsi="SimSun" w:cs="SimSun"/>
          <w:spacing w:val="-26"/>
          <w:sz w:val="23"/>
          <w:szCs w:val="23"/>
        </w:rPr>
        <w:t>能满足其充分授粉需要，显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3"/>
          <w:sz w:val="23"/>
          <w:szCs w:val="23"/>
        </w:rPr>
        <w:t>著提高主栽品种座果率的果树品种。</w:t>
      </w:r>
    </w:p>
    <w:p>
      <w:pPr>
        <w:spacing w:before="236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3.5</w:t>
      </w:r>
    </w:p>
    <w:p>
      <w:pPr>
        <w:spacing w:before="187" w:line="214" w:lineRule="auto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3"/>
          <w:sz w:val="23"/>
          <w:szCs w:val="23"/>
        </w:rPr>
        <w:t>优良品种</w:t>
      </w:r>
      <w:r>
        <w:rPr>
          <w:rFonts w:ascii="SimSun" w:eastAsia="SimSun" w:hAnsi="SimSun" w:cs="SimSun"/>
          <w:spacing w:val="6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Superior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variety</w:t>
      </w:r>
    </w:p>
    <w:p>
      <w:pPr>
        <w:spacing w:before="218" w:line="501" w:lineRule="exact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3"/>
          <w:position w:val="20"/>
          <w:sz w:val="23"/>
          <w:szCs w:val="23"/>
        </w:rPr>
        <w:t>指经自治区优良品种审定委员会审定的品种。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3.6</w:t>
      </w:r>
    </w:p>
    <w:p>
      <w:pPr>
        <w:sectPr>
          <w:footerReference w:type="default" r:id="rId7"/>
          <w:type w:val="nextPage"/>
          <w:pgSz w:w="11910" w:h="16840"/>
          <w:pgMar w:top="1431" w:right="1159" w:bottom="915" w:left="1519" w:header="0" w:footer="766" w:gutter="0"/>
          <w:pgNumType w:start="7"/>
          <w:cols w:space="708"/>
          <w:titlePg w:val="0"/>
        </w:sectPr>
      </w:pPr>
    </w:p>
    <w:p>
      <w:pPr>
        <w:spacing w:line="457" w:lineRule="auto"/>
        <w:rPr>
          <w:rFonts w:ascii="Arial"/>
          <w:sz w:val="21"/>
        </w:rPr>
      </w:pPr>
    </w:p>
    <w:p>
      <w:pPr>
        <w:spacing w:before="72" w:line="46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19"/>
          <w:sz w:val="22"/>
          <w:szCs w:val="22"/>
        </w:rPr>
        <w:t>栽植密度</w:t>
      </w:r>
      <w:r>
        <w:rPr>
          <w:rFonts w:ascii="SimSun" w:eastAsia="SimSun" w:hAnsi="SimSun" w:cs="SimSun"/>
          <w:spacing w:val="108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position w:val="19"/>
          <w:sz w:val="22"/>
          <w:szCs w:val="22"/>
        </w:rPr>
        <w:t>Planting</w:t>
      </w:r>
      <w:r>
        <w:rPr>
          <w:rFonts w:ascii="SimSun" w:eastAsia="SimSun" w:hAnsi="SimSun" w:cs="SimSun"/>
          <w:spacing w:val="7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position w:val="19"/>
          <w:sz w:val="22"/>
          <w:szCs w:val="22"/>
        </w:rPr>
        <w:t>density</w:t>
      </w:r>
    </w:p>
    <w:p>
      <w:pPr>
        <w:spacing w:line="219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指单位面积果树栽植的株数。</w:t>
      </w:r>
    </w:p>
    <w:p>
      <w:pPr>
        <w:spacing w:before="245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3.7</w:t>
      </w:r>
    </w:p>
    <w:p>
      <w:pPr>
        <w:spacing w:before="220" w:line="219" w:lineRule="auto"/>
        <w:ind w:left="42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定干</w:t>
      </w:r>
      <w:r>
        <w:rPr>
          <w:rFonts w:ascii="SimSun" w:eastAsia="SimSun" w:hAnsi="SimSun" w:cs="SimSun"/>
          <w:spacing w:val="11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Headed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trunk</w:t>
      </w:r>
    </w:p>
    <w:p>
      <w:pPr>
        <w:spacing w:before="182" w:line="49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1"/>
          <w:sz w:val="22"/>
          <w:szCs w:val="22"/>
        </w:rPr>
        <w:t>培养主干的一项修剪措施。</w:t>
      </w:r>
    </w:p>
    <w:p>
      <w:pPr>
        <w:spacing w:line="183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12"/>
          <w:sz w:val="25"/>
          <w:szCs w:val="25"/>
        </w:rPr>
        <w:t>3.8</w:t>
      </w:r>
    </w:p>
    <w:p>
      <w:pPr>
        <w:spacing w:before="205" w:line="214" w:lineRule="auto"/>
        <w:ind w:left="42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整形</w:t>
      </w:r>
      <w:r>
        <w:rPr>
          <w:rFonts w:ascii="SimSun" w:eastAsia="SimSun" w:hAnsi="SimSun" w:cs="SimSun"/>
          <w:spacing w:val="10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Reshaping</w:t>
      </w:r>
    </w:p>
    <w:p>
      <w:pPr>
        <w:spacing w:before="216" w:line="49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1"/>
          <w:sz w:val="22"/>
          <w:szCs w:val="22"/>
        </w:rPr>
        <w:t>培养丰产、稳产树形的综合修剪措施。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3.9</w:t>
      </w:r>
    </w:p>
    <w:p>
      <w:pPr>
        <w:spacing w:before="217" w:line="214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干高</w:t>
      </w:r>
      <w:r>
        <w:rPr>
          <w:rFonts w:ascii="SimSun" w:eastAsia="SimSun" w:hAnsi="SimSun" w:cs="SimSun"/>
          <w:spacing w:val="9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Stem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height</w:t>
      </w:r>
    </w:p>
    <w:p>
      <w:pPr>
        <w:spacing w:before="193" w:line="506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2"/>
          <w:sz w:val="22"/>
          <w:szCs w:val="22"/>
        </w:rPr>
        <w:t>从地面根颈到第一主枝的部分。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3.10</w:t>
      </w:r>
    </w:p>
    <w:p>
      <w:pPr>
        <w:spacing w:before="235" w:line="219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树冠</w:t>
      </w:r>
      <w:r>
        <w:rPr>
          <w:rFonts w:ascii="SimSun" w:eastAsia="SimSun" w:hAnsi="SimSun" w:cs="SimSun"/>
          <w:spacing w:val="10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Tree-crown</w:t>
      </w:r>
    </w:p>
    <w:p>
      <w:pPr>
        <w:spacing w:before="178" w:line="50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2"/>
          <w:sz w:val="22"/>
          <w:szCs w:val="22"/>
        </w:rPr>
        <w:t>主干以上分生的所有枝条部分。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3.11</w:t>
      </w:r>
    </w:p>
    <w:p>
      <w:pPr>
        <w:spacing w:before="233" w:line="219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中央干</w:t>
      </w:r>
      <w:r>
        <w:rPr>
          <w:rFonts w:ascii="SimSun" w:eastAsia="SimSun" w:hAnsi="SimSun" w:cs="SimSun"/>
          <w:spacing w:val="9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The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central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trunk</w:t>
      </w:r>
    </w:p>
    <w:p>
      <w:pPr>
        <w:spacing w:before="190" w:line="50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2"/>
          <w:sz w:val="22"/>
          <w:szCs w:val="22"/>
        </w:rPr>
        <w:t>树冠中部直立向上生长的枝条。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3.12</w:t>
      </w:r>
    </w:p>
    <w:p>
      <w:pPr>
        <w:spacing w:before="233" w:line="219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骨干枝</w:t>
      </w:r>
      <w:r>
        <w:rPr>
          <w:rFonts w:ascii="SimSun" w:eastAsia="SimSun" w:hAnsi="SimSun" w:cs="SimSun"/>
          <w:spacing w:val="7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Skeleton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branch</w:t>
      </w:r>
    </w:p>
    <w:p>
      <w:pPr>
        <w:spacing w:before="180" w:line="50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2"/>
          <w:sz w:val="22"/>
          <w:szCs w:val="22"/>
        </w:rPr>
        <w:t>构成树冠的永久性大枝，包括主枝和侧枝。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3.13</w:t>
      </w:r>
    </w:p>
    <w:p>
      <w:pPr>
        <w:spacing w:before="223" w:line="219" w:lineRule="auto"/>
        <w:ind w:left="42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主枝</w:t>
      </w:r>
      <w:r>
        <w:rPr>
          <w:rFonts w:ascii="SimSun" w:eastAsia="SimSun" w:hAnsi="SimSun" w:cs="SimSun"/>
          <w:spacing w:val="5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Main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branch</w:t>
      </w:r>
    </w:p>
    <w:p>
      <w:pPr>
        <w:spacing w:before="201" w:line="49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1"/>
          <w:sz w:val="22"/>
          <w:szCs w:val="22"/>
        </w:rPr>
        <w:t>着生在中央干上的骨干枝。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3.14</w:t>
      </w:r>
    </w:p>
    <w:p>
      <w:pPr>
        <w:spacing w:before="232" w:line="219" w:lineRule="auto"/>
        <w:ind w:left="423"/>
        <w:rPr>
          <w:rFonts w:ascii="SimSun" w:eastAsia="SimSun" w:hAnsi="SimSun" w:cs="SimSun"/>
          <w:sz w:val="22"/>
          <w:szCs w:val="22"/>
        </w:rPr>
        <w:sectPr>
          <w:headerReference w:type="default" r:id="rId8"/>
          <w:footerReference w:type="default" r:id="rId9"/>
          <w:pgSz w:w="11910" w:h="16840"/>
          <w:pgMar w:top="1579" w:right="1327" w:bottom="978" w:left="1549" w:header="1479" w:footer="839" w:gutter="0"/>
          <w:pgNumType w:start="8"/>
          <w:cols w:space="708"/>
        </w:sect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侧枝</w:t>
      </w:r>
      <w:r>
        <w:rPr>
          <w:rFonts w:ascii="SimSun" w:eastAsia="SimSun" w:hAnsi="SimSun" w:cs="SimSun"/>
          <w:spacing w:val="6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Lateral</w:t>
      </w:r>
      <w:r>
        <w:rPr>
          <w:rFonts w:ascii="SimSun" w:eastAsia="SimSun" w:hAnsi="SimSun" w:cs="SimSun"/>
          <w:spacing w:val="-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branch</w:t>
      </w:r>
    </w:p>
    <w:p>
      <w:pPr>
        <w:spacing w:before="191" w:line="50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5"/>
          <w:position w:val="22"/>
          <w:sz w:val="22"/>
          <w:szCs w:val="22"/>
        </w:rPr>
        <w:t>着生在主枝上的骨干枝。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3.15</w:t>
      </w:r>
    </w:p>
    <w:p>
      <w:pPr>
        <w:spacing w:before="227" w:line="214" w:lineRule="auto"/>
        <w:ind w:left="42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郁闭度</w:t>
      </w:r>
      <w:r>
        <w:rPr>
          <w:rFonts w:ascii="SimSun" w:eastAsia="SimSun" w:hAnsi="SimSun" w:cs="SimSun"/>
          <w:spacing w:val="28"/>
          <w:sz w:val="22"/>
          <w:szCs w:val="22"/>
        </w:rPr>
        <w:t xml:space="preserve">  </w:t>
      </w: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Canopy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density</w:t>
      </w:r>
    </w:p>
    <w:p>
      <w:pPr>
        <w:spacing w:before="184" w:line="219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树冠相互衔接的程度。以树冠在林地垂直投影所占的面积与果园总面积之比，用十分法表示。</w:t>
      </w:r>
    </w:p>
    <w:p>
      <w:pPr>
        <w:sectPr>
          <w:headerReference w:type="default" r:id="rId10"/>
          <w:footerReference w:type="default" r:id="rId11"/>
          <w:type w:val="nextPage"/>
          <w:pgSz w:w="11910" w:h="16840"/>
          <w:pgMar w:top="1579" w:right="1327" w:bottom="978" w:left="1549" w:header="1479" w:footer="839" w:gutter="0"/>
          <w:pgNumType w:start="9"/>
          <w:cols w:space="708"/>
          <w:titlePg w:val="0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60" w:line="192" w:lineRule="auto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DB65/T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3863-2016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4</w:t>
      </w:r>
      <w:r>
        <w:rPr>
          <w:rFonts w:ascii="SimHei" w:eastAsia="SimHei" w:hAnsi="SimHei" w:cs="SimHei"/>
          <w:spacing w:val="10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验收内容</w:t>
      </w:r>
    </w:p>
    <w:p>
      <w:pPr>
        <w:spacing w:before="230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基地项目检查验收内容包括查阅档案和实地检查两个方面，并填写项目调查登记表，见附录A。</w:t>
      </w:r>
    </w:p>
    <w:p>
      <w:pPr>
        <w:spacing w:before="199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4.1</w:t>
      </w:r>
      <w:r>
        <w:rPr>
          <w:rFonts w:ascii="SimHei" w:eastAsia="SimHei" w:hAnsi="SimHei" w:cs="SimHei"/>
          <w:spacing w:val="10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查阅档案</w:t>
      </w:r>
    </w:p>
    <w:p>
      <w:pPr>
        <w:spacing w:before="215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4.1.1</w:t>
      </w:r>
      <w:r>
        <w:rPr>
          <w:rFonts w:ascii="SimHei" w:eastAsia="SimHei" w:hAnsi="SimHei" w:cs="SimHei"/>
          <w:spacing w:val="10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基地项目批准文件</w:t>
      </w:r>
    </w:p>
    <w:p>
      <w:pPr>
        <w:spacing w:before="217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hyperlink r:id="rId12" w:history="1">
        <w:r>
          <w:rPr>
            <w:rFonts w:ascii="SimHei" w:eastAsia="SimHei" w:hAnsi="SimHei" w:cs="SimHei"/>
            <w:b/>
            <w:bCs/>
            <w:spacing w:val="-3"/>
            <w:sz w:val="21"/>
            <w:szCs w:val="21"/>
          </w:rPr>
          <w:t>4.1.1.1</w:t>
        </w:r>
      </w:hyperlink>
      <w:r>
        <w:rPr>
          <w:rFonts w:ascii="SimHei" w:eastAsia="SimHei" w:hAnsi="SimHei" w:cs="SimHei"/>
          <w:spacing w:val="8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基地项目立项批文</w:t>
      </w:r>
    </w:p>
    <w:p>
      <w:pPr>
        <w:spacing w:before="22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政府主管部门对基地项目建设的立项批复文件。</w:t>
      </w:r>
    </w:p>
    <w:p>
      <w:pPr>
        <w:spacing w:before="218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hyperlink r:id="rId13" w:history="1">
        <w:r>
          <w:rPr>
            <w:rFonts w:ascii="SimHei" w:eastAsia="SimHei" w:hAnsi="SimHei" w:cs="SimHei"/>
            <w:b/>
            <w:bCs/>
            <w:spacing w:val="-3"/>
            <w:sz w:val="21"/>
            <w:szCs w:val="21"/>
          </w:rPr>
          <w:t>4.1.1.2</w:t>
        </w:r>
      </w:hyperlink>
      <w:r>
        <w:rPr>
          <w:rFonts w:ascii="SimHei" w:eastAsia="SimHei" w:hAnsi="SimHei" w:cs="SimHei"/>
          <w:spacing w:val="8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基地项目建设扶持政策兑现</w:t>
      </w:r>
    </w:p>
    <w:p>
      <w:pPr>
        <w:spacing w:before="230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政府主管部门关于基地项目建设的有关扶持政策规定及其落实情</w:t>
      </w:r>
      <w:r>
        <w:rPr>
          <w:rFonts w:ascii="SimSun" w:eastAsia="SimSun" w:hAnsi="SimSun" w:cs="SimSun"/>
          <w:spacing w:val="-4"/>
          <w:sz w:val="21"/>
          <w:szCs w:val="21"/>
        </w:rPr>
        <w:t>况。</w:t>
      </w:r>
    </w:p>
    <w:p>
      <w:pPr>
        <w:spacing w:before="208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hyperlink r:id="rId14" w:history="1">
        <w:r>
          <w:rPr>
            <w:rFonts w:ascii="SimHei" w:eastAsia="SimHei" w:hAnsi="SimHei" w:cs="SimHei"/>
            <w:b/>
            <w:bCs/>
            <w:spacing w:val="-3"/>
            <w:sz w:val="21"/>
            <w:szCs w:val="21"/>
          </w:rPr>
          <w:t>4.1.1.3</w:t>
        </w:r>
      </w:hyperlink>
      <w:r>
        <w:rPr>
          <w:rFonts w:ascii="SimHei" w:eastAsia="SimHei" w:hAnsi="SimHei" w:cs="SimHei"/>
          <w:spacing w:val="8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基地项目权属证书</w:t>
      </w:r>
    </w:p>
    <w:p>
      <w:pPr>
        <w:spacing w:before="222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基地项目土地使用证、林权证等发放情况。</w:t>
      </w:r>
    </w:p>
    <w:p>
      <w:pPr>
        <w:spacing w:before="206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4.1.2</w:t>
      </w:r>
      <w:r>
        <w:rPr>
          <w:rFonts w:ascii="SimHei" w:eastAsia="SimHei" w:hAnsi="SimHei" w:cs="SimHei"/>
          <w:spacing w:val="9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基地项目建设实施方案或作业设计</w:t>
      </w:r>
    </w:p>
    <w:p>
      <w:pPr>
        <w:spacing w:before="213" w:line="251" w:lineRule="auto"/>
        <w:ind w:right="44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依照GB/T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15776、LY/T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1557和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LY/T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1607要求编制，用于指</w:t>
      </w:r>
      <w:r>
        <w:rPr>
          <w:rFonts w:ascii="SimSun" w:eastAsia="SimSun" w:hAnsi="SimSun" w:cs="SimSun"/>
          <w:spacing w:val="-3"/>
          <w:sz w:val="21"/>
          <w:szCs w:val="21"/>
        </w:rPr>
        <w:t>导基地项目建设，并经政府主管部门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审批的基地项目建设实施方案或作业设计。</w:t>
      </w:r>
    </w:p>
    <w:p>
      <w:pPr>
        <w:spacing w:before="214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hyperlink r:id="rId15" w:history="1">
        <w:r>
          <w:rPr>
            <w:rFonts w:ascii="SimHei" w:eastAsia="SimHei" w:hAnsi="SimHei" w:cs="SimHei"/>
            <w:b/>
            <w:bCs/>
            <w:spacing w:val="-3"/>
            <w:sz w:val="21"/>
            <w:szCs w:val="21"/>
          </w:rPr>
          <w:t>4.1.2.1</w:t>
        </w:r>
      </w:hyperlink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基地项目造林方案</w:t>
      </w:r>
    </w:p>
    <w:p>
      <w:pPr>
        <w:spacing w:before="233" w:line="242" w:lineRule="auto"/>
        <w:ind w:right="46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基地项目造林整地、植苗造林或播种造林的选择、砧木苗或嫁接苗的苗木规格与栽植密度、主栽品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种与授粉品种的选择配置等建设方案。</w:t>
      </w:r>
    </w:p>
    <w:p>
      <w:pPr>
        <w:spacing w:before="216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hyperlink r:id="rId16" w:history="1">
        <w:r>
          <w:rPr>
            <w:rFonts w:ascii="SimHei" w:eastAsia="SimHei" w:hAnsi="SimHei" w:cs="SimHei"/>
            <w:b/>
            <w:bCs/>
            <w:spacing w:val="-3"/>
            <w:sz w:val="21"/>
            <w:szCs w:val="21"/>
          </w:rPr>
          <w:t>4.1.2.2</w:t>
        </w:r>
      </w:hyperlink>
      <w:r>
        <w:rPr>
          <w:rFonts w:ascii="SimHei" w:eastAsia="SimHei" w:hAnsi="SimHei" w:cs="SimHei"/>
          <w:spacing w:val="-1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基地项目抚育管理措施</w:t>
      </w:r>
    </w:p>
    <w:p>
      <w:pPr>
        <w:spacing w:before="220" w:line="251" w:lineRule="auto"/>
        <w:ind w:right="58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基地项目灌溉方式及其设施配套、施肥量及其施肥种类和次数、定干整形与枝条修剪</w:t>
      </w:r>
      <w:r>
        <w:rPr>
          <w:rFonts w:ascii="SimSun" w:eastAsia="SimSun" w:hAnsi="SimSun" w:cs="SimSun"/>
          <w:spacing w:val="-6"/>
          <w:sz w:val="21"/>
          <w:szCs w:val="21"/>
        </w:rPr>
        <w:t>、林业有害生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物防治、郁闭度控制等抚育管理方案及其落实情况。</w:t>
      </w:r>
    </w:p>
    <w:p>
      <w:pPr>
        <w:spacing w:before="196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4.2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实地检查</w:t>
      </w:r>
    </w:p>
    <w:p>
      <w:pPr>
        <w:spacing w:before="218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4.2.1</w:t>
      </w:r>
      <w:r>
        <w:rPr>
          <w:rFonts w:ascii="SimHei" w:eastAsia="SimHei" w:hAnsi="SimHei" w:cs="SimHei"/>
          <w:spacing w:val="8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全面调查基地项目面积</w:t>
      </w:r>
    </w:p>
    <w:p>
      <w:pPr>
        <w:spacing w:before="222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实地量测基地项目建设面积。</w:t>
      </w:r>
    </w:p>
    <w:p>
      <w:pPr>
        <w:spacing w:before="215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4.2.2</w:t>
      </w:r>
      <w:r>
        <w:rPr>
          <w:rFonts w:ascii="SimHei" w:eastAsia="SimHei" w:hAnsi="SimHei" w:cs="SimHei"/>
          <w:spacing w:val="8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核实造林成活率或保存率</w:t>
      </w:r>
    </w:p>
    <w:p>
      <w:pPr>
        <w:spacing w:before="221" w:line="242" w:lineRule="auto"/>
        <w:ind w:right="39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实地调查基地项目造林成活率或保存率。即：当年或次年的新造林地核实造林成活率，三年以上造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林地核实造林保存率。</w:t>
      </w:r>
    </w:p>
    <w:p>
      <w:pPr>
        <w:spacing w:before="213" w:line="219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4.2.3</w:t>
      </w:r>
      <w:r>
        <w:rPr>
          <w:rFonts w:ascii="SimHei" w:eastAsia="SimHei" w:hAnsi="SimHei" w:cs="SimHei"/>
          <w:spacing w:val="8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主栽品种与授粉树配置</w:t>
      </w:r>
    </w:p>
    <w:p>
      <w:pPr>
        <w:spacing w:before="248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实地调查基地项目造林主栽品种与授粉树品种配置方式</w:t>
      </w:r>
      <w:r>
        <w:rPr>
          <w:rFonts w:ascii="SimSun" w:eastAsia="SimSun" w:hAnsi="SimSun" w:cs="SimSun"/>
          <w:spacing w:val="-4"/>
          <w:sz w:val="21"/>
          <w:szCs w:val="21"/>
        </w:rPr>
        <w:t>及其比例。</w:t>
      </w:r>
    </w:p>
    <w:p>
      <w:pPr>
        <w:spacing w:before="197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4.2.4</w:t>
      </w:r>
      <w:r>
        <w:rPr>
          <w:rFonts w:ascii="SimHei" w:eastAsia="SimHei" w:hAnsi="SimHei" w:cs="SimHei"/>
          <w:spacing w:val="29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基地项目科技支撑</w:t>
      </w:r>
    </w:p>
    <w:p>
      <w:pPr>
        <w:spacing w:before="232" w:line="219" w:lineRule="auto"/>
        <w:ind w:left="419"/>
        <w:rPr>
          <w:rFonts w:ascii="SimSun" w:eastAsia="SimSun" w:hAnsi="SimSun" w:cs="SimSun"/>
          <w:sz w:val="21"/>
          <w:szCs w:val="21"/>
        </w:rPr>
        <w:sectPr>
          <w:headerReference w:type="default" r:id="rId17"/>
          <w:footerReference w:type="default" r:id="rId18"/>
          <w:pgSz w:w="11910" w:h="16840"/>
          <w:pgMar w:top="400" w:right="1182" w:bottom="895" w:left="1440" w:header="0" w:footer="746" w:gutter="0"/>
          <w:pgNumType w:start="10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实地调查基地项目专业技术人员的配备、造林新技术的应用、优良品种的</w:t>
      </w:r>
      <w:r>
        <w:rPr>
          <w:rFonts w:ascii="SimSun" w:eastAsia="SimSun" w:hAnsi="SimSun" w:cs="SimSun"/>
          <w:spacing w:val="-4"/>
          <w:sz w:val="21"/>
          <w:szCs w:val="21"/>
        </w:rPr>
        <w:t>使用及其成效情况。</w:t>
      </w:r>
    </w:p>
    <w:p>
      <w:pPr>
        <w:spacing w:before="196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4.2.5</w:t>
      </w:r>
      <w:r>
        <w:rPr>
          <w:rFonts w:ascii="SimHei" w:eastAsia="SimHei" w:hAnsi="SimHei" w:cs="SimHei"/>
          <w:spacing w:val="1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基地项目抚育管理</w:t>
      </w:r>
    </w:p>
    <w:p>
      <w:pPr>
        <w:sectPr>
          <w:headerReference w:type="default" r:id="rId19"/>
          <w:footerReference w:type="default" r:id="rId20"/>
          <w:type w:val="nextPage"/>
          <w:pgSz w:w="11910" w:h="16840"/>
          <w:pgMar w:top="400" w:right="1182" w:bottom="895" w:left="1440" w:header="0" w:footer="746" w:gutter="0"/>
          <w:pgNumType w:start="11"/>
          <w:cols w:space="708"/>
          <w:titlePg w:val="0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49" w:line="192" w:lineRule="auto"/>
        <w:ind w:right="88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6"/>
          <w:sz w:val="17"/>
          <w:szCs w:val="17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3863-2016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69" w:line="460" w:lineRule="exact"/>
        <w:ind w:left="5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19"/>
          <w:sz w:val="21"/>
          <w:szCs w:val="21"/>
        </w:rPr>
        <w:t>实地调查基地项目灌溉、施肥、修剪、林业有害生物防治等抚育管理措施的落实及其效果</w:t>
      </w:r>
      <w:r>
        <w:rPr>
          <w:rFonts w:ascii="SimSun" w:eastAsia="SimSun" w:hAnsi="SimSun" w:cs="SimSun"/>
          <w:spacing w:val="-5"/>
          <w:position w:val="19"/>
          <w:sz w:val="21"/>
          <w:szCs w:val="21"/>
        </w:rPr>
        <w:t>情况。</w:t>
      </w:r>
    </w:p>
    <w:p>
      <w:pPr>
        <w:spacing w:line="222" w:lineRule="auto"/>
        <w:ind w:left="8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4.2.6</w:t>
      </w:r>
      <w:r>
        <w:rPr>
          <w:rFonts w:ascii="SimHei" w:eastAsia="SimHei" w:hAnsi="SimHei" w:cs="SimHei"/>
          <w:spacing w:val="10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林果产品质量认证</w:t>
      </w:r>
    </w:p>
    <w:p>
      <w:pPr>
        <w:spacing w:before="217" w:line="219" w:lineRule="auto"/>
        <w:ind w:left="5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实地调查基地项目产品质量认证所做的各项具体工作情况。</w:t>
      </w:r>
    </w:p>
    <w:p>
      <w:pPr>
        <w:spacing w:before="218" w:line="221" w:lineRule="auto"/>
        <w:ind w:left="7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5"/>
          <w:sz w:val="21"/>
          <w:szCs w:val="21"/>
        </w:rPr>
        <w:t>5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5"/>
          <w:sz w:val="21"/>
          <w:szCs w:val="21"/>
        </w:rPr>
        <w:t>验收方法</w:t>
      </w:r>
    </w:p>
    <w:p>
      <w:pPr>
        <w:spacing w:before="300" w:line="219" w:lineRule="auto"/>
        <w:ind w:left="5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依照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GB/T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15776</w:t>
      </w:r>
      <w:r>
        <w:rPr>
          <w:rFonts w:ascii="SimSun" w:eastAsia="SimSun" w:hAnsi="SimSun" w:cs="SimSun"/>
          <w:spacing w:val="-2"/>
          <w:sz w:val="21"/>
          <w:szCs w:val="21"/>
        </w:rPr>
        <w:t>有关规定，计算基地项</w:t>
      </w:r>
      <w:r>
        <w:rPr>
          <w:rFonts w:ascii="SimSun" w:eastAsia="SimSun" w:hAnsi="SimSun" w:cs="SimSun"/>
          <w:spacing w:val="-3"/>
          <w:sz w:val="21"/>
          <w:szCs w:val="21"/>
        </w:rPr>
        <w:t>目面积、造林成活率或保存率、合格面积等。</w:t>
      </w:r>
    </w:p>
    <w:p>
      <w:pPr>
        <w:spacing w:before="290" w:line="222" w:lineRule="auto"/>
        <w:ind w:left="6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5.1</w:t>
      </w:r>
      <w:r>
        <w:rPr>
          <w:rFonts w:ascii="SimHei" w:eastAsia="SimHei" w:hAnsi="SimHei" w:cs="SimHei"/>
          <w:spacing w:val="9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基地项目面积检查计算</w:t>
      </w:r>
    </w:p>
    <w:p>
      <w:pPr>
        <w:spacing w:before="229" w:line="246" w:lineRule="auto"/>
        <w:ind w:left="79" w:right="56" w:firstLine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用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GPS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定位等技术实测基地项目建设面积，实测面积与上报面积误差不超过</w:t>
      </w:r>
      <w:r>
        <w:rPr>
          <w:rFonts w:ascii="SimSun" w:eastAsia="SimSun" w:hAnsi="SimSun" w:cs="SimSun"/>
          <w:spacing w:val="-6"/>
          <w:sz w:val="21"/>
          <w:szCs w:val="21"/>
        </w:rPr>
        <w:t>±5%的，承认其上报面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积；误差超过±5%的，以实测面积为准，并计算面积核实率(保留一位小数</w:t>
      </w:r>
      <w:r>
        <w:rPr>
          <w:rFonts w:ascii="SimSun" w:eastAsia="SimSun" w:hAnsi="SimSun" w:cs="SimSun"/>
          <w:spacing w:val="1"/>
          <w:sz w:val="21"/>
          <w:szCs w:val="21"/>
        </w:rPr>
        <w:t>)。</w:t>
      </w:r>
    </w:p>
    <w:p>
      <w:pPr>
        <w:spacing w:before="192"/>
        <w:ind w:left="529"/>
        <w:rPr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面积核</w:t>
      </w:r>
      <w:r>
        <w:rPr>
          <w:rFonts w:ascii="SimSun" w:eastAsia="SimSun" w:hAnsi="SimSun" w:cs="SimSun"/>
          <w:spacing w:val="-75"/>
          <w:sz w:val="21"/>
          <w:szCs w:val="21"/>
        </w:rPr>
        <w:t xml:space="preserve"> </w:t>
      </w:r>
      <w:r>
        <w:rPr>
          <w:position w:val="-23"/>
          <w:sz w:val="21"/>
          <w:szCs w:val="21"/>
        </w:rPr>
        <w:drawing>
          <wp:inline distT="0" distB="0" distL="0" distR="0">
            <wp:extent cx="2432061" cy="349246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32061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69" w:line="222" w:lineRule="auto"/>
        <w:ind w:left="5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5.2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3"/>
          <w:sz w:val="21"/>
          <w:szCs w:val="21"/>
        </w:rPr>
        <w:t>基地项目造林成活率或保存率检查计算</w:t>
      </w:r>
    </w:p>
    <w:p>
      <w:pPr>
        <w:spacing w:before="206" w:line="219" w:lineRule="auto"/>
        <w:ind w:left="6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5.2.1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3"/>
          <w:sz w:val="21"/>
          <w:szCs w:val="21"/>
        </w:rPr>
        <w:t>采用对角线调查法等机械抽样调查方法</w:t>
      </w:r>
    </w:p>
    <w:p>
      <w:pPr>
        <w:spacing w:before="244" w:line="219" w:lineRule="auto"/>
        <w:ind w:left="4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抽样调查统计造林设计栽植株数和实际成活或保存株数，以此计算基地项目造林成活率或保存率。</w:t>
      </w:r>
    </w:p>
    <w:p>
      <w:pPr>
        <w:spacing w:before="189" w:line="222" w:lineRule="auto"/>
        <w:ind w:left="4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4"/>
          <w:sz w:val="21"/>
          <w:szCs w:val="21"/>
        </w:rPr>
        <w:t>5.2.2</w:t>
      </w:r>
      <w:r>
        <w:rPr>
          <w:rFonts w:ascii="SimHei" w:eastAsia="SimHei" w:hAnsi="SimHei" w:cs="SimHei"/>
          <w:spacing w:val="1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4"/>
          <w:sz w:val="21"/>
          <w:szCs w:val="21"/>
        </w:rPr>
        <w:t>计算造林成活率(保留一位小数)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560" w:lineRule="exact"/>
        <w:ind w:firstLine="489"/>
        <w:textAlignment w:val="center"/>
      </w:pPr>
      <w:r>
        <w:drawing>
          <wp:inline distT="0" distB="0" distL="0" distR="0">
            <wp:extent cx="2063750" cy="35555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9" w:line="222" w:lineRule="auto"/>
        <w:ind w:left="4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3"/>
          <w:sz w:val="21"/>
          <w:szCs w:val="21"/>
        </w:rPr>
        <w:t>5.2.3</w:t>
      </w:r>
      <w:r>
        <w:rPr>
          <w:rFonts w:ascii="SimHei" w:eastAsia="SimHei" w:hAnsi="SimHei" w:cs="SimHei"/>
          <w:spacing w:val="11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3"/>
          <w:sz w:val="21"/>
          <w:szCs w:val="21"/>
        </w:rPr>
        <w:t>计算造林保存率(保留一位小数)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" w:line="560" w:lineRule="exact"/>
        <w:ind w:firstLine="499"/>
        <w:textAlignment w:val="center"/>
      </w:pPr>
      <w:r>
        <w:drawing>
          <wp:inline distT="0" distB="0" distL="0" distR="0">
            <wp:extent cx="2051044" cy="355662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51044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68" w:line="222" w:lineRule="auto"/>
        <w:ind w:left="3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5.3</w:t>
      </w:r>
      <w:r>
        <w:rPr>
          <w:rFonts w:ascii="SimHei" w:eastAsia="SimHei" w:hAnsi="SimHei" w:cs="SimHei"/>
          <w:spacing w:val="1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3"/>
          <w:sz w:val="21"/>
          <w:szCs w:val="21"/>
        </w:rPr>
        <w:t>基地项目合格面积计算</w:t>
      </w:r>
    </w:p>
    <w:p>
      <w:pPr>
        <w:spacing w:before="239" w:line="237" w:lineRule="auto"/>
        <w:ind w:left="40" w:right="96" w:firstLine="5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基地项目造林成活率达85%或保存率达95%以上</w:t>
      </w:r>
      <w:r>
        <w:rPr>
          <w:rFonts w:ascii="SimSun" w:eastAsia="SimSun" w:hAnsi="SimSun" w:cs="SimSun"/>
          <w:spacing w:val="-3"/>
          <w:sz w:val="21"/>
          <w:szCs w:val="21"/>
        </w:rPr>
        <w:t>的基地项目建设面积为合格面积，并计算面积合格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6"/>
          <w:sz w:val="21"/>
          <w:szCs w:val="21"/>
        </w:rPr>
        <w:t>率(保留一位小数)。</w:t>
      </w:r>
    </w:p>
    <w:p>
      <w:pPr>
        <w:spacing w:before="202" w:line="560" w:lineRule="exact"/>
        <w:ind w:firstLine="489"/>
        <w:textAlignment w:val="center"/>
      </w:pPr>
      <w:r>
        <w:drawing>
          <wp:inline distT="0" distB="0" distL="0" distR="0">
            <wp:extent cx="2571747" cy="35555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71747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https://d.book118.com/746132134140010042</w:t>
        </w:r>
      </w:hyperlink>
    </w:p>
    <w:p>
      <w:pPr>
        <w:spacing w:before="202" w:line="560" w:lineRule="exact"/>
        <w:ind w:firstLine="489"/>
        <w:textAlignment w:val="center"/>
      </w:pPr>
    </w:p>
    <w:sectPr>
      <w:headerReference w:type="default" r:id="rId26"/>
      <w:footerReference w:type="default" r:id="rId27"/>
      <w:pgSz w:w="11910" w:h="16840"/>
      <w:pgMar w:top="400" w:right="1114" w:bottom="895" w:left="1430" w:header="0" w:footer="746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15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15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8"/>
        <w:sz w:val="14"/>
        <w:szCs w:val="1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8"/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2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2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7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0" w:lineRule="exact"/>
      <w:ind w:right="370"/>
      <w:jc w:val="right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position w:val="-2"/>
        <w:sz w:val="14"/>
        <w:szCs w:val="14"/>
      </w:rPr>
      <w:t>DB65/T3863-2016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0" w:lineRule="exact"/>
      <w:ind w:right="370"/>
      <w:jc w:val="right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position w:val="-2"/>
        <w:sz w:val="14"/>
        <w:szCs w:val="14"/>
      </w:rPr>
      <w:t>DB65/T3863-2016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4.xml" /><Relationship Id="rId12" Type="http://schemas.openxmlformats.org/officeDocument/2006/relationships/hyperlink" Target="https://4.1.1.1" TargetMode="External" /><Relationship Id="rId13" Type="http://schemas.openxmlformats.org/officeDocument/2006/relationships/hyperlink" Target="https://4.1.1.2" TargetMode="External" /><Relationship Id="rId14" Type="http://schemas.openxmlformats.org/officeDocument/2006/relationships/hyperlink" Target="https://4.1.1.3" TargetMode="External" /><Relationship Id="rId15" Type="http://schemas.openxmlformats.org/officeDocument/2006/relationships/hyperlink" Target="https://4.1.2.1" TargetMode="External" /><Relationship Id="rId16" Type="http://schemas.openxmlformats.org/officeDocument/2006/relationships/hyperlink" Target="https://4.1.2.2" TargetMode="External" /><Relationship Id="rId17" Type="http://schemas.openxmlformats.org/officeDocument/2006/relationships/header" Target="header3.xml" /><Relationship Id="rId18" Type="http://schemas.openxmlformats.org/officeDocument/2006/relationships/footer" Target="footer5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3.png" /><Relationship Id="rId22" Type="http://schemas.openxmlformats.org/officeDocument/2006/relationships/image" Target="media/image4.png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hyperlink" Target="https://d.book118.com/746132134140010042" TargetMode="External" /><Relationship Id="rId26" Type="http://schemas.openxmlformats.org/officeDocument/2006/relationships/header" Target="header5.xml" /><Relationship Id="rId27" Type="http://schemas.openxmlformats.org/officeDocument/2006/relationships/footer" Target="footer7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1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2023-05-18T13:25:31Z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2023-05-18T13:25:32Z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6465b6c16558e3001ffe36fa</vt:lpwstr>
  </property>
</Properties>
</file>