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金属硫蛋白(MT)、高纯度MT、MT多糖项目规划设计纲要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30" w:history="1">
        <w:r>
          <w:rPr>
            <w:rFonts w:ascii="仿宋" w:eastAsia="仿宋" w:hAnsi="仿宋" w:cs="仿宋" w:hint="eastAsia"/>
            <w:lang w:eastAsia="zh-CN"/>
          </w:rPr>
          <w:t>序言</w:t>
        </w:r>
        <w:r>
          <w:tab/>
        </w:r>
        <w:r>
          <w:fldChar w:fldCharType="begin"/>
        </w:r>
        <w:r>
          <w:instrText xml:space="preserve"> PAGEREF _Toc8030 \h </w:instrText>
        </w:r>
        <w:r>
          <w:fldChar w:fldCharType="separate"/>
        </w:r>
        <w:r>
          <w:t>3</w:t>
        </w:r>
        <w:r>
          <w:fldChar w:fldCharType="end"/>
        </w:r>
      </w:hyperlink>
    </w:p>
    <w:p>
      <w:pPr>
        <w:pStyle w:val="TOC1"/>
        <w:tabs>
          <w:tab w:val="right" w:leader="dot" w:pos="8306"/>
        </w:tabs>
      </w:pPr>
      <w:hyperlink w:anchor="_Toc6753" w:history="1">
        <w:r>
          <w:rPr>
            <w:rFonts w:ascii="仿宋" w:eastAsia="仿宋" w:hAnsi="仿宋" w:cs="仿宋" w:hint="eastAsia"/>
            <w:lang w:eastAsia="zh-CN"/>
          </w:rPr>
          <w:t>一、金属硫蛋白(MT)、高纯度MT、MT多糖项目绩效评估</w:t>
        </w:r>
        <w:r>
          <w:tab/>
        </w:r>
        <w:r>
          <w:fldChar w:fldCharType="begin"/>
        </w:r>
        <w:r>
          <w:instrText xml:space="preserve"> PAGEREF _Toc6753 \h </w:instrText>
        </w:r>
        <w:r>
          <w:fldChar w:fldCharType="separate"/>
        </w:r>
        <w:r>
          <w:t>3</w:t>
        </w:r>
        <w:r>
          <w:fldChar w:fldCharType="end"/>
        </w:r>
      </w:hyperlink>
    </w:p>
    <w:p>
      <w:pPr>
        <w:pStyle w:val="TOC2"/>
        <w:tabs>
          <w:tab w:val="right" w:leader="dot" w:pos="8306"/>
        </w:tabs>
      </w:pPr>
      <w:hyperlink w:anchor="_Toc11288" w:history="1">
        <w:r>
          <w:rPr>
            <w:rFonts w:ascii="仿宋" w:eastAsia="仿宋" w:hAnsi="仿宋" w:cs="仿宋" w:hint="eastAsia"/>
            <w:lang w:eastAsia="zh-CN"/>
          </w:rPr>
          <w:t>(一)、绩效评估指标</w:t>
        </w:r>
        <w:r>
          <w:tab/>
        </w:r>
        <w:r>
          <w:fldChar w:fldCharType="begin"/>
        </w:r>
        <w:r>
          <w:instrText xml:space="preserve"> PAGEREF _Toc11288 \h </w:instrText>
        </w:r>
        <w:r>
          <w:fldChar w:fldCharType="separate"/>
        </w:r>
        <w:r>
          <w:t>3</w:t>
        </w:r>
        <w:r>
          <w:fldChar w:fldCharType="end"/>
        </w:r>
      </w:hyperlink>
    </w:p>
    <w:p>
      <w:pPr>
        <w:pStyle w:val="TOC2"/>
        <w:tabs>
          <w:tab w:val="right" w:leader="dot" w:pos="8306"/>
        </w:tabs>
      </w:pPr>
      <w:hyperlink w:anchor="_Toc16992" w:history="1">
        <w:r>
          <w:rPr>
            <w:rFonts w:ascii="仿宋" w:eastAsia="仿宋" w:hAnsi="仿宋" w:cs="仿宋" w:hint="eastAsia"/>
            <w:lang w:eastAsia="zh-CN"/>
          </w:rPr>
          <w:t>(二)、绩效评估方法</w:t>
        </w:r>
        <w:r>
          <w:tab/>
        </w:r>
        <w:r>
          <w:fldChar w:fldCharType="begin"/>
        </w:r>
        <w:r>
          <w:instrText xml:space="preserve"> PAGEREF _Toc16992 \h </w:instrText>
        </w:r>
        <w:r>
          <w:fldChar w:fldCharType="separate"/>
        </w:r>
        <w:r>
          <w:t>4</w:t>
        </w:r>
        <w:r>
          <w:fldChar w:fldCharType="end"/>
        </w:r>
      </w:hyperlink>
    </w:p>
    <w:p>
      <w:pPr>
        <w:pStyle w:val="TOC2"/>
        <w:tabs>
          <w:tab w:val="right" w:leader="dot" w:pos="8306"/>
        </w:tabs>
      </w:pPr>
      <w:hyperlink w:anchor="_Toc25137" w:history="1">
        <w:r>
          <w:rPr>
            <w:rFonts w:ascii="仿宋" w:eastAsia="仿宋" w:hAnsi="仿宋" w:cs="仿宋" w:hint="eastAsia"/>
            <w:lang w:eastAsia="zh-CN"/>
          </w:rPr>
          <w:t>(三)、绩效评估周期</w:t>
        </w:r>
        <w:r>
          <w:tab/>
        </w:r>
        <w:r>
          <w:fldChar w:fldCharType="begin"/>
        </w:r>
        <w:r>
          <w:instrText xml:space="preserve"> PAGEREF _Toc25137 \h </w:instrText>
        </w:r>
        <w:r>
          <w:fldChar w:fldCharType="separate"/>
        </w:r>
        <w:r>
          <w:t>6</w:t>
        </w:r>
        <w:r>
          <w:fldChar w:fldCharType="end"/>
        </w:r>
      </w:hyperlink>
    </w:p>
    <w:p>
      <w:pPr>
        <w:pStyle w:val="TOC1"/>
        <w:tabs>
          <w:tab w:val="right" w:leader="dot" w:pos="8306"/>
        </w:tabs>
      </w:pPr>
      <w:hyperlink w:anchor="_Toc19440" w:history="1">
        <w:r>
          <w:rPr>
            <w:rFonts w:ascii="仿宋" w:eastAsia="仿宋" w:hAnsi="仿宋" w:cs="仿宋" w:hint="eastAsia"/>
            <w:lang w:eastAsia="zh-CN"/>
          </w:rPr>
          <w:t>二、金属硫蛋白(MT)、高纯度MT、MT多糖项目危机管理</w:t>
        </w:r>
        <w:r>
          <w:tab/>
        </w:r>
        <w:r>
          <w:fldChar w:fldCharType="begin"/>
        </w:r>
        <w:r>
          <w:instrText xml:space="preserve"> PAGEREF _Toc19440 \h </w:instrText>
        </w:r>
        <w:r>
          <w:fldChar w:fldCharType="separate"/>
        </w:r>
        <w:r>
          <w:t>7</w:t>
        </w:r>
        <w:r>
          <w:fldChar w:fldCharType="end"/>
        </w:r>
      </w:hyperlink>
    </w:p>
    <w:p>
      <w:pPr>
        <w:pStyle w:val="TOC2"/>
        <w:tabs>
          <w:tab w:val="right" w:leader="dot" w:pos="8306"/>
        </w:tabs>
      </w:pPr>
      <w:hyperlink w:anchor="_Toc8082" w:history="1">
        <w:r>
          <w:rPr>
            <w:rFonts w:ascii="仿宋" w:eastAsia="仿宋" w:hAnsi="仿宋" w:cs="仿宋" w:hint="eastAsia"/>
            <w:lang w:eastAsia="zh-CN"/>
          </w:rPr>
          <w:t>(一)、危机预警与识别</w:t>
        </w:r>
        <w:r>
          <w:tab/>
        </w:r>
        <w:r>
          <w:fldChar w:fldCharType="begin"/>
        </w:r>
        <w:r>
          <w:instrText xml:space="preserve"> PAGEREF _Toc8082 \h </w:instrText>
        </w:r>
        <w:r>
          <w:fldChar w:fldCharType="separate"/>
        </w:r>
        <w:r>
          <w:t>7</w:t>
        </w:r>
        <w:r>
          <w:fldChar w:fldCharType="end"/>
        </w:r>
      </w:hyperlink>
    </w:p>
    <w:p>
      <w:pPr>
        <w:pStyle w:val="TOC2"/>
        <w:tabs>
          <w:tab w:val="right" w:leader="dot" w:pos="8306"/>
        </w:tabs>
      </w:pPr>
      <w:hyperlink w:anchor="_Toc27839" w:history="1">
        <w:r>
          <w:rPr>
            <w:rFonts w:ascii="仿宋" w:eastAsia="仿宋" w:hAnsi="仿宋" w:cs="仿宋" w:hint="eastAsia"/>
            <w:lang w:eastAsia="zh-CN"/>
          </w:rPr>
          <w:t>(二)、危机应对与恢复</w:t>
        </w:r>
        <w:r>
          <w:tab/>
        </w:r>
        <w:r>
          <w:fldChar w:fldCharType="begin"/>
        </w:r>
        <w:r>
          <w:instrText xml:space="preserve"> PAGEREF _Toc27839 \h </w:instrText>
        </w:r>
        <w:r>
          <w:fldChar w:fldCharType="separate"/>
        </w:r>
        <w:r>
          <w:t>8</w:t>
        </w:r>
        <w:r>
          <w:fldChar w:fldCharType="end"/>
        </w:r>
      </w:hyperlink>
    </w:p>
    <w:p>
      <w:pPr>
        <w:pStyle w:val="TOC1"/>
        <w:tabs>
          <w:tab w:val="right" w:leader="dot" w:pos="8306"/>
        </w:tabs>
      </w:pPr>
      <w:hyperlink w:anchor="_Toc31982" w:history="1">
        <w:r>
          <w:rPr>
            <w:rFonts w:ascii="仿宋" w:eastAsia="仿宋" w:hAnsi="仿宋" w:cs="仿宋" w:hint="eastAsia"/>
            <w:lang w:eastAsia="zh-CN"/>
          </w:rPr>
          <w:t>三、金属硫蛋白(MT)、高纯度MT、MT多糖项目选址可行性分析</w:t>
        </w:r>
        <w:r>
          <w:tab/>
        </w:r>
        <w:r>
          <w:fldChar w:fldCharType="begin"/>
        </w:r>
        <w:r>
          <w:instrText xml:space="preserve"> PAGEREF _Toc31982 \h </w:instrText>
        </w:r>
        <w:r>
          <w:fldChar w:fldCharType="separate"/>
        </w:r>
        <w:r>
          <w:t>10</w:t>
        </w:r>
        <w:r>
          <w:fldChar w:fldCharType="end"/>
        </w:r>
      </w:hyperlink>
    </w:p>
    <w:p>
      <w:pPr>
        <w:pStyle w:val="TOC2"/>
        <w:tabs>
          <w:tab w:val="right" w:leader="dot" w:pos="8306"/>
        </w:tabs>
      </w:pPr>
      <w:hyperlink w:anchor="_Toc13677" w:history="1">
        <w:r>
          <w:rPr>
            <w:rFonts w:ascii="仿宋" w:eastAsia="仿宋" w:hAnsi="仿宋" w:cs="仿宋" w:hint="eastAsia"/>
            <w:lang w:eastAsia="zh-CN"/>
          </w:rPr>
          <w:t>(一)、金属硫蛋白(MT)、高纯度MT、MT多糖项目选址</w:t>
        </w:r>
        <w:r>
          <w:tab/>
        </w:r>
        <w:r>
          <w:fldChar w:fldCharType="begin"/>
        </w:r>
        <w:r>
          <w:instrText xml:space="preserve"> PAGEREF _Toc13677 \h </w:instrText>
        </w:r>
        <w:r>
          <w:fldChar w:fldCharType="separate"/>
        </w:r>
        <w:r>
          <w:t>10</w:t>
        </w:r>
        <w:r>
          <w:fldChar w:fldCharType="end"/>
        </w:r>
      </w:hyperlink>
    </w:p>
    <w:p>
      <w:pPr>
        <w:pStyle w:val="TOC2"/>
        <w:tabs>
          <w:tab w:val="right" w:leader="dot" w:pos="8306"/>
        </w:tabs>
      </w:pPr>
      <w:hyperlink w:anchor="_Toc8248" w:history="1">
        <w:r>
          <w:rPr>
            <w:rFonts w:ascii="仿宋" w:eastAsia="仿宋" w:hAnsi="仿宋" w:cs="仿宋" w:hint="eastAsia"/>
            <w:lang w:eastAsia="zh-CN"/>
          </w:rPr>
          <w:t>(二)、用地控制指标</w:t>
        </w:r>
        <w:r>
          <w:tab/>
        </w:r>
        <w:r>
          <w:fldChar w:fldCharType="begin"/>
        </w:r>
        <w:r>
          <w:instrText xml:space="preserve"> PAGEREF _Toc8248 \h </w:instrText>
        </w:r>
        <w:r>
          <w:fldChar w:fldCharType="separate"/>
        </w:r>
        <w:r>
          <w:t>10</w:t>
        </w:r>
        <w:r>
          <w:fldChar w:fldCharType="end"/>
        </w:r>
      </w:hyperlink>
    </w:p>
    <w:p>
      <w:pPr>
        <w:pStyle w:val="TOC2"/>
        <w:tabs>
          <w:tab w:val="right" w:leader="dot" w:pos="8306"/>
        </w:tabs>
      </w:pPr>
      <w:hyperlink w:anchor="_Toc29870" w:history="1">
        <w:r>
          <w:rPr>
            <w:rFonts w:ascii="仿宋" w:eastAsia="仿宋" w:hAnsi="仿宋" w:cs="仿宋" w:hint="eastAsia"/>
            <w:lang w:eastAsia="zh-CN"/>
          </w:rPr>
          <w:t>(三)、节约用地措施</w:t>
        </w:r>
        <w:r>
          <w:tab/>
        </w:r>
        <w:r>
          <w:fldChar w:fldCharType="begin"/>
        </w:r>
        <w:r>
          <w:instrText xml:space="preserve"> PAGEREF _Toc29870 \h </w:instrText>
        </w:r>
        <w:r>
          <w:fldChar w:fldCharType="separate"/>
        </w:r>
        <w:r>
          <w:t>12</w:t>
        </w:r>
        <w:r>
          <w:fldChar w:fldCharType="end"/>
        </w:r>
      </w:hyperlink>
    </w:p>
    <w:p>
      <w:pPr>
        <w:pStyle w:val="TOC2"/>
        <w:tabs>
          <w:tab w:val="right" w:leader="dot" w:pos="8306"/>
        </w:tabs>
      </w:pPr>
      <w:hyperlink w:anchor="_Toc956" w:history="1">
        <w:r>
          <w:rPr>
            <w:rFonts w:ascii="仿宋" w:eastAsia="仿宋" w:hAnsi="仿宋" w:cs="仿宋" w:hint="eastAsia"/>
            <w:lang w:eastAsia="zh-CN"/>
          </w:rPr>
          <w:t>(四)、总图布置方案</w:t>
        </w:r>
        <w:r>
          <w:tab/>
        </w:r>
        <w:r>
          <w:fldChar w:fldCharType="begin"/>
        </w:r>
        <w:r>
          <w:instrText xml:space="preserve"> PAGEREF _Toc956 \h </w:instrText>
        </w:r>
        <w:r>
          <w:fldChar w:fldCharType="separate"/>
        </w:r>
        <w:r>
          <w:t>13</w:t>
        </w:r>
        <w:r>
          <w:fldChar w:fldCharType="end"/>
        </w:r>
      </w:hyperlink>
    </w:p>
    <w:p>
      <w:pPr>
        <w:pStyle w:val="TOC2"/>
        <w:tabs>
          <w:tab w:val="right" w:leader="dot" w:pos="8306"/>
        </w:tabs>
      </w:pPr>
      <w:hyperlink w:anchor="_Toc4215" w:history="1">
        <w:r>
          <w:rPr>
            <w:rFonts w:ascii="仿宋" w:eastAsia="仿宋" w:hAnsi="仿宋" w:cs="仿宋" w:hint="eastAsia"/>
            <w:lang w:eastAsia="zh-CN"/>
          </w:rPr>
          <w:t>(五)、选址综合评价</w:t>
        </w:r>
        <w:r>
          <w:tab/>
        </w:r>
        <w:r>
          <w:fldChar w:fldCharType="begin"/>
        </w:r>
        <w:r>
          <w:instrText xml:space="preserve"> PAGEREF _Toc4215 \h </w:instrText>
        </w:r>
        <w:r>
          <w:fldChar w:fldCharType="separate"/>
        </w:r>
        <w:r>
          <w:t>14</w:t>
        </w:r>
        <w:r>
          <w:fldChar w:fldCharType="end"/>
        </w:r>
      </w:hyperlink>
    </w:p>
    <w:p>
      <w:pPr>
        <w:pStyle w:val="TOC1"/>
        <w:tabs>
          <w:tab w:val="right" w:leader="dot" w:pos="8306"/>
        </w:tabs>
      </w:pPr>
      <w:hyperlink w:anchor="_Toc24323" w:history="1">
        <w:r>
          <w:rPr>
            <w:rFonts w:ascii="仿宋" w:eastAsia="仿宋" w:hAnsi="仿宋" w:cs="仿宋" w:hint="eastAsia"/>
            <w:lang w:eastAsia="zh-CN"/>
          </w:rPr>
          <w:t>四、市场分析、调研</w:t>
        </w:r>
        <w:r>
          <w:tab/>
        </w:r>
        <w:r>
          <w:fldChar w:fldCharType="begin"/>
        </w:r>
        <w:r>
          <w:instrText xml:space="preserve"> PAGEREF _Toc24323 \h </w:instrText>
        </w:r>
        <w:r>
          <w:fldChar w:fldCharType="separate"/>
        </w:r>
        <w:r>
          <w:t>16</w:t>
        </w:r>
        <w:r>
          <w:fldChar w:fldCharType="end"/>
        </w:r>
      </w:hyperlink>
    </w:p>
    <w:p>
      <w:pPr>
        <w:pStyle w:val="TOC2"/>
        <w:tabs>
          <w:tab w:val="right" w:leader="dot" w:pos="8306"/>
        </w:tabs>
      </w:pPr>
      <w:hyperlink w:anchor="_Toc28115" w:history="1">
        <w:r>
          <w:rPr>
            <w:rFonts w:ascii="仿宋" w:eastAsia="仿宋" w:hAnsi="仿宋" w:cs="仿宋" w:hint="eastAsia"/>
            <w:lang w:eastAsia="zh-CN"/>
          </w:rPr>
          <w:t>(一)、金属硫蛋白(MT)、高纯度MT、MT多糖行业分析</w:t>
        </w:r>
        <w:r>
          <w:tab/>
        </w:r>
        <w:r>
          <w:fldChar w:fldCharType="begin"/>
        </w:r>
        <w:r>
          <w:instrText xml:space="preserve"> PAGEREF _Toc28115 \h </w:instrText>
        </w:r>
        <w:r>
          <w:fldChar w:fldCharType="separate"/>
        </w:r>
        <w:r>
          <w:t>16</w:t>
        </w:r>
        <w:r>
          <w:fldChar w:fldCharType="end"/>
        </w:r>
      </w:hyperlink>
    </w:p>
    <w:p>
      <w:pPr>
        <w:pStyle w:val="TOC2"/>
        <w:tabs>
          <w:tab w:val="right" w:leader="dot" w:pos="8306"/>
        </w:tabs>
      </w:pPr>
      <w:hyperlink w:anchor="_Toc2037" w:history="1">
        <w:r>
          <w:rPr>
            <w:rFonts w:ascii="仿宋" w:eastAsia="仿宋" w:hAnsi="仿宋" w:cs="仿宋" w:hint="eastAsia"/>
            <w:lang w:eastAsia="zh-CN"/>
          </w:rPr>
          <w:t>(二)、金属硫蛋白(MT)、高纯度MT、MT多糖市场分析预测</w:t>
        </w:r>
        <w:r>
          <w:tab/>
        </w:r>
        <w:r>
          <w:fldChar w:fldCharType="begin"/>
        </w:r>
        <w:r>
          <w:instrText xml:space="preserve"> PAGEREF _Toc2037 \h </w:instrText>
        </w:r>
        <w:r>
          <w:fldChar w:fldCharType="separate"/>
        </w:r>
        <w:r>
          <w:t>17</w:t>
        </w:r>
        <w:r>
          <w:fldChar w:fldCharType="end"/>
        </w:r>
      </w:hyperlink>
    </w:p>
    <w:p>
      <w:pPr>
        <w:pStyle w:val="TOC1"/>
        <w:tabs>
          <w:tab w:val="right" w:leader="dot" w:pos="8306"/>
        </w:tabs>
      </w:pPr>
      <w:hyperlink w:anchor="_Toc1034" w:history="1">
        <w:r>
          <w:rPr>
            <w:rFonts w:ascii="仿宋" w:eastAsia="仿宋" w:hAnsi="仿宋" w:cs="仿宋" w:hint="eastAsia"/>
            <w:lang w:eastAsia="zh-CN"/>
          </w:rPr>
          <w:t>五、产品规划分析</w:t>
        </w:r>
        <w:r>
          <w:tab/>
        </w:r>
        <w:r>
          <w:fldChar w:fldCharType="begin"/>
        </w:r>
        <w:r>
          <w:instrText xml:space="preserve"> PAGEREF _Toc1034 \h </w:instrText>
        </w:r>
        <w:r>
          <w:fldChar w:fldCharType="separate"/>
        </w:r>
        <w:r>
          <w:t>18</w:t>
        </w:r>
        <w:r>
          <w:fldChar w:fldCharType="end"/>
        </w:r>
      </w:hyperlink>
    </w:p>
    <w:p>
      <w:pPr>
        <w:pStyle w:val="TOC2"/>
        <w:tabs>
          <w:tab w:val="right" w:leader="dot" w:pos="8306"/>
        </w:tabs>
      </w:pPr>
      <w:hyperlink w:anchor="_Toc5579" w:history="1">
        <w:r>
          <w:rPr>
            <w:rFonts w:ascii="仿宋" w:eastAsia="仿宋" w:hAnsi="仿宋" w:cs="仿宋" w:hint="eastAsia"/>
            <w:lang w:eastAsia="zh-CN"/>
          </w:rPr>
          <w:t>(一)、产品规划</w:t>
        </w:r>
        <w:r>
          <w:tab/>
        </w:r>
        <w:r>
          <w:fldChar w:fldCharType="begin"/>
        </w:r>
        <w:r>
          <w:instrText xml:space="preserve"> PAGEREF _Toc5579 \h </w:instrText>
        </w:r>
        <w:r>
          <w:fldChar w:fldCharType="separate"/>
        </w:r>
        <w:r>
          <w:t>18</w:t>
        </w:r>
        <w:r>
          <w:fldChar w:fldCharType="end"/>
        </w:r>
      </w:hyperlink>
    </w:p>
    <w:p>
      <w:pPr>
        <w:pStyle w:val="TOC2"/>
        <w:tabs>
          <w:tab w:val="right" w:leader="dot" w:pos="8306"/>
        </w:tabs>
      </w:pPr>
      <w:hyperlink w:anchor="_Toc24121" w:history="1">
        <w:r>
          <w:rPr>
            <w:rFonts w:ascii="仿宋" w:eastAsia="仿宋" w:hAnsi="仿宋" w:cs="仿宋" w:hint="eastAsia"/>
            <w:lang w:eastAsia="zh-CN"/>
          </w:rPr>
          <w:t>(二)、建设规模</w:t>
        </w:r>
        <w:r>
          <w:tab/>
        </w:r>
        <w:r>
          <w:fldChar w:fldCharType="begin"/>
        </w:r>
        <w:r>
          <w:instrText xml:space="preserve"> PAGEREF _Toc24121 \h </w:instrText>
        </w:r>
        <w:r>
          <w:fldChar w:fldCharType="separate"/>
        </w:r>
        <w:r>
          <w:t>19</w:t>
        </w:r>
        <w:r>
          <w:fldChar w:fldCharType="end"/>
        </w:r>
      </w:hyperlink>
    </w:p>
    <w:p>
      <w:pPr>
        <w:pStyle w:val="TOC1"/>
        <w:tabs>
          <w:tab w:val="right" w:leader="dot" w:pos="8306"/>
        </w:tabs>
      </w:pPr>
      <w:hyperlink w:anchor="_Toc7375" w:history="1">
        <w:r>
          <w:rPr>
            <w:rFonts w:ascii="仿宋" w:eastAsia="仿宋" w:hAnsi="仿宋" w:cs="仿宋" w:hint="eastAsia"/>
            <w:lang w:eastAsia="zh-CN"/>
          </w:rPr>
          <w:t>六、金属硫蛋白(MT)、高纯度MT、MT多糖项目可持续发展</w:t>
        </w:r>
        <w:r>
          <w:tab/>
        </w:r>
        <w:r>
          <w:fldChar w:fldCharType="begin"/>
        </w:r>
        <w:r>
          <w:instrText xml:space="preserve"> PAGEREF _Toc7375 \h </w:instrText>
        </w:r>
        <w:r>
          <w:fldChar w:fldCharType="separate"/>
        </w:r>
        <w:r>
          <w:t>20</w:t>
        </w:r>
        <w:r>
          <w:fldChar w:fldCharType="end"/>
        </w:r>
      </w:hyperlink>
    </w:p>
    <w:p>
      <w:pPr>
        <w:pStyle w:val="TOC2"/>
        <w:tabs>
          <w:tab w:val="right" w:leader="dot" w:pos="8306"/>
        </w:tabs>
      </w:pPr>
      <w:hyperlink w:anchor="_Toc9881" w:history="1">
        <w:r>
          <w:rPr>
            <w:rFonts w:ascii="仿宋" w:eastAsia="仿宋" w:hAnsi="仿宋" w:cs="仿宋" w:hint="eastAsia"/>
            <w:lang w:eastAsia="zh-CN"/>
          </w:rPr>
          <w:t>(一)、可持续战略与实践</w:t>
        </w:r>
        <w:r>
          <w:tab/>
        </w:r>
        <w:r>
          <w:fldChar w:fldCharType="begin"/>
        </w:r>
        <w:r>
          <w:instrText xml:space="preserve"> PAGEREF _Toc9881 \h </w:instrText>
        </w:r>
        <w:r>
          <w:fldChar w:fldCharType="separate"/>
        </w:r>
        <w:r>
          <w:t>20</w:t>
        </w:r>
        <w:r>
          <w:fldChar w:fldCharType="end"/>
        </w:r>
      </w:hyperlink>
    </w:p>
    <w:p>
      <w:pPr>
        <w:pStyle w:val="TOC2"/>
        <w:tabs>
          <w:tab w:val="right" w:leader="dot" w:pos="8306"/>
        </w:tabs>
      </w:pPr>
      <w:hyperlink w:anchor="_Toc20745" w:history="1">
        <w:r>
          <w:rPr>
            <w:rFonts w:ascii="仿宋" w:eastAsia="仿宋" w:hAnsi="仿宋" w:cs="仿宋" w:hint="eastAsia"/>
            <w:lang w:eastAsia="zh-CN"/>
          </w:rPr>
          <w:t>(二)、环保与社会责任</w:t>
        </w:r>
        <w:r>
          <w:tab/>
        </w:r>
        <w:r>
          <w:fldChar w:fldCharType="begin"/>
        </w:r>
        <w:r>
          <w:instrText xml:space="preserve"> PAGEREF _Toc20745 \h </w:instrText>
        </w:r>
        <w:r>
          <w:fldChar w:fldCharType="separate"/>
        </w:r>
        <w:r>
          <w:t>21</w:t>
        </w:r>
        <w:r>
          <w:fldChar w:fldCharType="end"/>
        </w:r>
      </w:hyperlink>
    </w:p>
    <w:p>
      <w:pPr>
        <w:pStyle w:val="TOC1"/>
        <w:tabs>
          <w:tab w:val="right" w:leader="dot" w:pos="8306"/>
        </w:tabs>
      </w:pPr>
      <w:hyperlink w:anchor="_Toc28927" w:history="1">
        <w:r>
          <w:rPr>
            <w:rFonts w:ascii="仿宋" w:eastAsia="仿宋" w:hAnsi="仿宋" w:cs="仿宋" w:hint="eastAsia"/>
            <w:lang w:eastAsia="zh-CN"/>
          </w:rPr>
          <w:t>七、金属硫蛋白(MT)、高纯度MT、MT多糖项目创新与研发</w:t>
        </w:r>
        <w:r>
          <w:tab/>
        </w:r>
        <w:r>
          <w:fldChar w:fldCharType="begin"/>
        </w:r>
        <w:r>
          <w:instrText xml:space="preserve"> PAGEREF _Toc28927 \h </w:instrText>
        </w:r>
        <w:r>
          <w:fldChar w:fldCharType="separate"/>
        </w:r>
        <w:r>
          <w:t>22</w:t>
        </w:r>
        <w:r>
          <w:fldChar w:fldCharType="end"/>
        </w:r>
      </w:hyperlink>
    </w:p>
    <w:p>
      <w:pPr>
        <w:pStyle w:val="TOC2"/>
        <w:tabs>
          <w:tab w:val="right" w:leader="dot" w:pos="8306"/>
        </w:tabs>
      </w:pPr>
      <w:hyperlink w:anchor="_Toc3900" w:history="1">
        <w:r>
          <w:rPr>
            <w:rFonts w:ascii="仿宋" w:eastAsia="仿宋" w:hAnsi="仿宋" w:cs="仿宋" w:hint="eastAsia"/>
            <w:lang w:eastAsia="zh-CN"/>
          </w:rPr>
          <w:t>(一)、创新策略与方向</w:t>
        </w:r>
        <w:r>
          <w:tab/>
        </w:r>
        <w:r>
          <w:fldChar w:fldCharType="begin"/>
        </w:r>
        <w:r>
          <w:instrText xml:space="preserve"> PAGEREF _Toc3900 \h </w:instrText>
        </w:r>
        <w:r>
          <w:fldChar w:fldCharType="separate"/>
        </w:r>
        <w:r>
          <w:t>22</w:t>
        </w:r>
        <w:r>
          <w:fldChar w:fldCharType="end"/>
        </w:r>
      </w:hyperlink>
    </w:p>
    <w:p>
      <w:pPr>
        <w:pStyle w:val="TOC2"/>
        <w:tabs>
          <w:tab w:val="right" w:leader="dot" w:pos="8306"/>
        </w:tabs>
      </w:pPr>
      <w:hyperlink w:anchor="_Toc26205" w:history="1">
        <w:r>
          <w:rPr>
            <w:rFonts w:ascii="仿宋" w:eastAsia="仿宋" w:hAnsi="仿宋" w:cs="仿宋" w:hint="eastAsia"/>
            <w:lang w:eastAsia="zh-CN"/>
          </w:rPr>
          <w:t>(二)、研发规划与投入</w:t>
        </w:r>
        <w:r>
          <w:tab/>
        </w:r>
        <w:r>
          <w:fldChar w:fldCharType="begin"/>
        </w:r>
        <w:r>
          <w:instrText xml:space="preserve"> PAGEREF _Toc26205 \h </w:instrText>
        </w:r>
        <w:r>
          <w:fldChar w:fldCharType="separate"/>
        </w:r>
        <w:r>
          <w:t>23</w:t>
        </w:r>
        <w:r>
          <w:fldChar w:fldCharType="end"/>
        </w:r>
      </w:hyperlink>
    </w:p>
    <w:p>
      <w:pPr>
        <w:pStyle w:val="TOC1"/>
        <w:tabs>
          <w:tab w:val="right" w:leader="dot" w:pos="8306"/>
        </w:tabs>
      </w:pPr>
      <w:hyperlink w:anchor="_Toc1761" w:history="1">
        <w:r>
          <w:rPr>
            <w:rFonts w:ascii="仿宋" w:eastAsia="仿宋" w:hAnsi="仿宋" w:cs="仿宋" w:hint="eastAsia"/>
            <w:lang w:eastAsia="zh-CN"/>
          </w:rPr>
          <w:t>八、金属硫蛋白(MT)、高纯度MT、MT多糖项目社会影响</w:t>
        </w:r>
        <w:r>
          <w:tab/>
        </w:r>
        <w:r>
          <w:fldChar w:fldCharType="begin"/>
        </w:r>
        <w:r>
          <w:instrText xml:space="preserve"> PAGEREF _Toc1761 \h </w:instrText>
        </w:r>
        <w:r>
          <w:fldChar w:fldCharType="separate"/>
        </w:r>
        <w:r>
          <w:t>25</w:t>
        </w:r>
        <w:r>
          <w:fldChar w:fldCharType="end"/>
        </w:r>
      </w:hyperlink>
    </w:p>
    <w:p>
      <w:pPr>
        <w:pStyle w:val="TOC2"/>
        <w:tabs>
          <w:tab w:val="right" w:leader="dot" w:pos="8306"/>
        </w:tabs>
      </w:pPr>
      <w:hyperlink w:anchor="_Toc16717" w:history="1">
        <w:r>
          <w:rPr>
            <w:rFonts w:ascii="仿宋" w:eastAsia="仿宋" w:hAnsi="仿宋" w:cs="仿宋" w:hint="eastAsia"/>
            <w:lang w:eastAsia="zh-CN"/>
          </w:rPr>
          <w:t>(一)、社会责任与义务</w:t>
        </w:r>
        <w:r>
          <w:tab/>
        </w:r>
        <w:r>
          <w:fldChar w:fldCharType="begin"/>
        </w:r>
        <w:r>
          <w:instrText xml:space="preserve"> PAGEREF _Toc16717 \h </w:instrText>
        </w:r>
        <w:r>
          <w:fldChar w:fldCharType="separate"/>
        </w:r>
        <w:r>
          <w:t>25</w:t>
        </w:r>
        <w:r>
          <w:fldChar w:fldCharType="end"/>
        </w:r>
      </w:hyperlink>
    </w:p>
    <w:p>
      <w:pPr>
        <w:pStyle w:val="TOC2"/>
        <w:tabs>
          <w:tab w:val="right" w:leader="dot" w:pos="8306"/>
        </w:tabs>
      </w:pPr>
      <w:hyperlink w:anchor="_Toc21774" w:history="1">
        <w:r>
          <w:rPr>
            <w:rFonts w:ascii="仿宋" w:eastAsia="仿宋" w:hAnsi="仿宋" w:cs="仿宋" w:hint="eastAsia"/>
            <w:lang w:eastAsia="zh-CN"/>
          </w:rPr>
          <w:t>(二)、社会参与与沟通</w:t>
        </w:r>
        <w:r>
          <w:tab/>
        </w:r>
        <w:r>
          <w:fldChar w:fldCharType="begin"/>
        </w:r>
        <w:r>
          <w:instrText xml:space="preserve"> PAGEREF _Toc21774 \h </w:instrText>
        </w:r>
        <w:r>
          <w:fldChar w:fldCharType="separate"/>
        </w:r>
        <w:r>
          <w:t>26</w:t>
        </w:r>
        <w:r>
          <w:fldChar w:fldCharType="end"/>
        </w:r>
      </w:hyperlink>
    </w:p>
    <w:p>
      <w:pPr>
        <w:pStyle w:val="TOC1"/>
        <w:tabs>
          <w:tab w:val="right" w:leader="dot" w:pos="8306"/>
        </w:tabs>
      </w:pPr>
      <w:hyperlink w:anchor="_Toc19436" w:history="1">
        <w:r>
          <w:rPr>
            <w:rFonts w:ascii="仿宋" w:eastAsia="仿宋" w:hAnsi="仿宋" w:cs="仿宋" w:hint="eastAsia"/>
            <w:lang w:eastAsia="zh-CN"/>
          </w:rPr>
          <w:t>九、生产安全保护</w:t>
        </w:r>
        <w:r>
          <w:tab/>
        </w:r>
        <w:r>
          <w:fldChar w:fldCharType="begin"/>
        </w:r>
        <w:r>
          <w:instrText xml:space="preserve"> PAGEREF _Toc19436 \h </w:instrText>
        </w:r>
        <w:r>
          <w:fldChar w:fldCharType="separate"/>
        </w:r>
        <w:r>
          <w:t>27</w:t>
        </w:r>
        <w:r>
          <w:fldChar w:fldCharType="end"/>
        </w:r>
      </w:hyperlink>
    </w:p>
    <w:p>
      <w:pPr>
        <w:pStyle w:val="TOC2"/>
        <w:tabs>
          <w:tab w:val="right" w:leader="dot" w:pos="8306"/>
        </w:tabs>
      </w:pPr>
      <w:hyperlink w:anchor="_Toc8032" w:history="1">
        <w:r>
          <w:rPr>
            <w:rFonts w:ascii="仿宋" w:eastAsia="仿宋" w:hAnsi="仿宋" w:cs="仿宋" w:hint="eastAsia"/>
            <w:lang w:eastAsia="zh-CN"/>
          </w:rPr>
          <w:t>(一)、消防安全</w:t>
        </w:r>
        <w:r>
          <w:tab/>
        </w:r>
        <w:r>
          <w:fldChar w:fldCharType="begin"/>
        </w:r>
        <w:r>
          <w:instrText xml:space="preserve"> PAGEREF _Toc8032 \h </w:instrText>
        </w:r>
        <w:r>
          <w:fldChar w:fldCharType="separate"/>
        </w:r>
        <w:r>
          <w:t>27</w:t>
        </w:r>
        <w:r>
          <w:fldChar w:fldCharType="end"/>
        </w:r>
      </w:hyperlink>
    </w:p>
    <w:p>
      <w:pPr>
        <w:pStyle w:val="TOC2"/>
        <w:tabs>
          <w:tab w:val="right" w:leader="dot" w:pos="8306"/>
        </w:tabs>
      </w:pPr>
      <w:hyperlink w:anchor="_Toc20876" w:history="1">
        <w:r>
          <w:rPr>
            <w:rFonts w:ascii="仿宋" w:eastAsia="仿宋" w:hAnsi="仿宋" w:cs="仿宋" w:hint="eastAsia"/>
            <w:lang w:eastAsia="zh-CN"/>
          </w:rPr>
          <w:t>(二)、防火防爆总图布置措施</w:t>
        </w:r>
        <w:r>
          <w:tab/>
        </w:r>
        <w:r>
          <w:fldChar w:fldCharType="begin"/>
        </w:r>
        <w:r>
          <w:instrText xml:space="preserve"> PAGEREF _Toc20876 \h </w:instrText>
        </w:r>
        <w:r>
          <w:fldChar w:fldCharType="separate"/>
        </w:r>
        <w:r>
          <w:t>29</w:t>
        </w:r>
        <w:r>
          <w:fldChar w:fldCharType="end"/>
        </w:r>
      </w:hyperlink>
    </w:p>
    <w:p>
      <w:pPr>
        <w:pStyle w:val="TOC2"/>
        <w:tabs>
          <w:tab w:val="right" w:leader="dot" w:pos="8306"/>
        </w:tabs>
      </w:pPr>
      <w:hyperlink w:anchor="_Toc30559" w:history="1">
        <w:r>
          <w:rPr>
            <w:rFonts w:ascii="仿宋" w:eastAsia="仿宋" w:hAnsi="仿宋" w:cs="仿宋" w:hint="eastAsia"/>
            <w:lang w:eastAsia="zh-CN"/>
          </w:rPr>
          <w:t>(三)、自然灾害防范措施</w:t>
        </w:r>
        <w:r>
          <w:tab/>
        </w:r>
        <w:r>
          <w:fldChar w:fldCharType="begin"/>
        </w:r>
        <w:r>
          <w:instrText xml:space="preserve"> PAGEREF _Toc30559 \h </w:instrText>
        </w:r>
        <w:r>
          <w:fldChar w:fldCharType="separate"/>
        </w:r>
        <w:r>
          <w:t>30</w:t>
        </w:r>
        <w:r>
          <w:fldChar w:fldCharType="end"/>
        </w:r>
      </w:hyperlink>
    </w:p>
    <w:p>
      <w:pPr>
        <w:pStyle w:val="TOC2"/>
        <w:tabs>
          <w:tab w:val="right" w:leader="dot" w:pos="8306"/>
        </w:tabs>
      </w:pPr>
      <w:hyperlink w:anchor="_Toc19213" w:history="1">
        <w:r>
          <w:rPr>
            <w:rFonts w:ascii="仿宋" w:eastAsia="仿宋" w:hAnsi="仿宋" w:cs="仿宋" w:hint="eastAsia"/>
            <w:lang w:eastAsia="zh-CN"/>
          </w:rPr>
          <w:t>(四)、安全色及安全标志使用要求</w:t>
        </w:r>
        <w:r>
          <w:tab/>
        </w:r>
        <w:r>
          <w:fldChar w:fldCharType="begin"/>
        </w:r>
        <w:r>
          <w:instrText xml:space="preserve"> PAGEREF _Toc19213 \h </w:instrText>
        </w:r>
        <w:r>
          <w:fldChar w:fldCharType="separate"/>
        </w:r>
        <w:r>
          <w:t>32</w:t>
        </w:r>
        <w:r>
          <w:fldChar w:fldCharType="end"/>
        </w:r>
      </w:hyperlink>
    </w:p>
    <w:p>
      <w:pPr>
        <w:pStyle w:val="TOC2"/>
        <w:tabs>
          <w:tab w:val="right" w:leader="dot" w:pos="8306"/>
        </w:tabs>
      </w:pPr>
      <w:hyperlink w:anchor="_Toc20994" w:history="1">
        <w:r>
          <w:rPr>
            <w:rFonts w:ascii="仿宋" w:eastAsia="仿宋" w:hAnsi="仿宋" w:cs="仿宋" w:hint="eastAsia"/>
            <w:lang w:eastAsia="zh-CN"/>
          </w:rPr>
          <w:t>(五)、防尘防毒措施</w:t>
        </w:r>
        <w:r>
          <w:tab/>
        </w:r>
        <w:r>
          <w:fldChar w:fldCharType="begin"/>
        </w:r>
        <w:r>
          <w:instrText xml:space="preserve"> PAGEREF _Toc20994 \h </w:instrText>
        </w:r>
        <w:r>
          <w:fldChar w:fldCharType="separate"/>
        </w:r>
        <w:r>
          <w:t>33</w:t>
        </w:r>
        <w:r>
          <w:fldChar w:fldCharType="end"/>
        </w:r>
      </w:hyperlink>
    </w:p>
    <w:p>
      <w:pPr>
        <w:pStyle w:val="TOC2"/>
        <w:tabs>
          <w:tab w:val="right" w:leader="dot" w:pos="8306"/>
        </w:tabs>
      </w:pPr>
      <w:hyperlink w:anchor="_Toc727" w:history="1">
        <w:r>
          <w:rPr>
            <w:rFonts w:ascii="仿宋" w:eastAsia="仿宋" w:hAnsi="仿宋" w:cs="仿宋" w:hint="eastAsia"/>
            <w:lang w:eastAsia="zh-CN"/>
          </w:rPr>
          <w:t>(六)、防静电、触电防护及防雷措施</w:t>
        </w:r>
        <w:r>
          <w:tab/>
        </w:r>
        <w:r>
          <w:fldChar w:fldCharType="begin"/>
        </w:r>
        <w:r>
          <w:instrText xml:space="preserve"> PAGEREF _Toc727 \h </w:instrText>
        </w:r>
        <w:r>
          <w:fldChar w:fldCharType="separate"/>
        </w:r>
        <w:r>
          <w:t>34</w:t>
        </w:r>
        <w:r>
          <w:fldChar w:fldCharType="end"/>
        </w:r>
      </w:hyperlink>
    </w:p>
    <w:p>
      <w:pPr>
        <w:pStyle w:val="TOC2"/>
        <w:tabs>
          <w:tab w:val="right" w:leader="dot" w:pos="8306"/>
        </w:tabs>
      </w:pPr>
      <w:hyperlink w:anchor="_Toc31792" w:history="1">
        <w:r>
          <w:rPr>
            <w:rFonts w:ascii="仿宋" w:eastAsia="仿宋" w:hAnsi="仿宋" w:cs="仿宋" w:hint="eastAsia"/>
            <w:lang w:eastAsia="zh-CN"/>
          </w:rPr>
          <w:t>(七)、机械设备安全保障措施</w:t>
        </w:r>
        <w:r>
          <w:tab/>
        </w:r>
        <w:r>
          <w:fldChar w:fldCharType="begin"/>
        </w:r>
        <w:r>
          <w:instrText xml:space="preserve"> PAGEREF _Toc31792 \h </w:instrText>
        </w:r>
        <w:r>
          <w:fldChar w:fldCharType="separate"/>
        </w:r>
        <w:r>
          <w:t>35</w:t>
        </w:r>
        <w:r>
          <w:fldChar w:fldCharType="end"/>
        </w:r>
      </w:hyperlink>
    </w:p>
    <w:p>
      <w:pPr>
        <w:pStyle w:val="TOC1"/>
        <w:tabs>
          <w:tab w:val="right" w:leader="dot" w:pos="8306"/>
        </w:tabs>
      </w:pPr>
      <w:hyperlink w:anchor="_Toc31863" w:history="1">
        <w:r>
          <w:rPr>
            <w:rFonts w:ascii="仿宋" w:eastAsia="仿宋" w:hAnsi="仿宋" w:cs="仿宋" w:hint="eastAsia"/>
            <w:lang w:eastAsia="zh-CN"/>
          </w:rPr>
          <w:t>十、金属硫蛋白(MT)、高纯度MT、MT多糖项目人力资源培养与发展</w:t>
        </w:r>
        <w:r>
          <w:tab/>
        </w:r>
        <w:r>
          <w:fldChar w:fldCharType="begin"/>
        </w:r>
        <w:r>
          <w:instrText xml:space="preserve"> PAGEREF _Toc31863 \h </w:instrText>
        </w:r>
        <w:r>
          <w:fldChar w:fldCharType="separate"/>
        </w:r>
        <w:r>
          <w:t>37</w:t>
        </w:r>
        <w:r>
          <w:fldChar w:fldCharType="end"/>
        </w:r>
      </w:hyperlink>
    </w:p>
    <w:p>
      <w:pPr>
        <w:pStyle w:val="TOC2"/>
        <w:tabs>
          <w:tab w:val="right" w:leader="dot" w:pos="8306"/>
        </w:tabs>
      </w:pPr>
      <w:hyperlink w:anchor="_Toc8364" w:history="1">
        <w:r>
          <w:rPr>
            <w:rFonts w:ascii="仿宋" w:eastAsia="仿宋" w:hAnsi="仿宋" w:cs="仿宋" w:hint="eastAsia"/>
            <w:lang w:eastAsia="zh-CN"/>
          </w:rPr>
          <w:t>(一)、人才需求与规划</w:t>
        </w:r>
        <w:r>
          <w:tab/>
        </w:r>
        <w:r>
          <w:fldChar w:fldCharType="begin"/>
        </w:r>
        <w:r>
          <w:instrText xml:space="preserve"> PAGEREF _Toc8364 \h </w:instrText>
        </w:r>
        <w:r>
          <w:fldChar w:fldCharType="separate"/>
        </w:r>
        <w:r>
          <w:t>37</w:t>
        </w:r>
        <w:r>
          <w:fldChar w:fldCharType="end"/>
        </w:r>
      </w:hyperlink>
    </w:p>
    <w:p>
      <w:pPr>
        <w:pStyle w:val="TOC2"/>
        <w:tabs>
          <w:tab w:val="right" w:leader="dot" w:pos="8306"/>
        </w:tabs>
      </w:pPr>
      <w:hyperlink w:anchor="_Toc4944" w:history="1">
        <w:r>
          <w:rPr>
            <w:rFonts w:ascii="仿宋" w:eastAsia="仿宋" w:hAnsi="仿宋" w:cs="仿宋" w:hint="eastAsia"/>
            <w:lang w:eastAsia="zh-CN"/>
          </w:rPr>
          <w:t>(二)、培训与发展计划</w:t>
        </w:r>
        <w:r>
          <w:tab/>
        </w:r>
        <w:r>
          <w:fldChar w:fldCharType="begin"/>
        </w:r>
        <w:r>
          <w:instrText xml:space="preserve"> PAGEREF _Toc4944 \h </w:instrText>
        </w:r>
        <w:r>
          <w:fldChar w:fldCharType="separate"/>
        </w:r>
        <w:r>
          <w:t>37</w:t>
        </w:r>
        <w:r>
          <w:fldChar w:fldCharType="end"/>
        </w:r>
      </w:hyperlink>
    </w:p>
    <w:p>
      <w:pPr>
        <w:pStyle w:val="TOC1"/>
        <w:tabs>
          <w:tab w:val="right" w:leader="dot" w:pos="8306"/>
        </w:tabs>
      </w:pPr>
      <w:hyperlink w:anchor="_Toc9672" w:history="1">
        <w:r>
          <w:rPr>
            <w:rFonts w:ascii="仿宋" w:eastAsia="仿宋" w:hAnsi="仿宋" w:cs="仿宋" w:hint="eastAsia"/>
            <w:lang w:eastAsia="zh-CN"/>
          </w:rPr>
          <w:t>十一、金属硫蛋白(MT)、高纯度MT、MT多糖项目财务管理</w:t>
        </w:r>
        <w:r>
          <w:tab/>
        </w:r>
        <w:r>
          <w:fldChar w:fldCharType="begin"/>
        </w:r>
        <w:r>
          <w:instrText xml:space="preserve"> PAGEREF _Toc9672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82" w:history="1">
        <w:r>
          <w:rPr>
            <w:rFonts w:ascii="仿宋" w:eastAsia="仿宋" w:hAnsi="仿宋" w:cs="仿宋" w:hint="eastAsia"/>
            <w:lang w:eastAsia="zh-CN"/>
          </w:rPr>
          <w:t>(一)、资金需求大</w:t>
        </w:r>
        <w:r>
          <w:tab/>
        </w:r>
        <w:r>
          <w:fldChar w:fldCharType="begin"/>
        </w:r>
        <w:r>
          <w:instrText xml:space="preserve"> PAGEREF _Toc22182 \h </w:instrText>
        </w:r>
        <w:r>
          <w:fldChar w:fldCharType="separate"/>
        </w:r>
        <w:r>
          <w:t>38</w:t>
        </w:r>
        <w:r>
          <w:fldChar w:fldCharType="end"/>
        </w:r>
      </w:hyperlink>
    </w:p>
    <w:p>
      <w:pPr>
        <w:pStyle w:val="TOC2"/>
        <w:tabs>
          <w:tab w:val="right" w:leader="dot" w:pos="8306"/>
        </w:tabs>
      </w:pPr>
      <w:hyperlink w:anchor="_Toc21736" w:history="1">
        <w:r>
          <w:rPr>
            <w:rFonts w:ascii="仿宋" w:eastAsia="仿宋" w:hAnsi="仿宋" w:cs="仿宋" w:hint="eastAsia"/>
            <w:lang w:eastAsia="zh-CN"/>
          </w:rPr>
          <w:t>(二)、研发周期长</w:t>
        </w:r>
        <w:r>
          <w:tab/>
        </w:r>
        <w:r>
          <w:fldChar w:fldCharType="begin"/>
        </w:r>
        <w:r>
          <w:instrText xml:space="preserve"> PAGEREF _Toc21736 \h </w:instrText>
        </w:r>
        <w:r>
          <w:fldChar w:fldCharType="separate"/>
        </w:r>
        <w:r>
          <w:t>39</w:t>
        </w:r>
        <w:r>
          <w:fldChar w:fldCharType="end"/>
        </w:r>
      </w:hyperlink>
    </w:p>
    <w:p>
      <w:pPr>
        <w:pStyle w:val="TOC2"/>
        <w:tabs>
          <w:tab w:val="right" w:leader="dot" w:pos="8306"/>
        </w:tabs>
      </w:pPr>
      <w:hyperlink w:anchor="_Toc2688" w:history="1">
        <w:r>
          <w:rPr>
            <w:rFonts w:ascii="仿宋" w:eastAsia="仿宋" w:hAnsi="仿宋" w:cs="仿宋" w:hint="eastAsia"/>
            <w:lang w:eastAsia="zh-CN"/>
          </w:rPr>
          <w:t>(三)、市场风险大</w:t>
        </w:r>
        <w:r>
          <w:tab/>
        </w:r>
        <w:r>
          <w:fldChar w:fldCharType="begin"/>
        </w:r>
        <w:r>
          <w:instrText xml:space="preserve"> PAGEREF _Toc2688 \h </w:instrText>
        </w:r>
        <w:r>
          <w:fldChar w:fldCharType="separate"/>
        </w:r>
        <w:r>
          <w:t>41</w:t>
        </w:r>
        <w:r>
          <w:fldChar w:fldCharType="end"/>
        </w:r>
      </w:hyperlink>
    </w:p>
    <w:p>
      <w:pPr>
        <w:pStyle w:val="TOC2"/>
        <w:tabs>
          <w:tab w:val="right" w:leader="dot" w:pos="8306"/>
        </w:tabs>
      </w:pPr>
      <w:hyperlink w:anchor="_Toc28628" w:history="1">
        <w:r>
          <w:rPr>
            <w:rFonts w:ascii="仿宋" w:eastAsia="仿宋" w:hAnsi="仿宋" w:cs="仿宋" w:hint="eastAsia"/>
            <w:lang w:eastAsia="zh-CN"/>
          </w:rPr>
          <w:t>(四)、利润率高</w:t>
        </w:r>
        <w:r>
          <w:tab/>
        </w:r>
        <w:r>
          <w:fldChar w:fldCharType="begin"/>
        </w:r>
        <w:r>
          <w:instrText xml:space="preserve"> PAGEREF _Toc28628 \h </w:instrText>
        </w:r>
        <w:r>
          <w:fldChar w:fldCharType="separate"/>
        </w:r>
        <w:r>
          <w:t>44</w:t>
        </w:r>
        <w:r>
          <w:fldChar w:fldCharType="end"/>
        </w:r>
      </w:hyperlink>
    </w:p>
    <w:p>
      <w:pPr>
        <w:pStyle w:val="TOC1"/>
        <w:tabs>
          <w:tab w:val="right" w:leader="dot" w:pos="8306"/>
        </w:tabs>
      </w:pPr>
      <w:hyperlink w:anchor="_Toc10227" w:history="1">
        <w:r>
          <w:rPr>
            <w:rFonts w:ascii="仿宋" w:eastAsia="仿宋" w:hAnsi="仿宋" w:cs="仿宋" w:hint="eastAsia"/>
            <w:lang w:eastAsia="zh-CN"/>
          </w:rPr>
          <w:t>十二、金属硫蛋白(MT)、高纯度MT、MT多糖项目风险管理</w:t>
        </w:r>
        <w:r>
          <w:tab/>
        </w:r>
        <w:r>
          <w:fldChar w:fldCharType="begin"/>
        </w:r>
        <w:r>
          <w:instrText xml:space="preserve"> PAGEREF _Toc10227 \h </w:instrText>
        </w:r>
        <w:r>
          <w:fldChar w:fldCharType="separate"/>
        </w:r>
        <w:r>
          <w:t>46</w:t>
        </w:r>
        <w:r>
          <w:fldChar w:fldCharType="end"/>
        </w:r>
      </w:hyperlink>
    </w:p>
    <w:p>
      <w:pPr>
        <w:pStyle w:val="TOC2"/>
        <w:tabs>
          <w:tab w:val="right" w:leader="dot" w:pos="8306"/>
        </w:tabs>
      </w:pPr>
      <w:hyperlink w:anchor="_Toc6130" w:history="1">
        <w:r>
          <w:rPr>
            <w:rFonts w:ascii="仿宋" w:eastAsia="仿宋" w:hAnsi="仿宋" w:cs="仿宋" w:hint="eastAsia"/>
            <w:lang w:eastAsia="zh-CN"/>
          </w:rPr>
          <w:t>(一)、风险识别与评估</w:t>
        </w:r>
        <w:r>
          <w:tab/>
        </w:r>
        <w:r>
          <w:fldChar w:fldCharType="begin"/>
        </w:r>
        <w:r>
          <w:instrText xml:space="preserve"> PAGEREF _Toc6130 \h </w:instrText>
        </w:r>
        <w:r>
          <w:fldChar w:fldCharType="separate"/>
        </w:r>
        <w:r>
          <w:t>46</w:t>
        </w:r>
        <w:r>
          <w:fldChar w:fldCharType="end"/>
        </w:r>
      </w:hyperlink>
    </w:p>
    <w:p>
      <w:pPr>
        <w:pStyle w:val="TOC2"/>
        <w:tabs>
          <w:tab w:val="right" w:leader="dot" w:pos="8306"/>
        </w:tabs>
      </w:pPr>
      <w:hyperlink w:anchor="_Toc19668" w:history="1">
        <w:r>
          <w:rPr>
            <w:rFonts w:ascii="仿宋" w:eastAsia="仿宋" w:hAnsi="仿宋" w:cs="仿宋" w:hint="eastAsia"/>
            <w:lang w:eastAsia="zh-CN"/>
          </w:rPr>
          <w:t>(二)、风险应对策略</w:t>
        </w:r>
        <w:r>
          <w:tab/>
        </w:r>
        <w:r>
          <w:fldChar w:fldCharType="begin"/>
        </w:r>
        <w:r>
          <w:instrText xml:space="preserve"> PAGEREF _Toc19668 \h </w:instrText>
        </w:r>
        <w:r>
          <w:fldChar w:fldCharType="separate"/>
        </w:r>
        <w:r>
          <w:t>47</w:t>
        </w:r>
        <w:r>
          <w:fldChar w:fldCharType="end"/>
        </w:r>
      </w:hyperlink>
    </w:p>
    <w:p>
      <w:pPr>
        <w:pStyle w:val="TOC2"/>
        <w:tabs>
          <w:tab w:val="right" w:leader="dot" w:pos="8306"/>
        </w:tabs>
      </w:pPr>
      <w:hyperlink w:anchor="_Toc30142" w:history="1">
        <w:r>
          <w:rPr>
            <w:rFonts w:ascii="仿宋" w:eastAsia="仿宋" w:hAnsi="仿宋" w:cs="仿宋" w:hint="eastAsia"/>
            <w:lang w:eastAsia="zh-CN"/>
          </w:rPr>
          <w:t>(三)、风险监控与控制</w:t>
        </w:r>
        <w:r>
          <w:tab/>
        </w:r>
        <w:r>
          <w:fldChar w:fldCharType="begin"/>
        </w:r>
        <w:r>
          <w:instrText xml:space="preserve"> PAGEREF _Toc30142 \h </w:instrText>
        </w:r>
        <w:r>
          <w:fldChar w:fldCharType="separate"/>
        </w:r>
        <w:r>
          <w:t>49</w:t>
        </w:r>
        <w:r>
          <w:fldChar w:fldCharType="end"/>
        </w:r>
      </w:hyperlink>
    </w:p>
    <w:p>
      <w:pPr>
        <w:pStyle w:val="TOC1"/>
        <w:tabs>
          <w:tab w:val="right" w:leader="dot" w:pos="8306"/>
        </w:tabs>
      </w:pPr>
      <w:hyperlink w:anchor="_Toc25021" w:history="1">
        <w:r>
          <w:rPr>
            <w:rFonts w:ascii="仿宋" w:eastAsia="仿宋" w:hAnsi="仿宋" w:cs="仿宋" w:hint="eastAsia"/>
            <w:lang w:eastAsia="zh-CN"/>
          </w:rPr>
          <w:t>十三、营销与推广策略</w:t>
        </w:r>
        <w:r>
          <w:tab/>
        </w:r>
        <w:r>
          <w:fldChar w:fldCharType="begin"/>
        </w:r>
        <w:r>
          <w:instrText xml:space="preserve"> PAGEREF _Toc25021 \h </w:instrText>
        </w:r>
        <w:r>
          <w:fldChar w:fldCharType="separate"/>
        </w:r>
        <w:r>
          <w:t>51</w:t>
        </w:r>
        <w:r>
          <w:fldChar w:fldCharType="end"/>
        </w:r>
      </w:hyperlink>
    </w:p>
    <w:p>
      <w:pPr>
        <w:pStyle w:val="TOC2"/>
        <w:tabs>
          <w:tab w:val="right" w:leader="dot" w:pos="8306"/>
        </w:tabs>
      </w:pPr>
      <w:hyperlink w:anchor="_Toc28982" w:history="1">
        <w:r>
          <w:rPr>
            <w:rFonts w:ascii="仿宋" w:eastAsia="仿宋" w:hAnsi="仿宋" w:cs="仿宋" w:hint="eastAsia"/>
            <w:lang w:eastAsia="zh-CN"/>
          </w:rPr>
          <w:t>(一)、产品/服务定位与特点</w:t>
        </w:r>
        <w:r>
          <w:tab/>
        </w:r>
        <w:r>
          <w:fldChar w:fldCharType="begin"/>
        </w:r>
        <w:r>
          <w:instrText xml:space="preserve"> PAGEREF _Toc28982 \h </w:instrText>
        </w:r>
        <w:r>
          <w:fldChar w:fldCharType="separate"/>
        </w:r>
        <w:r>
          <w:t>51</w:t>
        </w:r>
        <w:r>
          <w:fldChar w:fldCharType="end"/>
        </w:r>
      </w:hyperlink>
    </w:p>
    <w:p>
      <w:pPr>
        <w:pStyle w:val="TOC2"/>
        <w:tabs>
          <w:tab w:val="right" w:leader="dot" w:pos="8306"/>
        </w:tabs>
      </w:pPr>
      <w:hyperlink w:anchor="_Toc29020" w:history="1">
        <w:r>
          <w:rPr>
            <w:rFonts w:ascii="仿宋" w:eastAsia="仿宋" w:hAnsi="仿宋" w:cs="仿宋" w:hint="eastAsia"/>
            <w:lang w:eastAsia="zh-CN"/>
          </w:rPr>
          <w:t>(二)、市场定位与竞争分析</w:t>
        </w:r>
        <w:r>
          <w:tab/>
        </w:r>
        <w:r>
          <w:fldChar w:fldCharType="begin"/>
        </w:r>
        <w:r>
          <w:instrText xml:space="preserve"> PAGEREF _Toc29020 \h </w:instrText>
        </w:r>
        <w:r>
          <w:fldChar w:fldCharType="separate"/>
        </w:r>
        <w:r>
          <w:t>52</w:t>
        </w:r>
        <w:r>
          <w:fldChar w:fldCharType="end"/>
        </w:r>
      </w:hyperlink>
    </w:p>
    <w:p>
      <w:pPr>
        <w:pStyle w:val="TOC2"/>
        <w:tabs>
          <w:tab w:val="right" w:leader="dot" w:pos="8306"/>
        </w:tabs>
      </w:pPr>
      <w:hyperlink w:anchor="_Toc10858" w:history="1">
        <w:r>
          <w:rPr>
            <w:rFonts w:ascii="仿宋" w:eastAsia="仿宋" w:hAnsi="仿宋" w:cs="仿宋" w:hint="eastAsia"/>
            <w:lang w:eastAsia="zh-CN"/>
          </w:rPr>
          <w:t>(三)、营销渠道与策略</w:t>
        </w:r>
        <w:r>
          <w:tab/>
        </w:r>
        <w:r>
          <w:fldChar w:fldCharType="begin"/>
        </w:r>
        <w:r>
          <w:instrText xml:space="preserve"> PAGEREF _Toc10858 \h </w:instrText>
        </w:r>
        <w:r>
          <w:fldChar w:fldCharType="separate"/>
        </w:r>
        <w:r>
          <w:t>53</w:t>
        </w:r>
        <w:r>
          <w:fldChar w:fldCharType="end"/>
        </w:r>
      </w:hyperlink>
    </w:p>
    <w:p>
      <w:pPr>
        <w:pStyle w:val="TOC2"/>
        <w:tabs>
          <w:tab w:val="right" w:leader="dot" w:pos="8306"/>
        </w:tabs>
      </w:pPr>
      <w:hyperlink w:anchor="_Toc17195" w:history="1">
        <w:r>
          <w:rPr>
            <w:rFonts w:ascii="仿宋" w:eastAsia="仿宋" w:hAnsi="仿宋" w:cs="仿宋" w:hint="eastAsia"/>
            <w:lang w:eastAsia="zh-CN"/>
          </w:rPr>
          <w:t>(四)、推广与宣传活动</w:t>
        </w:r>
        <w:r>
          <w:tab/>
        </w:r>
        <w:r>
          <w:fldChar w:fldCharType="begin"/>
        </w:r>
        <w:r>
          <w:instrText xml:space="preserve"> PAGEREF _Toc17195 \h </w:instrText>
        </w:r>
        <w:r>
          <w:fldChar w:fldCharType="separate"/>
        </w:r>
        <w:r>
          <w:t>55</w:t>
        </w:r>
        <w:r>
          <w:fldChar w:fldCharType="end"/>
        </w:r>
      </w:hyperlink>
    </w:p>
    <w:p>
      <w:pPr>
        <w:pStyle w:val="TOC1"/>
        <w:tabs>
          <w:tab w:val="right" w:leader="dot" w:pos="8306"/>
        </w:tabs>
      </w:pPr>
      <w:hyperlink w:anchor="_Toc7125" w:history="1">
        <w:r>
          <w:rPr>
            <w:rFonts w:ascii="仿宋" w:eastAsia="仿宋" w:hAnsi="仿宋" w:cs="仿宋" w:hint="eastAsia"/>
            <w:lang w:eastAsia="zh-CN"/>
          </w:rPr>
          <w:t>十四、风险识别与分类</w:t>
        </w:r>
        <w:r>
          <w:tab/>
        </w:r>
        <w:r>
          <w:fldChar w:fldCharType="begin"/>
        </w:r>
        <w:r>
          <w:instrText xml:space="preserve"> PAGEREF _Toc7125 \h </w:instrText>
        </w:r>
        <w:r>
          <w:fldChar w:fldCharType="separate"/>
        </w:r>
        <w:r>
          <w:t>60</w:t>
        </w:r>
        <w:r>
          <w:fldChar w:fldCharType="end"/>
        </w:r>
      </w:hyperlink>
    </w:p>
    <w:p>
      <w:pPr>
        <w:pStyle w:val="TOC2"/>
        <w:tabs>
          <w:tab w:val="right" w:leader="dot" w:pos="8306"/>
        </w:tabs>
      </w:pPr>
      <w:hyperlink w:anchor="_Toc7428" w:history="1">
        <w:r>
          <w:rPr>
            <w:rFonts w:ascii="仿宋" w:eastAsia="仿宋" w:hAnsi="仿宋" w:cs="仿宋" w:hint="eastAsia"/>
            <w:lang w:eastAsia="zh-CN"/>
          </w:rPr>
          <w:t>(一)、风险识别</w:t>
        </w:r>
        <w:r>
          <w:tab/>
        </w:r>
        <w:r>
          <w:fldChar w:fldCharType="begin"/>
        </w:r>
        <w:r>
          <w:instrText xml:space="preserve"> PAGEREF _Toc7428 \h </w:instrText>
        </w:r>
        <w:r>
          <w:fldChar w:fldCharType="separate"/>
        </w:r>
        <w:r>
          <w:t>60</w:t>
        </w:r>
        <w:r>
          <w:fldChar w:fldCharType="end"/>
        </w:r>
      </w:hyperlink>
    </w:p>
    <w:p>
      <w:pPr>
        <w:pStyle w:val="TOC2"/>
        <w:tabs>
          <w:tab w:val="right" w:leader="dot" w:pos="8306"/>
        </w:tabs>
      </w:pPr>
      <w:hyperlink w:anchor="_Toc23588" w:history="1">
        <w:r>
          <w:rPr>
            <w:rFonts w:ascii="仿宋" w:eastAsia="仿宋" w:hAnsi="仿宋" w:cs="仿宋" w:hint="eastAsia"/>
            <w:lang w:eastAsia="zh-CN"/>
          </w:rPr>
          <w:t>(二)、风险分类</w:t>
        </w:r>
        <w:r>
          <w:tab/>
        </w:r>
        <w:r>
          <w:fldChar w:fldCharType="begin"/>
        </w:r>
        <w:r>
          <w:instrText xml:space="preserve"> PAGEREF _Toc23588 \h </w:instrText>
        </w:r>
        <w:r>
          <w:fldChar w:fldCharType="separate"/>
        </w:r>
        <w:r>
          <w:t>61</w:t>
        </w:r>
        <w:r>
          <w:fldChar w:fldCharType="end"/>
        </w:r>
      </w:hyperlink>
    </w:p>
    <w:p>
      <w:pPr>
        <w:pStyle w:val="TOC1"/>
        <w:tabs>
          <w:tab w:val="right" w:leader="dot" w:pos="8306"/>
        </w:tabs>
      </w:pPr>
      <w:hyperlink w:anchor="_Toc27177" w:history="1">
        <w:r>
          <w:rPr>
            <w:rFonts w:ascii="仿宋" w:eastAsia="仿宋" w:hAnsi="仿宋" w:cs="仿宋" w:hint="eastAsia"/>
            <w:lang w:eastAsia="zh-CN"/>
          </w:rPr>
          <w:t>十五、金属硫蛋白(MT)、高纯度MT、MT多糖项目变更管理</w:t>
        </w:r>
        <w:r>
          <w:tab/>
        </w:r>
        <w:r>
          <w:fldChar w:fldCharType="begin"/>
        </w:r>
        <w:r>
          <w:instrText xml:space="preserve"> PAGEREF _Toc27177 \h </w:instrText>
        </w:r>
        <w:r>
          <w:fldChar w:fldCharType="separate"/>
        </w:r>
        <w:r>
          <w:t>64</w:t>
        </w:r>
        <w:r>
          <w:fldChar w:fldCharType="end"/>
        </w:r>
      </w:hyperlink>
    </w:p>
    <w:p>
      <w:pPr>
        <w:pStyle w:val="TOC2"/>
        <w:tabs>
          <w:tab w:val="right" w:leader="dot" w:pos="8306"/>
        </w:tabs>
      </w:pPr>
      <w:hyperlink w:anchor="_Toc25498" w:history="1">
        <w:r>
          <w:rPr>
            <w:rFonts w:ascii="仿宋" w:eastAsia="仿宋" w:hAnsi="仿宋" w:cs="仿宋" w:hint="eastAsia"/>
            <w:lang w:eastAsia="zh-CN"/>
          </w:rPr>
          <w:t>(一)、变更申请与评估</w:t>
        </w:r>
        <w:r>
          <w:tab/>
        </w:r>
        <w:r>
          <w:fldChar w:fldCharType="begin"/>
        </w:r>
        <w:r>
          <w:instrText xml:space="preserve"> PAGEREF _Toc25498 \h </w:instrText>
        </w:r>
        <w:r>
          <w:fldChar w:fldCharType="separate"/>
        </w:r>
        <w:r>
          <w:t>64</w:t>
        </w:r>
        <w:r>
          <w:fldChar w:fldCharType="end"/>
        </w:r>
      </w:hyperlink>
    </w:p>
    <w:p>
      <w:pPr>
        <w:pStyle w:val="TOC2"/>
        <w:tabs>
          <w:tab w:val="right" w:leader="dot" w:pos="8306"/>
        </w:tabs>
      </w:pPr>
      <w:hyperlink w:anchor="_Toc15289" w:history="1">
        <w:r>
          <w:rPr>
            <w:rFonts w:ascii="仿宋" w:eastAsia="仿宋" w:hAnsi="仿宋" w:cs="仿宋" w:hint="eastAsia"/>
            <w:lang w:eastAsia="zh-CN"/>
          </w:rPr>
          <w:t>(二)、变更实施与控制</w:t>
        </w:r>
        <w:r>
          <w:tab/>
        </w:r>
        <w:r>
          <w:fldChar w:fldCharType="begin"/>
        </w:r>
        <w:r>
          <w:instrText xml:space="preserve"> PAGEREF _Toc15289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53"/>
      <w:r>
        <w:rPr>
          <w:rFonts w:ascii="仿宋" w:eastAsia="仿宋" w:hAnsi="仿宋" w:cs="仿宋" w:hint="eastAsia"/>
          <w:sz w:val="28"/>
          <w:lang w:eastAsia="zh-CN"/>
        </w:rPr>
        <w:t>一、金属硫蛋白(MT)、高纯度MT、MT多糖项目绩效评估</w:t>
      </w:r>
      <w:bookmarkEnd w:id="2"/>
    </w:p>
    <w:p>
      <w:pPr>
        <w:pStyle w:val="Heading2"/>
        <w:rPr>
          <w:rFonts w:ascii="仿宋" w:eastAsia="仿宋" w:hAnsi="仿宋" w:cs="仿宋" w:hint="eastAsia"/>
          <w:lang w:eastAsia="zh-CN"/>
        </w:rPr>
      </w:pPr>
      <w:bookmarkStart w:id="3" w:name="_Toc112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硫蛋白(MT)、高纯度MT、MT多糖项目中，我们设计了一套全面的绩效评估指标，以确保金属硫蛋白(MT)、高纯度MT、MT多糖项目的可控和成功交付。这些指标跨足金属硫蛋白(MT)、高纯度MT、MT多糖项目目标、成本、进度和质量等多个维度，为我们提供了全面洞察金属硫蛋白(MT)、高纯度MT、MT多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硫蛋白(MT)、高纯度MT、MT多糖项目目标达成率是我们关注的首要指标。我们设定了明确的目标，并通过定期监测和评估，迅速发现并应对潜在的目标偏差。这为金属硫蛋白(MT)、高纯度MT、MT多糖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成本绩效是另一个核心关注点。通过实际成本与预算成本的对比分析，我们深入了解成本差异的原因，及时调整资源分配，保持金属硫蛋白(MT)、高纯度MT、MT多糖项目在经济效益方面的合理水平。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硫蛋白(MT)、高纯度MT、MT多糖项目进度作为关键的绩效指标之一，得到了精心的关注。我们制定了详细的金属硫蛋白(MT)、高纯度MT、MT多糖项目进度计划，并设立了进度符合度指标，确保实际进度与计划进度保持一致。这使我们能够快速发现和解决潜在的进度问题，保持金属硫蛋白(MT)、高纯度MT、MT多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硫蛋白(MT)、高纯度MT、MT多糖项目绩效的不可或缺的一环。我们引入了一系列的质量标准和客户满意度指标，以确保金属硫蛋白(MT)、高纯度MT、MT多糖项目交付的成果在质量上达到或超越预期水平。通过持续监测这些指标，我们努力提升金属硫蛋白(MT)、高纯度MT、MT多糖项目整体质量水平，为金属硫蛋白(MT)、高纯度MT、MT多糖项目的成功交付提供有力保障。通过这些科学且全面的绩效评估，我们能够更好地引导金属硫蛋白(MT)、高纯度MT、MT多糖项目的持续改进，确保金属硫蛋白(MT)、高纯度MT、MT多糖项目目标的顺利达成。</w:t>
      </w:r>
    </w:p>
    <w:p>
      <w:pPr>
        <w:pStyle w:val="Heading2"/>
        <w:ind w:firstLine="560" w:firstLineChars="200"/>
        <w:rPr>
          <w:rFonts w:ascii="仿宋" w:eastAsia="仿宋" w:hAnsi="仿宋" w:cs="仿宋" w:hint="eastAsia"/>
          <w:sz w:val="28"/>
          <w:lang w:eastAsia="zh-CN"/>
        </w:rPr>
      </w:pPr>
      <w:bookmarkStart w:id="4" w:name="_Toc169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绩效评估是金属硫蛋白(MT)、高纯度MT、MT多糖项目中的关键环节，为确保金属硫蛋白(MT)、高纯度MT、MT多糖项目达到预期目标，我们采用了多层次、多维度的绩效评估方法。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硫蛋白(MT)、高纯度MT、MT多糖项目的战略目标对齐，确保每个决策和行动都与金属硫蛋白(MT)、高纯度MT、MT多糖项目整体目标保持一致。团队会定期召开战略对齐会议，审视当前工作与金属硫蛋白(MT)、高纯度MT、MT多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硫蛋白(MT)、高纯度MT、MT多糖项目进度、质量、成本和风险等方面。这些指标通过数据收集和分析，为金属硫蛋白(MT)、高纯度MT、MT多糖项目管理团队提供了客观的评估依据。例如，我们通过金属硫蛋白(MT)、高纯度MT、MT多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硫蛋白(MT)、高纯度MT、MT多糖项目内部，还考虑了金属硫蛋白(MT)、高纯度MT、MT多糖项目对外部环境的影响。我们定期进行干系人满意度调查，以了解各利益相关方对金属硫蛋白(MT)、高纯度MT、MT多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这种多层次、多角度的绩效评估方法，使得我们能够全面了解金属硫蛋白(MT)、高纯度MT、MT多糖项目的运行状态，及时做出调整，确保金属硫蛋白(MT)、高纯度MT、MT多糖项目在不断变化的环境中保持稳健前行。</w:t>
      </w:r>
    </w:p>
    <w:p>
      <w:pPr>
        <w:pStyle w:val="Heading2"/>
        <w:ind w:firstLine="560" w:firstLineChars="200"/>
        <w:rPr>
          <w:rFonts w:ascii="仿宋" w:eastAsia="仿宋" w:hAnsi="仿宋" w:cs="仿宋" w:hint="eastAsia"/>
          <w:sz w:val="28"/>
          <w:lang w:eastAsia="zh-CN"/>
        </w:rPr>
      </w:pPr>
      <w:bookmarkStart w:id="5" w:name="_Toc251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硫蛋白(MT)、高纯度MT、MT多糖项目的有效管理和不断优化，我们采用了精心设计的绩效评估周期。这个周期旨在实现灵活、实时和全面的评估，以适应金属硫蛋白(MT)、高纯度MT、MT多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硫蛋白(MT)、高纯度MT、MT多糖项目的不同需求，分为短期、中期和长期。短期评估关注每个迭代或工作周期，以及时发现和解决当前任务中的问题。中期评估涵盖几个迭代，深入了解整体金属硫蛋白(MT)、高纯度MT、MT多糖项目的趋势和性能。长期评估则着眼于整个金属硫蛋白(MT)、高纯度MT、MT多糖项目阶段，确保金属硫蛋白(MT)、高纯度MT、MT多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硫蛋白(MT)、高纯度MT、MT多糖项目管理工具和协作平台，团队成员能够随时更新和分享金属硫蛋白(MT)、高纯度MT、MT多糖项目数据。这种实时性的反馈机制使我们能够及时察觉潜在问题，快速调整，保持金属硫蛋白(MT)、高纯度MT、MT多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硫蛋白(MT)、高纯度MT、MT多糖项目的决策制定密不可分。每个周期的金属硫蛋白(MT)、高纯度MT、MT多糖项目回顾会议成为集体总结经验、识别问题深层次原因并找到创新解决方案的平台。这种定期的反思与调整机制使金属硫蛋白(MT)、高纯度MT、MT多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440"/>
      <w:r>
        <w:rPr>
          <w:rFonts w:ascii="仿宋" w:eastAsia="仿宋" w:hAnsi="仿宋" w:cs="仿宋" w:hint="eastAsia"/>
          <w:sz w:val="28"/>
          <w:lang w:eastAsia="zh-CN"/>
        </w:rPr>
        <w:t>二、金属硫蛋白(MT)、高纯度MT、MT多糖项目危机管理</w:t>
      </w:r>
      <w:bookmarkEnd w:id="6"/>
    </w:p>
    <w:p>
      <w:pPr>
        <w:pStyle w:val="Heading2"/>
        <w:rPr>
          <w:rFonts w:ascii="仿宋" w:eastAsia="仿宋" w:hAnsi="仿宋" w:cs="仿宋" w:hint="eastAsia"/>
          <w:lang w:eastAsia="zh-CN"/>
        </w:rPr>
      </w:pPr>
      <w:bookmarkStart w:id="7" w:name="_Toc808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硫蛋白(MT)、高纯度MT、MT多糖项目危机管理中，危机预警与识别是确保金属硫蛋白(MT)、高纯度MT、MT多糖项目稳健运行的核心步骤。通过建立全面的监测机制，金属硫蛋白(MT)、高纯度MT、MT多糖项目团队旨在及时发现和理解潜在的风险和危机因素，以便采取及时的预防和应对措施，确保金属硫蛋白(MT)、高纯度MT、MT多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硫蛋白(MT)、高纯度MT、MT多糖项目团队全面分析了整个金属硫蛋白(MT)、高纯度MT、MT多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制定敏感指标和预警机制，金属硫蛋白(MT)、高纯度MT、MT多糖项目团队着重于明确定义金属硫蛋白(MT)、高纯度MT、MT多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硫蛋白(MT)、高纯度MT、MT多糖项目进展的持续监控，团队能够及时发现潜在问题并作出迅速反应。金属硫蛋白(MT)、高纯度MT、MT多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硫蛋白(MT)、高纯度MT、MT多糖项目得以更有序、可控地推进。</w:t>
      </w:r>
    </w:p>
    <w:p>
      <w:pPr>
        <w:pStyle w:val="Heading2"/>
        <w:ind w:firstLine="560" w:firstLineChars="200"/>
        <w:rPr>
          <w:rFonts w:ascii="仿宋" w:eastAsia="仿宋" w:hAnsi="仿宋" w:cs="仿宋" w:hint="eastAsia"/>
          <w:sz w:val="28"/>
          <w:lang w:eastAsia="zh-CN"/>
        </w:rPr>
      </w:pPr>
      <w:bookmarkStart w:id="8" w:name="_Toc2783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在危机发生时，金属硫蛋白(MT)、高纯度MT、MT多糖项目团队立即行动，成立了应急小组。该小组的任务是迅速制定并实施紧急应对措施，以最小化潜在损失。以下是采取的主要措施：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暂停金属硫蛋白(MT)、高纯度MT、MT多糖项目进度：为遏制危机蔓延，金属硫蛋白(MT)、高纯度MT、MT多糖项目暂时停止进行，以便全面评估当前状况。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资源重新分配：重新评估金属硫蛋白(MT)、高纯度MT、MT多糖项目资源的分配，确保最大限度地减小损失。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实时沟通：与关键利益相关者建立实时沟通机制，向他们传递金属硫蛋白(MT)、高纯度MT、MT多糖项目危机的实际状况，保障金属硫蛋白(MT)、高纯度MT、MT多糖项目核心利益。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在紧急应对的同时，金属硫蛋白(MT)、高纯度MT、MT多糖项目团队强调了团队协作和有效沟通的重要性。以下是团队协作的关键举措：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信息共享机制：建立了信息共享平台，确保团队成员能够及时获取金属硫蛋白(MT)、高纯度MT、MT多糖项目危机的实时信息。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领导者沟通：金属硫蛋白(MT)、高纯度MT、MT多糖项目领导者通过定期会议和即时沟通工具，指导团队应对危机，保持团队稳定运行。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随着危机得到初步控制，金属硫蛋白(MT)、高纯度MT、MT多糖项目团队转向制定恢复计划，以确保金属硫蛋白(MT)、高纯度MT、MT多糖项目能够从中迅速恢复。主要恢复计划包括：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修复受损的进度计划：重新评估金属硫蛋白(MT)、高纯度MT、MT多糖项目进度，制定修复计划，确保金属硫蛋白(MT)、高纯度MT、MT多糖项目尽快回归正常进程。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重新调整资源分配：优化资源分配，确保金属硫蛋白(MT)、高纯度MT、MT多糖项目在有限资源下高效运转。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风险管理机制加强：对金属硫蛋白(MT)、高纯度MT、MT多糖项目风险进行全面评估，制定更强化的风险管理策略，以预防未来可能的危机。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1982"/>
      <w:r>
        <w:rPr>
          <w:rFonts w:ascii="仿宋" w:eastAsia="仿宋" w:hAnsi="仿宋" w:cs="仿宋" w:hint="eastAsia"/>
          <w:sz w:val="28"/>
          <w:lang w:eastAsia="zh-CN"/>
        </w:rPr>
        <w:t>三、金属硫蛋白(MT)、高纯度MT、MT多糖项目选址可行性分析</w:t>
      </w:r>
      <w:bookmarkEnd w:id="9"/>
    </w:p>
    <w:p>
      <w:pPr>
        <w:pStyle w:val="Heading2"/>
        <w:rPr>
          <w:rFonts w:ascii="仿宋" w:eastAsia="仿宋" w:hAnsi="仿宋" w:cs="仿宋" w:hint="eastAsia"/>
          <w:lang w:eastAsia="zh-CN"/>
        </w:rPr>
      </w:pPr>
      <w:bookmarkStart w:id="10" w:name="_Toc13677"/>
      <w:r>
        <w:rPr>
          <w:rFonts w:ascii="仿宋" w:eastAsia="仿宋" w:hAnsi="仿宋" w:cs="仿宋" w:hint="eastAsia"/>
          <w:lang w:eastAsia="zh-CN"/>
        </w:rPr>
        <w:t>(一)、金属硫蛋白(MT)、高纯度MT、MT多糖项目选址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该金属硫蛋白(MT)、高纯度MT、MT多糖项目选址位于XX省XX市XX区XXX街道</w:t>
      </w:r>
    </w:p>
    <w:p>
      <w:pPr>
        <w:pStyle w:val="Heading2"/>
        <w:ind w:firstLine="560" w:firstLineChars="200"/>
        <w:rPr>
          <w:rFonts w:ascii="仿宋" w:eastAsia="仿宋" w:hAnsi="仿宋" w:cs="仿宋" w:hint="eastAsia"/>
          <w:sz w:val="28"/>
          <w:lang w:eastAsia="zh-CN"/>
        </w:rPr>
      </w:pPr>
      <w:bookmarkStart w:id="11" w:name="_Toc824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硫蛋白(MT)、高纯度MT、MT多糖项目的征地面积将根据金属硫蛋白(MT)、高纯度MT、MT多糖项目的实际规模和需求进行精确规划。具体面积XXX平方米，旨在确保金属硫蛋白(MT)、高纯度MT、MT多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净用地面积是在征地面积基础上去除不可利用面积后的实际可开发用地。具体面积XXX平方米，考虑到环保、交通、安全等多方面因素，以确保金属硫蛋白(MT)、高纯度MT、MT多糖项目在整体利用效率上达到最优。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建筑面积： 金属硫蛋白(MT)、高纯度MT、MT多糖项目计划建设的建筑总规模具体面积XXX平方米。这一规模的确定综合考虑了金属硫蛋白(MT)、高纯度MT、MT多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硫蛋白(MT)、高纯度MT、MT多糖项目用地中被规划为绿地的比例。具体面积XXX平方米，旨在通过合理规划绿地，改善金属硫蛋白(MT)、高纯度MT、MT多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容积率是用地上可以建设的建筑总体积与用地面积之比。具体面积XXX，通过合理的容积率规划，确保金属硫蛋白(MT)、高纯度MT、MT多糖项目建筑规模与周边环境和谐共生。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硫蛋白(MT)、高纯度MT、MT多糖项目选址与当地城市规划相一致，具体面积XXX平方米。通过与城市规划部门深入沟通，确保金属硫蛋白(MT)、高纯度MT、MT多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硫蛋白(MT)、高纯度MT、MT多糖项目选址符合当地产业政策，具体面积XXX平方米。这包括金属硫蛋白(MT)、高纯度MT、MT多糖项目对当地经济的促进作用，以及对相关产业的带动效应，确保金属硫蛋白(MT)、高纯度MT、MT多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硫蛋白(MT)、高纯度MT、MT多糖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金属硫蛋白(MT)、高纯度MT、MT多糖项目选址具备必要的公共设施配套，具体面积XXX平方米。这包括交通便利性、教育、医疗等基础设施，以提高居民生活品质，使得金属硫蛋白(MT)、高纯度MT、MT多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考虑用地总体要求对当地社会稳定性的影响，具体面积XXX平方米。通过深入了解当地社区反馈，确保金属硫蛋白(MT)、高纯度MT、MT多糖项目的选址和建设过程对当地社会和谐稳定产生积极作用。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硫蛋白(MT)、高纯度MT、MT多糖项目选址不仅符合法规和规划，还在实际操作中具有可行性。这一全面规划将为金属硫蛋白(MT)、高纯度MT、MT多糖项目的成功实施提供坚实的基础，确保金属硫蛋白(MT)、高纯度MT、MT多糖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87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金属硫蛋白(MT)、高纯度MT、MT多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硫蛋白(MT)、高纯度MT、MT多糖项目的设备规划和空间设计中，我们将采取灵活设备布局的措施。设备布局将根据实际需求进行灵活设计，避免不必要的浪费。通过合理规划设备摆放位置，我们将提高设备的利用率，减少设备间距，以确保金属硫蛋白(MT)、高纯度MT、MT多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硫蛋白(MT)、高纯度MT、MT多糖项目内部引入共享设施的概念，例如共享会议室、办公区等。通过这种方式，我们可以减少对资源的重复建设，提高资源共享效率，从而减小金属硫蛋白(MT)、高纯度MT、MT多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5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金属硫蛋白(MT)、高纯度MT、MT多糖项目的总图布置中，我们将不同功能区域进行明确的规划，以最大程度满足金属硫蛋白(MT)、高纯度MT、MT多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21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金属硫蛋白(MT)、高纯度MT、MT多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硫蛋白(MT)、高纯度MT、MT多糖项目对环境的影响是综合评价的重要因素之一。我们将详细考虑选址周边的自然环境、生态保护区、水源地等情况，确保金属硫蛋白(MT)、高纯度MT、MT多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硫蛋白(MT)、高纯度MT、MT多糖项目所在地的相关政策，确保金属硫蛋白(MT)、高纯度MT、MT多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考虑到社会稳定性对企业运营的重要性，我们将评估选址地区的社会安全情况、劳工关系、社区反馈等方面，以确保金属硫蛋白(MT)、高纯度MT、MT多糖项目的建设和运营不会受到社会稳定性的负面影响。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最后，我们将综合考虑用地成本，包括土地购置费用、土地开发成本等。通过对用地成本的详细评估，我们能够做出更为精确的经济效益分析，为金属硫蛋白(MT)、高纯度MT、MT多糖项目的投资决策提供有力支持。</w:t>
      </w:r>
    </w:p>
    <w:p>
      <w:pPr>
        <w:pStyle w:val="Heading1"/>
        <w:ind w:firstLine="560" w:firstLineChars="200"/>
        <w:rPr>
          <w:rFonts w:ascii="仿宋" w:eastAsia="仿宋" w:hAnsi="仿宋" w:cs="仿宋" w:hint="eastAsia"/>
          <w:sz w:val="28"/>
          <w:lang w:eastAsia="zh-CN"/>
        </w:rPr>
      </w:pPr>
      <w:bookmarkStart w:id="15" w:name="_Toc2432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8115"/>
      <w:r>
        <w:rPr>
          <w:rFonts w:ascii="仿宋" w:eastAsia="仿宋" w:hAnsi="仿宋" w:cs="仿宋" w:hint="eastAsia"/>
          <w:lang w:eastAsia="zh-CN"/>
        </w:rPr>
        <w:t>(一)、金属硫蛋白(MT)、高纯度MT、MT多糖行业分析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金属硫蛋白(MT)、高纯度MT、MT多糖行业一直以来都是市场的关注焦点。行业内的发展趋势、竞争态势以及潜在机会都对金属硫蛋白(MT)、高纯度MT、MT多糖项目的推进产生深远的影响。通过深入研究行业的整体概貌，我们将更好地理解行业的核心特征，为金属硫蛋白(MT)、高纯度MT、MT多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硫蛋白(MT)、高纯度MT、MT多糖行业，技术一直是推动创新和发展的关键因素。我们将对当前技术趋势进行详尽分析，包括但不限于人工智能、大数据应用、先进制造技术等。这有助于金属硫蛋白(MT)、高纯度MT、MT多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硫蛋白(MT)、高纯度MT、MT多糖项目成功的基础。我们将对主要竞争对手进行深入研究，包括其市场份额、产品特点、市场定位等。通过全面了解竞争对手的优势和劣势，金属硫蛋白(MT)、高纯度MT、MT多糖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https://d.book118.com/746221050224010053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金属硫蛋白(MT)、高纯度MT、MT多糖项目规划设计纲要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538FC"/>
    <w:rsid w:val="72B53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221050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2024-02-24T14:10:00Z</dcterms:created>
  <dcterms:modified xsi:type="dcterms:W3CDTF">2024-02-24T14:11:00Z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8F5E41F722A94C3882413E0700DC0900_11</vt:lpwstr>
  </property>
  <property fmtid="{D5CDD505-2E9C-101B-9397-08002B2CF9AE}" pid="3" name="KSOProductBuildVer">
    <vt:lpwstr>2052-12.1.0.16388</vt:lpwstr>
  </property>
</Properties>
</file>