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3"/>
        </w:rPr>
      </w:pPr>
    </w:p>
    <w:p>
      <w:pPr>
        <w:spacing w:before="0" w:line="809" w:lineRule="exact"/>
        <w:ind w:left="355" w:right="455" w:firstLine="0"/>
        <w:jc w:val="center"/>
        <w:rPr>
          <w:rFonts w:ascii="微软雅黑" w:eastAsia="微软雅黑"/>
          <w:b/>
          <w:sz w:val="52"/>
        </w:rPr>
      </w:pPr>
      <w:r>
        <w:rPr>
          <w:rFonts w:ascii="微软雅黑" w:eastAsia="微软雅黑"/>
          <w:b/>
          <w:spacing w:val="-1"/>
          <w:sz w:val="52"/>
        </w:rPr>
        <w:t>电子政务外网核心网络设备升级及通用</w:t>
      </w:r>
    </w:p>
    <w:p>
      <w:pPr>
        <w:spacing w:before="0" w:line="947" w:lineRule="exact"/>
        <w:ind w:left="355" w:right="455" w:firstLine="0"/>
        <w:jc w:val="center"/>
        <w:rPr>
          <w:rFonts w:ascii="微软雅黑" w:eastAsia="微软雅黑"/>
          <w:b/>
          <w:sz w:val="52"/>
        </w:rPr>
      </w:pPr>
      <w:r>
        <w:rPr>
          <w:rFonts w:ascii="微软雅黑" w:eastAsia="微软雅黑"/>
          <w:b/>
          <w:spacing w:val="-2"/>
          <w:sz w:val="52"/>
        </w:rPr>
        <w:t>网管软件采购项目</w:t>
      </w:r>
    </w:p>
    <w:p>
      <w:pPr>
        <w:pStyle w:val="BodyText"/>
        <w:spacing w:before="8"/>
        <w:rPr>
          <w:rFonts w:ascii="微软雅黑"/>
          <w:b/>
          <w:sz w:val="66"/>
        </w:rPr>
      </w:pPr>
    </w:p>
    <w:p>
      <w:pPr>
        <w:spacing w:before="1"/>
        <w:ind w:left="355" w:right="455" w:firstLine="0"/>
        <w:jc w:val="center"/>
        <w:rPr>
          <w:rFonts w:ascii="微软雅黑" w:eastAsia="微软雅黑"/>
          <w:b/>
          <w:sz w:val="52"/>
        </w:rPr>
      </w:pPr>
      <w:r>
        <w:rPr>
          <w:rFonts w:ascii="微软雅黑" w:eastAsia="微软雅黑"/>
          <w:b/>
          <w:spacing w:val="-3"/>
          <w:sz w:val="52"/>
        </w:rPr>
        <w:t>招标文件</w:t>
      </w:r>
    </w:p>
    <w:p>
      <w:pPr>
        <w:pStyle w:val="BodyText"/>
        <w:rPr>
          <w:rFonts w:ascii="微软雅黑"/>
          <w:b/>
          <w:sz w:val="45"/>
        </w:rPr>
      </w:pPr>
    </w:p>
    <w:p>
      <w:pPr>
        <w:spacing w:before="0"/>
        <w:ind w:left="0" w:right="99" w:firstLine="0"/>
        <w:jc w:val="center"/>
        <w:rPr>
          <w:rFonts w:ascii="微软雅黑" w:eastAsia="微软雅黑"/>
          <w:b/>
          <w:sz w:val="28"/>
        </w:rPr>
      </w:pPr>
      <w:r>
        <w:rPr>
          <w:rFonts w:ascii="微软雅黑" w:eastAsia="微软雅黑"/>
          <w:b/>
          <w:w w:val="90"/>
          <w:sz w:val="28"/>
        </w:rPr>
        <w:t>招</w:t>
      </w:r>
      <w:r>
        <w:rPr>
          <w:rFonts w:ascii="微软雅黑" w:eastAsia="微软雅黑"/>
          <w:b/>
          <w:w w:val="90"/>
          <w:sz w:val="28"/>
        </w:rPr>
        <w:t>标</w:t>
      </w:r>
      <w:r>
        <w:rPr>
          <w:rFonts w:ascii="微软雅黑" w:eastAsia="微软雅黑"/>
          <w:b/>
          <w:w w:val="90"/>
          <w:sz w:val="28"/>
        </w:rPr>
        <w:t>编</w:t>
      </w:r>
      <w:r>
        <w:rPr>
          <w:rFonts w:ascii="微软雅黑" w:eastAsia="微软雅黑"/>
          <w:b/>
          <w:w w:val="90"/>
          <w:sz w:val="28"/>
        </w:rPr>
        <w:t>号</w:t>
      </w:r>
      <w:r>
        <w:rPr>
          <w:rFonts w:ascii="微软雅黑" w:eastAsia="微软雅黑"/>
          <w:b/>
          <w:w w:val="90"/>
          <w:sz w:val="28"/>
        </w:rPr>
        <w:t>：</w:t>
      </w:r>
      <w:r>
        <w:rPr>
          <w:rFonts w:ascii="微软雅黑" w:eastAsia="微软雅黑"/>
          <w:b/>
          <w:w w:val="90"/>
          <w:sz w:val="28"/>
        </w:rPr>
        <w:t>东</w:t>
      </w:r>
      <w:r>
        <w:rPr>
          <w:rFonts w:ascii="微软雅黑" w:eastAsia="微软雅黑"/>
          <w:b/>
          <w:w w:val="90"/>
          <w:sz w:val="28"/>
        </w:rPr>
        <w:t>采</w:t>
      </w:r>
      <w:r>
        <w:rPr>
          <w:rFonts w:ascii="微软雅黑" w:eastAsia="微软雅黑"/>
          <w:b/>
          <w:w w:val="90"/>
          <w:sz w:val="28"/>
        </w:rPr>
        <w:t>公</w:t>
      </w:r>
      <w:r>
        <w:rPr>
          <w:rFonts w:ascii="微软雅黑" w:eastAsia="微软雅黑"/>
          <w:b/>
          <w:w w:val="90"/>
          <w:sz w:val="28"/>
        </w:rPr>
        <w:t>〔</w:t>
      </w:r>
      <w:r>
        <w:rPr>
          <w:rFonts w:ascii="微软雅黑" w:eastAsia="微软雅黑"/>
          <w:b/>
          <w:w w:val="90"/>
          <w:sz w:val="28"/>
        </w:rPr>
        <w:t>2013〕886</w:t>
      </w:r>
      <w:r>
        <w:rPr>
          <w:rFonts w:ascii="微软雅黑" w:eastAsia="微软雅黑"/>
          <w:b/>
          <w:spacing w:val="45"/>
          <w:sz w:val="28"/>
        </w:rPr>
        <w:t xml:space="preserve">  </w:t>
      </w:r>
      <w:r>
        <w:rPr>
          <w:rFonts w:ascii="微软雅黑" w:eastAsia="微软雅黑"/>
          <w:b/>
          <w:spacing w:val="-10"/>
          <w:w w:val="90"/>
          <w:sz w:val="28"/>
        </w:rPr>
        <w:t>号</w:t>
      </w:r>
    </w:p>
    <w:p>
      <w:pPr>
        <w:pStyle w:val="BodyText"/>
        <w:rPr>
          <w:rFonts w:ascii="微软雅黑"/>
          <w:b/>
          <w:sz w:val="28"/>
        </w:rPr>
      </w:pPr>
    </w:p>
    <w:p>
      <w:pPr>
        <w:pStyle w:val="BodyText"/>
        <w:rPr>
          <w:rFonts w:ascii="微软雅黑"/>
          <w:b/>
          <w:sz w:val="28"/>
        </w:rPr>
      </w:pPr>
    </w:p>
    <w:p>
      <w:pPr>
        <w:pStyle w:val="BodyText"/>
        <w:rPr>
          <w:rFonts w:ascii="微软雅黑"/>
          <w:b/>
          <w:sz w:val="28"/>
        </w:rPr>
      </w:pPr>
    </w:p>
    <w:p>
      <w:pPr>
        <w:pStyle w:val="BodyText"/>
        <w:rPr>
          <w:rFonts w:ascii="微软雅黑"/>
          <w:b/>
          <w:sz w:val="28"/>
        </w:rPr>
      </w:pPr>
    </w:p>
    <w:p>
      <w:pPr>
        <w:pStyle w:val="BodyText"/>
        <w:rPr>
          <w:rFonts w:ascii="微软雅黑"/>
          <w:b/>
          <w:sz w:val="28"/>
        </w:rPr>
      </w:pPr>
    </w:p>
    <w:p>
      <w:pPr>
        <w:pStyle w:val="BodyText"/>
        <w:rPr>
          <w:rFonts w:ascii="微软雅黑"/>
          <w:b/>
          <w:sz w:val="28"/>
        </w:rPr>
      </w:pPr>
    </w:p>
    <w:p>
      <w:pPr>
        <w:pStyle w:val="BodyText"/>
        <w:spacing w:before="9"/>
        <w:rPr>
          <w:rFonts w:ascii="微软雅黑"/>
          <w:b/>
          <w:sz w:val="32"/>
        </w:rPr>
      </w:pPr>
    </w:p>
    <w:p>
      <w:pPr>
        <w:spacing w:before="1"/>
        <w:ind w:left="0" w:right="99" w:firstLine="0"/>
        <w:jc w:val="center"/>
        <w:rPr>
          <w:rFonts w:ascii="微软雅黑" w:eastAsia="微软雅黑"/>
          <w:b/>
          <w:sz w:val="28"/>
        </w:rPr>
      </w:pPr>
      <w:r>
        <w:rPr>
          <w:rFonts w:ascii="微软雅黑" w:eastAsia="微软雅黑"/>
          <w:b/>
          <w:spacing w:val="-1"/>
          <w:sz w:val="28"/>
        </w:rPr>
        <w:t>广东志正招标有限公司</w:t>
      </w:r>
    </w:p>
    <w:p>
      <w:pPr>
        <w:pStyle w:val="BodyText"/>
        <w:spacing w:before="13"/>
        <w:rPr>
          <w:rFonts w:ascii="微软雅黑"/>
          <w:b/>
          <w:sz w:val="20"/>
        </w:rPr>
      </w:pPr>
    </w:p>
    <w:p>
      <w:pPr>
        <w:spacing w:before="0"/>
        <w:ind w:left="0" w:right="99" w:firstLine="0"/>
        <w:jc w:val="center"/>
        <w:rPr>
          <w:rFonts w:ascii="微软雅黑" w:eastAsia="微软雅黑"/>
          <w:b/>
          <w:sz w:val="32"/>
        </w:rPr>
      </w:pPr>
      <w:r>
        <w:rPr>
          <w:rFonts w:ascii="微软雅黑" w:eastAsia="微软雅黑"/>
          <w:b/>
          <w:w w:val="85"/>
          <w:sz w:val="32"/>
        </w:rPr>
        <w:t>2013</w:t>
      </w:r>
      <w:r>
        <w:rPr>
          <w:rFonts w:ascii="微软雅黑" w:eastAsia="微软雅黑"/>
          <w:b/>
          <w:spacing w:val="-14"/>
          <w:sz w:val="32"/>
        </w:rPr>
        <w:t xml:space="preserve"> </w:t>
      </w:r>
      <w:r>
        <w:rPr>
          <w:rFonts w:ascii="微软雅黑" w:eastAsia="微软雅黑"/>
          <w:b/>
          <w:w w:val="85"/>
          <w:sz w:val="32"/>
        </w:rPr>
        <w:t>年</w:t>
      </w:r>
      <w:r>
        <w:rPr>
          <w:rFonts w:ascii="微软雅黑" w:eastAsia="微软雅黑"/>
          <w:b/>
          <w:spacing w:val="-13"/>
          <w:sz w:val="32"/>
        </w:rPr>
        <w:t xml:space="preserve"> </w:t>
      </w:r>
      <w:r>
        <w:rPr>
          <w:rFonts w:ascii="微软雅黑" w:eastAsia="微软雅黑"/>
          <w:b/>
          <w:w w:val="85"/>
          <w:sz w:val="32"/>
        </w:rPr>
        <w:t>11</w:t>
      </w:r>
      <w:r>
        <w:rPr>
          <w:rFonts w:ascii="微软雅黑" w:eastAsia="微软雅黑"/>
          <w:b/>
          <w:spacing w:val="-14"/>
          <w:sz w:val="32"/>
        </w:rPr>
        <w:t xml:space="preserve"> </w:t>
      </w:r>
      <w:r>
        <w:rPr>
          <w:rFonts w:ascii="微软雅黑" w:eastAsia="微软雅黑"/>
          <w:b/>
          <w:spacing w:val="-10"/>
          <w:w w:val="85"/>
          <w:sz w:val="32"/>
        </w:rPr>
        <w:t>月</w:t>
      </w:r>
    </w:p>
    <w:p>
      <w:pPr>
        <w:spacing w:after="0"/>
        <w:jc w:val="center"/>
        <w:rPr>
          <w:rFonts w:ascii="微软雅黑" w:eastAsia="微软雅黑"/>
          <w:sz w:val="32"/>
        </w:rPr>
        <w:sectPr>
          <w:type w:val="continuous"/>
          <w:pgSz w:w="11910" w:h="16840"/>
          <w:pgMar w:top="1940" w:right="1060" w:bottom="280" w:left="1160" w:header="708" w:footer="708"/>
          <w:cols w:space="708"/>
        </w:sectPr>
      </w:pPr>
    </w:p>
    <w:p>
      <w:pPr>
        <w:pStyle w:val="BodyText"/>
        <w:spacing w:before="14"/>
        <w:rPr>
          <w:rFonts w:ascii="微软雅黑"/>
          <w:b/>
          <w:sz w:val="5"/>
        </w:rPr>
      </w:pPr>
    </w:p>
    <w:p>
      <w:pPr>
        <w:tabs>
          <w:tab w:val="left" w:pos="799"/>
        </w:tabs>
        <w:spacing w:before="56"/>
        <w:ind w:left="0" w:right="99" w:firstLine="0"/>
        <w:jc w:val="center"/>
        <w:rPr>
          <w:sz w:val="32"/>
        </w:rPr>
      </w:pPr>
      <w:bookmarkStart w:id="0" w:name="_bookmark0"/>
      <w:bookmarkEnd w:id="0"/>
      <w:r>
        <w:rPr>
          <w:spacing w:val="-10"/>
          <w:sz w:val="32"/>
        </w:rPr>
        <w:t>目</w:t>
      </w:r>
      <w:r>
        <w:rPr>
          <w:sz w:val="32"/>
        </w:rPr>
        <w:tab/>
      </w:r>
      <w:r>
        <w:rPr>
          <w:spacing w:val="-10"/>
          <w:sz w:val="32"/>
        </w:rPr>
        <w:t>录</w:t>
      </w:r>
    </w:p>
    <w:sdt>
      <w:sdtPr>
        <w:id w:val="1267858370"/>
        <w:docPartObj>
          <w:docPartGallery w:val="Table of Contents"/>
          <w:docPartUnique/>
        </w:docPartObj>
      </w:sdtPr>
      <w:sdtContent>
        <w:p>
          <w:pPr>
            <w:pStyle w:val="TOC1"/>
            <w:tabs>
              <w:tab w:val="right" w:leader="dot" w:pos="9328"/>
            </w:tabs>
            <w:spacing w:before="200"/>
          </w:pPr>
          <w:hyperlink w:anchor="_bookmark0" w:history="1">
            <w:r>
              <w:t>招标邀请</w:t>
            </w:r>
            <w:r>
              <w:rPr>
                <w:spacing w:val="-10"/>
              </w:rPr>
              <w:t>函</w:t>
            </w:r>
          </w:hyperlink>
          <w:r>
            <w:rPr>
              <w:rFonts w:ascii="Times New Roman" w:eastAsia="Times New Roman"/>
            </w:rPr>
            <w:tab/>
          </w:r>
          <w:r>
            <w:rPr>
              <w:spacing w:val="-10"/>
            </w:rPr>
            <w:t>3</w:t>
          </w:r>
        </w:p>
        <w:p>
          <w:pPr>
            <w:pStyle w:val="TOC1"/>
            <w:tabs>
              <w:tab w:val="right" w:leader="dot" w:pos="9328"/>
            </w:tabs>
            <w:spacing w:before="113"/>
          </w:pPr>
          <w:hyperlink w:anchor="_TOC_250029" w:history="1">
            <w:r>
              <w:t>第一部分</w:t>
            </w:r>
            <w:r>
              <w:rPr>
                <w:spacing w:val="70"/>
              </w:rPr>
              <w:t xml:space="preserve"> </w:t>
            </w:r>
            <w:r>
              <w:t>投</w:t>
            </w:r>
            <w:r>
              <w:rPr>
                <w:spacing w:val="-25"/>
              </w:rPr>
              <w:t xml:space="preserve"> </w:t>
            </w:r>
            <w:r>
              <w:t>标</w:t>
            </w:r>
            <w:r>
              <w:rPr>
                <w:spacing w:val="-25"/>
              </w:rPr>
              <w:t xml:space="preserve"> </w:t>
            </w:r>
            <w:r>
              <w:t>须</w:t>
            </w:r>
            <w:r>
              <w:rPr>
                <w:spacing w:val="-25"/>
              </w:rPr>
              <w:t xml:space="preserve"> </w:t>
            </w:r>
            <w:r>
              <w:rPr>
                <w:spacing w:val="-10"/>
              </w:rPr>
              <w:t>知</w:t>
            </w:r>
            <w:r>
              <w:rPr>
                <w:rFonts w:ascii="Times New Roman" w:eastAsia="Times New Roman"/>
              </w:rPr>
              <w:tab/>
            </w:r>
            <w:r>
              <w:rPr>
                <w:spacing w:val="-10"/>
              </w:rPr>
              <w:t>4</w:t>
            </w:r>
          </w:hyperlink>
        </w:p>
        <w:p>
          <w:pPr>
            <w:pStyle w:val="TOC1"/>
            <w:tabs>
              <w:tab w:val="right" w:leader="dot" w:pos="9328"/>
            </w:tabs>
          </w:pPr>
          <w:hyperlink w:anchor="_TOC_250028" w:history="1">
            <w:r>
              <w:t>（一）总</w:t>
            </w:r>
            <w:r>
              <w:rPr>
                <w:spacing w:val="70"/>
              </w:rPr>
              <w:t xml:space="preserve"> </w:t>
            </w:r>
            <w:r>
              <w:rPr>
                <w:spacing w:val="-10"/>
              </w:rPr>
              <w:t>则</w:t>
            </w:r>
            <w:r>
              <w:rPr>
                <w:rFonts w:ascii="Times New Roman" w:eastAsia="Times New Roman"/>
              </w:rPr>
              <w:tab/>
            </w:r>
            <w:r>
              <w:rPr>
                <w:spacing w:val="-10"/>
              </w:rPr>
              <w:t>4</w:t>
            </w:r>
          </w:hyperlink>
        </w:p>
        <w:p>
          <w:pPr>
            <w:pStyle w:val="TOC1"/>
            <w:tabs>
              <w:tab w:val="right" w:leader="dot" w:pos="9328"/>
            </w:tabs>
            <w:spacing w:before="113"/>
          </w:pPr>
          <w:hyperlink w:anchor="_TOC_250027" w:history="1">
            <w:r>
              <w:t>（二）招标文</w:t>
            </w:r>
            <w:r>
              <w:rPr>
                <w:spacing w:val="-10"/>
              </w:rPr>
              <w:t>件</w:t>
            </w:r>
            <w:r>
              <w:rPr>
                <w:rFonts w:ascii="Times New Roman" w:eastAsia="Times New Roman"/>
              </w:rPr>
              <w:tab/>
            </w:r>
            <w:r>
              <w:rPr>
                <w:spacing w:val="-10"/>
              </w:rPr>
              <w:t>5</w:t>
            </w:r>
          </w:hyperlink>
        </w:p>
        <w:p>
          <w:pPr>
            <w:pStyle w:val="TOC1"/>
            <w:tabs>
              <w:tab w:val="right" w:leader="dot" w:pos="9328"/>
            </w:tabs>
          </w:pPr>
          <w:hyperlink w:anchor="_TOC_250026" w:history="1">
            <w:r>
              <w:t>（三）投标文件的编</w:t>
            </w:r>
            <w:r>
              <w:rPr>
                <w:spacing w:val="-10"/>
              </w:rPr>
              <w:t>制</w:t>
            </w:r>
            <w:r>
              <w:rPr>
                <w:rFonts w:ascii="Times New Roman" w:eastAsia="Times New Roman"/>
              </w:rPr>
              <w:tab/>
            </w:r>
            <w:r>
              <w:rPr>
                <w:spacing w:val="-10"/>
              </w:rPr>
              <w:t>6</w:t>
            </w:r>
          </w:hyperlink>
        </w:p>
        <w:p>
          <w:pPr>
            <w:pStyle w:val="TOC1"/>
            <w:tabs>
              <w:tab w:val="right" w:leader="dot" w:pos="9328"/>
            </w:tabs>
            <w:spacing w:before="113"/>
          </w:pPr>
          <w:hyperlink w:anchor="_TOC_250025" w:history="1">
            <w:r>
              <w:t>（四）投标文件的递</w:t>
            </w:r>
            <w:r>
              <w:rPr>
                <w:spacing w:val="-10"/>
              </w:rPr>
              <w:t>交</w:t>
            </w:r>
            <w:r>
              <w:rPr>
                <w:rFonts w:ascii="Times New Roman" w:eastAsia="Times New Roman"/>
              </w:rPr>
              <w:tab/>
            </w:r>
            <w:r>
              <w:rPr>
                <w:spacing w:val="-5"/>
              </w:rPr>
              <w:t>10</w:t>
            </w:r>
          </w:hyperlink>
        </w:p>
        <w:p>
          <w:pPr>
            <w:pStyle w:val="TOC1"/>
            <w:tabs>
              <w:tab w:val="right" w:leader="dot" w:pos="9328"/>
            </w:tabs>
          </w:pPr>
          <w:hyperlink w:anchor="_TOC_250024" w:history="1">
            <w:r>
              <w:t>（五）评标程</w:t>
            </w:r>
            <w:r>
              <w:rPr>
                <w:spacing w:val="-10"/>
              </w:rPr>
              <w:t>序</w:t>
            </w:r>
            <w:r>
              <w:rPr>
                <w:rFonts w:ascii="Times New Roman" w:eastAsia="Times New Roman"/>
              </w:rPr>
              <w:tab/>
            </w:r>
            <w:r>
              <w:rPr>
                <w:spacing w:val="-5"/>
              </w:rPr>
              <w:t>12</w:t>
            </w:r>
          </w:hyperlink>
        </w:p>
        <w:p>
          <w:pPr>
            <w:pStyle w:val="TOC1"/>
            <w:tabs>
              <w:tab w:val="right" w:leader="dot" w:pos="9328"/>
            </w:tabs>
            <w:spacing w:before="113"/>
          </w:pPr>
          <w:hyperlink w:anchor="_TOC_250023" w:history="1">
            <w:r>
              <w:t>（六）签订供货协</w:t>
            </w:r>
            <w:r>
              <w:rPr>
                <w:spacing w:val="-10"/>
              </w:rPr>
              <w:t>议</w:t>
            </w:r>
            <w:r>
              <w:rPr>
                <w:rFonts w:ascii="Times New Roman" w:eastAsia="Times New Roman"/>
              </w:rPr>
              <w:tab/>
            </w:r>
            <w:r>
              <w:rPr>
                <w:spacing w:val="-5"/>
              </w:rPr>
              <w:t>16</w:t>
            </w:r>
          </w:hyperlink>
        </w:p>
        <w:p>
          <w:pPr>
            <w:pStyle w:val="TOC1"/>
            <w:tabs>
              <w:tab w:val="right" w:leader="dot" w:pos="9328"/>
            </w:tabs>
          </w:pPr>
          <w:hyperlink w:anchor="_TOC_250022" w:history="1">
            <w:r>
              <w:t>（七）服务</w:t>
            </w:r>
            <w:r>
              <w:rPr>
                <w:spacing w:val="-10"/>
              </w:rPr>
              <w:t>费</w:t>
            </w:r>
            <w:r>
              <w:rPr>
                <w:rFonts w:ascii="Times New Roman" w:eastAsia="Times New Roman"/>
              </w:rPr>
              <w:tab/>
            </w:r>
            <w:r>
              <w:rPr>
                <w:spacing w:val="-5"/>
              </w:rPr>
              <w:t>17</w:t>
            </w:r>
          </w:hyperlink>
        </w:p>
        <w:p>
          <w:pPr>
            <w:pStyle w:val="TOC1"/>
            <w:tabs>
              <w:tab w:val="right" w:leader="dot" w:pos="9328"/>
            </w:tabs>
            <w:spacing w:before="113"/>
          </w:pPr>
          <w:hyperlink w:anchor="_TOC_250021" w:history="1">
            <w:r>
              <w:t>第二部分</w:t>
            </w:r>
            <w:r>
              <w:rPr>
                <w:spacing w:val="70"/>
              </w:rPr>
              <w:t xml:space="preserve"> </w:t>
            </w:r>
            <w:r>
              <w:t>用户需</w:t>
            </w:r>
            <w:r>
              <w:rPr>
                <w:spacing w:val="-10"/>
              </w:rPr>
              <w:t>求</w:t>
            </w:r>
            <w:r>
              <w:rPr>
                <w:rFonts w:ascii="Times New Roman" w:eastAsia="Times New Roman"/>
              </w:rPr>
              <w:tab/>
            </w:r>
            <w:r>
              <w:rPr>
                <w:spacing w:val="-5"/>
              </w:rPr>
              <w:t>19</w:t>
            </w:r>
          </w:hyperlink>
        </w:p>
        <w:p>
          <w:pPr>
            <w:pStyle w:val="TOC1"/>
            <w:tabs>
              <w:tab w:val="right" w:leader="dot" w:pos="9328"/>
            </w:tabs>
          </w:pPr>
          <w:hyperlink w:anchor="_TOC_250020" w:history="1">
            <w:r>
              <w:t>第三部分</w:t>
            </w:r>
            <w:r>
              <w:rPr>
                <w:spacing w:val="70"/>
              </w:rPr>
              <w:t xml:space="preserve"> </w:t>
            </w:r>
            <w:r>
              <w:t>合同一般条款（仅供参考</w:t>
            </w:r>
            <w:r>
              <w:rPr>
                <w:spacing w:val="-10"/>
              </w:rPr>
              <w:t>）</w:t>
            </w:r>
            <w:r>
              <w:rPr>
                <w:rFonts w:ascii="Times New Roman" w:eastAsia="Times New Roman"/>
              </w:rPr>
              <w:tab/>
            </w:r>
            <w:r>
              <w:rPr>
                <w:spacing w:val="-5"/>
              </w:rPr>
              <w:t>39</w:t>
            </w:r>
          </w:hyperlink>
        </w:p>
        <w:p>
          <w:pPr>
            <w:pStyle w:val="TOC1"/>
            <w:tabs>
              <w:tab w:val="right" w:leader="dot" w:pos="9328"/>
            </w:tabs>
            <w:spacing w:before="113"/>
          </w:pPr>
          <w:hyperlink w:anchor="_TOC_250019" w:history="1">
            <w:r>
              <w:t>第四部分</w:t>
            </w:r>
            <w:r>
              <w:rPr>
                <w:spacing w:val="70"/>
              </w:rPr>
              <w:t xml:space="preserve"> </w:t>
            </w:r>
            <w:r>
              <w:t>投标文件格</w:t>
            </w:r>
            <w:r>
              <w:rPr>
                <w:spacing w:val="-10"/>
              </w:rPr>
              <w:t>式</w:t>
            </w:r>
            <w:r>
              <w:rPr>
                <w:rFonts w:ascii="Times New Roman" w:eastAsia="Times New Roman"/>
              </w:rPr>
              <w:tab/>
            </w:r>
            <w:r>
              <w:rPr>
                <w:spacing w:val="-5"/>
              </w:rPr>
              <w:t>43</w:t>
            </w:r>
          </w:hyperlink>
        </w:p>
        <w:p>
          <w:pPr>
            <w:pStyle w:val="TOC1"/>
            <w:tabs>
              <w:tab w:val="right" w:leader="dot" w:pos="9328"/>
            </w:tabs>
          </w:pPr>
          <w:hyperlink w:anchor="_TOC_250018" w:history="1">
            <w:r>
              <w:t>一、</w:t>
            </w:r>
            <w:r>
              <w:rPr>
                <w:spacing w:val="-25"/>
              </w:rPr>
              <w:t xml:space="preserve"> </w:t>
            </w:r>
            <w:r>
              <w:t>商务技术</w:t>
            </w:r>
            <w:r>
              <w:rPr>
                <w:spacing w:val="-10"/>
              </w:rPr>
              <w:t>标</w:t>
            </w:r>
            <w:r>
              <w:rPr>
                <w:rFonts w:ascii="Times New Roman" w:eastAsia="Times New Roman"/>
              </w:rPr>
              <w:tab/>
            </w:r>
            <w:r>
              <w:rPr>
                <w:spacing w:val="-5"/>
              </w:rPr>
              <w:t>44</w:t>
            </w:r>
          </w:hyperlink>
        </w:p>
        <w:p>
          <w:pPr>
            <w:pStyle w:val="TOC2"/>
            <w:numPr>
              <w:ilvl w:val="0"/>
              <w:numId w:val="28"/>
            </w:numPr>
            <w:tabs>
              <w:tab w:val="left" w:pos="1258"/>
              <w:tab w:val="right" w:leader="dot" w:pos="9328"/>
            </w:tabs>
            <w:spacing w:before="113" w:after="0" w:line="240" w:lineRule="auto"/>
            <w:ind w:left="1258" w:right="0" w:hanging="335"/>
            <w:jc w:val="left"/>
          </w:pPr>
          <w:hyperlink w:anchor="_TOC_250017" w:history="1">
            <w:r>
              <w:t>投标</w:t>
            </w:r>
            <w:r>
              <w:rPr>
                <w:spacing w:val="-10"/>
              </w:rPr>
              <w:t>书</w:t>
            </w:r>
            <w:r>
              <w:rPr>
                <w:rFonts w:ascii="Times New Roman" w:eastAsia="Times New Roman"/>
              </w:rPr>
              <w:tab/>
            </w:r>
            <w:r>
              <w:rPr>
                <w:spacing w:val="-5"/>
              </w:rPr>
              <w:t>45</w:t>
            </w:r>
          </w:hyperlink>
        </w:p>
        <w:p>
          <w:pPr>
            <w:pStyle w:val="TOC2"/>
            <w:numPr>
              <w:ilvl w:val="0"/>
              <w:numId w:val="28"/>
            </w:numPr>
            <w:tabs>
              <w:tab w:val="left" w:pos="1258"/>
              <w:tab w:val="right" w:leader="dot" w:pos="9328"/>
            </w:tabs>
            <w:spacing w:before="112" w:after="0" w:line="240" w:lineRule="auto"/>
            <w:ind w:left="1258" w:right="0" w:hanging="335"/>
            <w:jc w:val="left"/>
          </w:pPr>
          <w:hyperlink w:anchor="_TOC_250016" w:history="1">
            <w:r>
              <w:t>承诺</w:t>
            </w:r>
            <w:r>
              <w:rPr>
                <w:spacing w:val="-10"/>
              </w:rPr>
              <w:t>书</w:t>
            </w:r>
            <w:r>
              <w:rPr>
                <w:rFonts w:ascii="Times New Roman" w:eastAsia="Times New Roman"/>
              </w:rPr>
              <w:tab/>
            </w:r>
            <w:r>
              <w:rPr>
                <w:spacing w:val="-5"/>
              </w:rPr>
              <w:t>46</w:t>
            </w:r>
          </w:hyperlink>
        </w:p>
        <w:p>
          <w:pPr>
            <w:pStyle w:val="TOC2"/>
            <w:numPr>
              <w:ilvl w:val="0"/>
              <w:numId w:val="28"/>
            </w:numPr>
            <w:tabs>
              <w:tab w:val="left" w:pos="1258"/>
              <w:tab w:val="right" w:leader="dot" w:pos="9328"/>
            </w:tabs>
            <w:spacing w:before="113" w:after="0" w:line="240" w:lineRule="auto"/>
            <w:ind w:left="1258" w:right="0" w:hanging="335"/>
            <w:jc w:val="left"/>
          </w:pPr>
          <w:hyperlink w:anchor="_TOC_250015" w:history="1">
            <w:r>
              <w:t>产品详细说明一览</w:t>
            </w:r>
            <w:r>
              <w:rPr>
                <w:spacing w:val="-10"/>
              </w:rPr>
              <w:t>表</w:t>
            </w:r>
            <w:r>
              <w:rPr>
                <w:rFonts w:ascii="Times New Roman" w:eastAsia="Times New Roman"/>
              </w:rPr>
              <w:tab/>
            </w:r>
            <w:r>
              <w:rPr>
                <w:spacing w:val="-5"/>
              </w:rPr>
              <w:t>47</w:t>
            </w:r>
          </w:hyperlink>
        </w:p>
        <w:p>
          <w:pPr>
            <w:pStyle w:val="TOC2"/>
            <w:numPr>
              <w:ilvl w:val="0"/>
              <w:numId w:val="28"/>
            </w:numPr>
            <w:tabs>
              <w:tab w:val="left" w:pos="1258"/>
              <w:tab w:val="right" w:leader="dot" w:pos="9328"/>
            </w:tabs>
            <w:spacing w:before="112" w:after="0" w:line="240" w:lineRule="auto"/>
            <w:ind w:left="1258" w:right="0" w:hanging="335"/>
            <w:jc w:val="left"/>
          </w:pPr>
          <w:hyperlink w:anchor="_TOC_250014" w:history="1">
            <w:r>
              <w:t>投标响应与招标文件差异一览</w:t>
            </w:r>
            <w:r>
              <w:rPr>
                <w:spacing w:val="-10"/>
              </w:rPr>
              <w:t>表</w:t>
            </w:r>
            <w:r>
              <w:rPr>
                <w:rFonts w:ascii="Times New Roman" w:eastAsia="Times New Roman"/>
              </w:rPr>
              <w:tab/>
            </w:r>
            <w:r>
              <w:rPr>
                <w:spacing w:val="-5"/>
              </w:rPr>
              <w:t>48</w:t>
            </w:r>
          </w:hyperlink>
        </w:p>
        <w:p>
          <w:pPr>
            <w:pStyle w:val="TOC2"/>
            <w:numPr>
              <w:ilvl w:val="0"/>
              <w:numId w:val="28"/>
            </w:numPr>
            <w:tabs>
              <w:tab w:val="left" w:pos="1258"/>
              <w:tab w:val="right" w:leader="dot" w:pos="9328"/>
            </w:tabs>
            <w:spacing w:before="113" w:after="0" w:line="240" w:lineRule="auto"/>
            <w:ind w:left="1258" w:right="0" w:hanging="335"/>
            <w:jc w:val="left"/>
          </w:pPr>
          <w:hyperlink w:anchor="_TOC_250013" w:history="1">
            <w:r>
              <w:t>中标后递交有关资料、证件的原件承诺</w:t>
            </w:r>
            <w:r>
              <w:rPr>
                <w:spacing w:val="-10"/>
              </w:rPr>
              <w:t>书</w:t>
            </w:r>
            <w:r>
              <w:rPr>
                <w:rFonts w:ascii="Times New Roman" w:eastAsia="Times New Roman"/>
              </w:rPr>
              <w:tab/>
            </w:r>
            <w:r>
              <w:rPr>
                <w:spacing w:val="-5"/>
              </w:rPr>
              <w:t>49</w:t>
            </w:r>
          </w:hyperlink>
        </w:p>
        <w:p>
          <w:pPr>
            <w:pStyle w:val="TOC2"/>
            <w:numPr>
              <w:ilvl w:val="0"/>
              <w:numId w:val="28"/>
            </w:numPr>
            <w:tabs>
              <w:tab w:val="left" w:pos="1258"/>
              <w:tab w:val="right" w:leader="dot" w:pos="9328"/>
            </w:tabs>
            <w:spacing w:before="112" w:after="0" w:line="240" w:lineRule="auto"/>
            <w:ind w:left="1258" w:right="0" w:hanging="335"/>
            <w:jc w:val="left"/>
          </w:pPr>
          <w:hyperlink w:anchor="_TOC_250012" w:history="1">
            <w:r>
              <w:t>售后服务措施及承</w:t>
            </w:r>
            <w:r>
              <w:rPr>
                <w:spacing w:val="-10"/>
              </w:rPr>
              <w:t>诺</w:t>
            </w:r>
            <w:r>
              <w:rPr>
                <w:rFonts w:ascii="Times New Roman" w:eastAsia="Times New Roman"/>
              </w:rPr>
              <w:tab/>
            </w:r>
            <w:r>
              <w:rPr>
                <w:spacing w:val="-5"/>
              </w:rPr>
              <w:t>50</w:t>
            </w:r>
          </w:hyperlink>
        </w:p>
        <w:p>
          <w:pPr>
            <w:pStyle w:val="TOC2"/>
            <w:numPr>
              <w:ilvl w:val="0"/>
              <w:numId w:val="28"/>
            </w:numPr>
            <w:tabs>
              <w:tab w:val="left" w:pos="1258"/>
              <w:tab w:val="right" w:leader="dot" w:pos="9328"/>
            </w:tabs>
            <w:spacing w:before="113" w:after="0" w:line="240" w:lineRule="auto"/>
            <w:ind w:left="1258" w:right="0" w:hanging="335"/>
            <w:jc w:val="left"/>
          </w:pPr>
          <w:hyperlink w:anchor="_TOC_250011" w:history="1">
            <w:r>
              <w:t>项目指标要求与投标人建议</w:t>
            </w:r>
            <w:r>
              <w:rPr>
                <w:spacing w:val="-10"/>
              </w:rPr>
              <w:t>表</w:t>
            </w:r>
            <w:r>
              <w:rPr>
                <w:rFonts w:ascii="Times New Roman" w:eastAsia="Times New Roman"/>
              </w:rPr>
              <w:tab/>
            </w:r>
            <w:r>
              <w:rPr>
                <w:spacing w:val="-5"/>
              </w:rPr>
              <w:t>51</w:t>
            </w:r>
          </w:hyperlink>
        </w:p>
        <w:p>
          <w:pPr>
            <w:pStyle w:val="TOC2"/>
            <w:numPr>
              <w:ilvl w:val="0"/>
              <w:numId w:val="28"/>
            </w:numPr>
            <w:tabs>
              <w:tab w:val="left" w:pos="1258"/>
              <w:tab w:val="right" w:leader="dot" w:pos="9328"/>
            </w:tabs>
            <w:spacing w:before="112" w:after="0" w:line="240" w:lineRule="auto"/>
            <w:ind w:left="1258" w:right="0" w:hanging="335"/>
            <w:jc w:val="left"/>
          </w:pPr>
          <w:hyperlink w:anchor="_TOC_250010" w:history="1">
            <w:r>
              <w:t>投标人基本情况</w:t>
            </w:r>
            <w:r>
              <w:rPr>
                <w:spacing w:val="-10"/>
              </w:rPr>
              <w:t>表</w:t>
            </w:r>
            <w:r>
              <w:rPr>
                <w:rFonts w:ascii="Times New Roman" w:eastAsia="Times New Roman"/>
              </w:rPr>
              <w:tab/>
            </w:r>
            <w:r>
              <w:rPr>
                <w:spacing w:val="-5"/>
              </w:rPr>
              <w:t>52</w:t>
            </w:r>
          </w:hyperlink>
        </w:p>
        <w:p>
          <w:pPr>
            <w:pStyle w:val="TOC2"/>
            <w:numPr>
              <w:ilvl w:val="0"/>
              <w:numId w:val="28"/>
            </w:numPr>
            <w:tabs>
              <w:tab w:val="left" w:pos="1258"/>
              <w:tab w:val="right" w:leader="dot" w:pos="9328"/>
            </w:tabs>
            <w:spacing w:before="113" w:after="0" w:line="240" w:lineRule="auto"/>
            <w:ind w:left="1258" w:right="0" w:hanging="335"/>
            <w:jc w:val="left"/>
          </w:pPr>
          <w:hyperlink w:anchor="_TOC_250009" w:history="1">
            <w:r>
              <w:t>2010-2013</w:t>
            </w:r>
            <w:r>
              <w:rPr>
                <w:spacing w:val="-60"/>
              </w:rPr>
              <w:t xml:space="preserve"> </w:t>
            </w:r>
            <w:r>
              <w:t>年度投标人受处理情</w:t>
            </w:r>
            <w:r>
              <w:rPr>
                <w:spacing w:val="-10"/>
              </w:rPr>
              <w:t>况</w:t>
            </w:r>
            <w:r>
              <w:rPr>
                <w:rFonts w:ascii="Times New Roman" w:eastAsia="Times New Roman"/>
              </w:rPr>
              <w:tab/>
            </w:r>
            <w:r>
              <w:rPr>
                <w:spacing w:val="-5"/>
              </w:rPr>
              <w:t>54</w:t>
            </w:r>
          </w:hyperlink>
        </w:p>
        <w:p>
          <w:pPr>
            <w:pStyle w:val="TOC2"/>
            <w:numPr>
              <w:ilvl w:val="0"/>
              <w:numId w:val="28"/>
            </w:numPr>
            <w:tabs>
              <w:tab w:val="left" w:pos="1378"/>
              <w:tab w:val="right" w:leader="dot" w:pos="9328"/>
            </w:tabs>
            <w:spacing w:before="112" w:after="0" w:line="240" w:lineRule="auto"/>
            <w:ind w:left="1378" w:right="0" w:hanging="455"/>
            <w:jc w:val="left"/>
          </w:pPr>
          <w:hyperlink w:anchor="_TOC_250008" w:history="1">
            <w:r>
              <w:t>项目负责人简历</w:t>
            </w:r>
            <w:r>
              <w:rPr>
                <w:spacing w:val="-10"/>
              </w:rPr>
              <w:t>表</w:t>
            </w:r>
            <w:r>
              <w:rPr>
                <w:rFonts w:ascii="Times New Roman" w:eastAsia="Times New Roman"/>
              </w:rPr>
              <w:tab/>
            </w:r>
            <w:r>
              <w:rPr>
                <w:spacing w:val="-5"/>
              </w:rPr>
              <w:t>55</w:t>
            </w:r>
          </w:hyperlink>
        </w:p>
        <w:p>
          <w:pPr>
            <w:pStyle w:val="TOC2"/>
            <w:numPr>
              <w:ilvl w:val="0"/>
              <w:numId w:val="28"/>
            </w:numPr>
            <w:tabs>
              <w:tab w:val="left" w:pos="1378"/>
              <w:tab w:val="right" w:leader="dot" w:pos="9328"/>
            </w:tabs>
            <w:spacing w:before="113" w:after="0" w:line="240" w:lineRule="auto"/>
            <w:ind w:left="1378" w:right="0" w:hanging="455"/>
            <w:jc w:val="left"/>
          </w:pPr>
          <w:hyperlink w:anchor="_TOC_250007" w:history="1">
            <w:r>
              <w:t>拟定该项目实施和售后服务主要技术人员情况</w:t>
            </w:r>
            <w:r>
              <w:rPr>
                <w:spacing w:val="-10"/>
              </w:rPr>
              <w:t>表</w:t>
            </w:r>
            <w:r>
              <w:rPr>
                <w:rFonts w:ascii="Times New Roman" w:eastAsia="Times New Roman"/>
              </w:rPr>
              <w:tab/>
            </w:r>
            <w:r>
              <w:rPr>
                <w:spacing w:val="-5"/>
              </w:rPr>
              <w:t>56</w:t>
            </w:r>
          </w:hyperlink>
        </w:p>
        <w:p>
          <w:pPr>
            <w:pStyle w:val="TOC2"/>
            <w:numPr>
              <w:ilvl w:val="0"/>
              <w:numId w:val="28"/>
            </w:numPr>
            <w:tabs>
              <w:tab w:val="left" w:pos="1378"/>
              <w:tab w:val="right" w:leader="dot" w:pos="9328"/>
            </w:tabs>
            <w:spacing w:before="112" w:after="0" w:line="240" w:lineRule="auto"/>
            <w:ind w:left="1378" w:right="0" w:hanging="455"/>
            <w:jc w:val="left"/>
          </w:pPr>
          <w:hyperlink w:anchor="_TOC_250006" w:history="1">
            <w:r>
              <w:t>2011</w:t>
            </w:r>
            <w:r>
              <w:rPr>
                <w:spacing w:val="-60"/>
              </w:rPr>
              <w:t xml:space="preserve"> </w:t>
            </w:r>
            <w:r>
              <w:t>年以来的相关项目一览</w:t>
            </w:r>
            <w:r>
              <w:rPr>
                <w:spacing w:val="-10"/>
              </w:rPr>
              <w:t>表</w:t>
            </w:r>
            <w:r>
              <w:rPr>
                <w:rFonts w:ascii="Times New Roman" w:eastAsia="Times New Roman"/>
              </w:rPr>
              <w:tab/>
            </w:r>
            <w:r>
              <w:rPr>
                <w:spacing w:val="-5"/>
              </w:rPr>
              <w:t>57</w:t>
            </w:r>
          </w:hyperlink>
        </w:p>
        <w:p>
          <w:pPr>
            <w:pStyle w:val="TOC2"/>
            <w:numPr>
              <w:ilvl w:val="0"/>
              <w:numId w:val="28"/>
            </w:numPr>
            <w:tabs>
              <w:tab w:val="left" w:pos="1378"/>
              <w:tab w:val="right" w:leader="dot" w:pos="9328"/>
            </w:tabs>
            <w:spacing w:before="113" w:after="0" w:line="240" w:lineRule="auto"/>
            <w:ind w:left="1378" w:right="0" w:hanging="455"/>
            <w:jc w:val="left"/>
          </w:pPr>
          <w:hyperlink w:anchor="_TOC_250005" w:history="1">
            <w:r>
              <w:t>法定代表人授权</w:t>
            </w:r>
            <w:r>
              <w:rPr>
                <w:spacing w:val="-10"/>
              </w:rPr>
              <w:t>书</w:t>
            </w:r>
            <w:r>
              <w:rPr>
                <w:rFonts w:ascii="Times New Roman" w:eastAsia="Times New Roman"/>
              </w:rPr>
              <w:tab/>
            </w:r>
            <w:r>
              <w:rPr>
                <w:spacing w:val="-5"/>
              </w:rPr>
              <w:t>58</w:t>
            </w:r>
          </w:hyperlink>
        </w:p>
        <w:p>
          <w:pPr>
            <w:pStyle w:val="TOC2"/>
            <w:numPr>
              <w:ilvl w:val="0"/>
              <w:numId w:val="28"/>
            </w:numPr>
            <w:tabs>
              <w:tab w:val="left" w:pos="1378"/>
              <w:tab w:val="right" w:leader="dot" w:pos="9328"/>
            </w:tabs>
            <w:spacing w:before="112" w:after="0" w:line="240" w:lineRule="auto"/>
            <w:ind w:left="1378" w:right="0" w:hanging="455"/>
            <w:jc w:val="left"/>
          </w:pPr>
          <w:hyperlink w:anchor="_TOC_250004" w:history="1">
            <w:r>
              <w:t>投标保证金汇入情况说</w:t>
            </w:r>
            <w:r>
              <w:rPr>
                <w:spacing w:val="-10"/>
              </w:rPr>
              <w:t>明</w:t>
            </w:r>
            <w:r>
              <w:rPr>
                <w:rFonts w:ascii="Times New Roman" w:eastAsia="Times New Roman"/>
              </w:rPr>
              <w:tab/>
            </w:r>
            <w:r>
              <w:rPr>
                <w:spacing w:val="-5"/>
              </w:rPr>
              <w:t>59</w:t>
            </w:r>
          </w:hyperlink>
        </w:p>
        <w:p>
          <w:pPr>
            <w:pStyle w:val="TOC2"/>
            <w:numPr>
              <w:ilvl w:val="0"/>
              <w:numId w:val="28"/>
            </w:numPr>
            <w:tabs>
              <w:tab w:val="left" w:pos="1378"/>
              <w:tab w:val="right" w:leader="dot" w:pos="9328"/>
            </w:tabs>
            <w:spacing w:before="113" w:after="0" w:line="240" w:lineRule="auto"/>
            <w:ind w:left="1378" w:right="0" w:hanging="455"/>
            <w:jc w:val="left"/>
          </w:pPr>
          <w:hyperlink w:anchor="_TOC_250003" w:history="1">
            <w:r>
              <w:t>资格证明文</w:t>
            </w:r>
            <w:r>
              <w:rPr>
                <w:spacing w:val="-10"/>
              </w:rPr>
              <w:t>件</w:t>
            </w:r>
            <w:r>
              <w:rPr>
                <w:rFonts w:ascii="Times New Roman" w:eastAsia="Times New Roman"/>
              </w:rPr>
              <w:tab/>
            </w:r>
            <w:r>
              <w:rPr>
                <w:spacing w:val="-5"/>
              </w:rPr>
              <w:t>60</w:t>
            </w:r>
          </w:hyperlink>
        </w:p>
        <w:p>
          <w:pPr>
            <w:pStyle w:val="TOC1"/>
            <w:tabs>
              <w:tab w:val="right" w:leader="dot" w:pos="9328"/>
            </w:tabs>
          </w:pPr>
          <w:hyperlink w:anchor="_TOC_250002" w:history="1">
            <w:r>
              <w:t>二、</w:t>
            </w:r>
            <w:r>
              <w:rPr>
                <w:spacing w:val="-25"/>
              </w:rPr>
              <w:t xml:space="preserve"> </w:t>
            </w:r>
            <w:r>
              <w:t>价格</w:t>
            </w:r>
            <w:r>
              <w:rPr>
                <w:spacing w:val="-10"/>
              </w:rPr>
              <w:t>标</w:t>
            </w:r>
            <w:r>
              <w:rPr>
                <w:rFonts w:ascii="Times New Roman" w:eastAsia="Times New Roman"/>
              </w:rPr>
              <w:tab/>
            </w:r>
            <w:r>
              <w:rPr>
                <w:spacing w:val="-5"/>
              </w:rPr>
              <w:t>61</w:t>
            </w:r>
          </w:hyperlink>
        </w:p>
        <w:p>
          <w:pPr>
            <w:pStyle w:val="TOC2"/>
            <w:numPr>
              <w:ilvl w:val="0"/>
              <w:numId w:val="28"/>
            </w:numPr>
            <w:tabs>
              <w:tab w:val="left" w:pos="1378"/>
              <w:tab w:val="right" w:leader="dot" w:pos="9328"/>
            </w:tabs>
            <w:spacing w:before="113" w:after="0" w:line="240" w:lineRule="auto"/>
            <w:ind w:left="1378" w:right="0" w:hanging="455"/>
            <w:jc w:val="left"/>
          </w:pPr>
          <w:hyperlink w:anchor="_TOC_250001" w:history="1">
            <w:r>
              <w:t>开标一览</w:t>
            </w:r>
            <w:r>
              <w:rPr>
                <w:spacing w:val="-10"/>
              </w:rPr>
              <w:t>表</w:t>
            </w:r>
            <w:r>
              <w:rPr>
                <w:rFonts w:ascii="Times New Roman" w:eastAsia="Times New Roman"/>
              </w:rPr>
              <w:tab/>
            </w:r>
            <w:r>
              <w:rPr>
                <w:spacing w:val="-5"/>
              </w:rPr>
              <w:t>62</w:t>
            </w:r>
          </w:hyperlink>
        </w:p>
        <w:p>
          <w:pPr>
            <w:pStyle w:val="TOC2"/>
            <w:numPr>
              <w:ilvl w:val="0"/>
              <w:numId w:val="28"/>
            </w:numPr>
            <w:tabs>
              <w:tab w:val="left" w:pos="1378"/>
              <w:tab w:val="right" w:leader="dot" w:pos="9328"/>
            </w:tabs>
            <w:spacing w:before="112" w:after="0" w:line="240" w:lineRule="auto"/>
            <w:ind w:left="1378" w:right="0" w:hanging="455"/>
            <w:jc w:val="left"/>
          </w:pPr>
          <w:hyperlink w:anchor="_TOC_250000" w:history="1">
            <w:r>
              <w:t>产品详细报价清</w:t>
            </w:r>
            <w:r>
              <w:rPr>
                <w:spacing w:val="-10"/>
              </w:rPr>
              <w:t>单</w:t>
            </w:r>
            <w:r>
              <w:rPr>
                <w:rFonts w:ascii="Times New Roman" w:eastAsia="Times New Roman"/>
              </w:rPr>
              <w:tab/>
            </w:r>
            <w:r>
              <w:rPr>
                <w:spacing w:val="-5"/>
              </w:rPr>
              <w:t>63</w:t>
            </w:r>
          </w:hyperlink>
        </w:p>
      </w:sdtContent>
    </w:sdt>
    <w:p>
      <w:pPr>
        <w:spacing w:after="0" w:line="240" w:lineRule="auto"/>
        <w:jc w:val="left"/>
        <w:sectPr>
          <w:headerReference w:type="default" r:id="rId4"/>
          <w:footerReference w:type="default" r:id="rId5"/>
          <w:pgSz w:w="11910" w:h="16840"/>
          <w:pgMar w:top="1080" w:right="1060" w:bottom="1040" w:left="1160" w:header="700" w:footer="841"/>
          <w:pgNumType w:start="1"/>
          <w:cols w:space="708"/>
        </w:sectPr>
      </w:pPr>
    </w:p>
    <w:p>
      <w:pPr>
        <w:pStyle w:val="Heading1"/>
        <w:spacing w:line="514" w:lineRule="exact"/>
        <w:ind w:left="383" w:right="5"/>
      </w:pPr>
      <w:r>
        <w:rPr>
          <w:spacing w:val="-2"/>
        </w:rPr>
        <w:t>招标邀请函</w:t>
      </w:r>
    </w:p>
    <w:p>
      <w:pPr>
        <w:pStyle w:val="BodyText"/>
        <w:spacing w:line="277" w:lineRule="exact"/>
        <w:ind w:left="738"/>
      </w:pPr>
      <w:r>
        <w:rPr>
          <w:spacing w:val="-2"/>
        </w:rPr>
        <w:t>广东志正招标有限公司（以下简称“采购代理机构”）</w:t>
      </w:r>
      <w:r>
        <w:rPr>
          <w:spacing w:val="-3"/>
        </w:rPr>
        <w:t>受招标人东莞市电子政务办</w:t>
      </w:r>
    </w:p>
    <w:p>
      <w:pPr>
        <w:pStyle w:val="BodyText"/>
        <w:spacing w:before="12" w:line="249" w:lineRule="auto"/>
        <w:ind w:left="258" w:right="313"/>
      </w:pPr>
      <w:r>
        <w:rPr>
          <w:spacing w:val="-2"/>
        </w:rPr>
        <w:t>公室的委托，就以下项目进行国内公开招标，接受合格的投标人提交密封投标文件。有</w:t>
      </w:r>
      <w:r>
        <w:rPr>
          <w:spacing w:val="-2"/>
        </w:rPr>
        <w:t>关事项如下：</w:t>
      </w:r>
    </w:p>
    <w:p>
      <w:pPr>
        <w:pStyle w:val="ListParagraph"/>
        <w:numPr>
          <w:ilvl w:val="0"/>
          <w:numId w:val="29"/>
        </w:numPr>
        <w:tabs>
          <w:tab w:val="left" w:pos="881"/>
          <w:tab w:val="left" w:pos="882"/>
        </w:tabs>
        <w:spacing w:before="0" w:after="0" w:line="305" w:lineRule="exact"/>
        <w:ind w:left="881" w:right="0" w:hanging="567"/>
        <w:jc w:val="left"/>
        <w:rPr>
          <w:sz w:val="24"/>
        </w:rPr>
      </w:pPr>
      <w:r>
        <w:rPr>
          <w:spacing w:val="-1"/>
          <w:sz w:val="24"/>
        </w:rPr>
        <w:t>项目名称：电子政务外网核心网络设备升级及通用网管软件采购项目</w:t>
      </w:r>
    </w:p>
    <w:p>
      <w:pPr>
        <w:pStyle w:val="ListParagraph"/>
        <w:numPr>
          <w:ilvl w:val="0"/>
          <w:numId w:val="29"/>
        </w:numPr>
        <w:tabs>
          <w:tab w:val="left" w:pos="881"/>
          <w:tab w:val="left" w:pos="882"/>
        </w:tabs>
        <w:spacing w:before="0" w:after="0" w:line="320" w:lineRule="exact"/>
        <w:ind w:left="881" w:right="0" w:hanging="567"/>
        <w:jc w:val="left"/>
        <w:rPr>
          <w:sz w:val="24"/>
        </w:rPr>
      </w:pPr>
      <w:r>
        <w:rPr>
          <w:sz w:val="24"/>
        </w:rPr>
        <w:t>招标编号：东采公〔2013〕886</w:t>
      </w:r>
      <w:r>
        <w:rPr>
          <w:spacing w:val="-35"/>
          <w:sz w:val="24"/>
        </w:rPr>
        <w:t xml:space="preserve"> 号</w:t>
      </w:r>
    </w:p>
    <w:p>
      <w:pPr>
        <w:pStyle w:val="ListParagraph"/>
        <w:numPr>
          <w:ilvl w:val="0"/>
          <w:numId w:val="29"/>
        </w:numPr>
        <w:tabs>
          <w:tab w:val="left" w:pos="881"/>
          <w:tab w:val="left" w:pos="882"/>
        </w:tabs>
        <w:spacing w:before="0" w:after="0" w:line="320" w:lineRule="exact"/>
        <w:ind w:left="881" w:right="0" w:hanging="567"/>
        <w:jc w:val="left"/>
        <w:rPr>
          <w:sz w:val="24"/>
        </w:rPr>
      </w:pPr>
      <w:r>
        <w:rPr>
          <w:spacing w:val="-1"/>
          <w:sz w:val="24"/>
        </w:rPr>
        <w:t>招标内容：核心网络设备升级、通用网管软件采购及相关的售后服务。</w:t>
      </w:r>
    </w:p>
    <w:p>
      <w:pPr>
        <w:pStyle w:val="ListParagraph"/>
        <w:numPr>
          <w:ilvl w:val="0"/>
          <w:numId w:val="29"/>
        </w:numPr>
        <w:tabs>
          <w:tab w:val="left" w:pos="881"/>
          <w:tab w:val="left" w:pos="882"/>
        </w:tabs>
        <w:spacing w:before="0" w:after="0" w:line="320" w:lineRule="exact"/>
        <w:ind w:left="881" w:right="0" w:hanging="567"/>
        <w:jc w:val="left"/>
        <w:rPr>
          <w:sz w:val="24"/>
        </w:rPr>
      </w:pPr>
      <w:r>
        <w:rPr>
          <w:spacing w:val="-1"/>
          <w:sz w:val="24"/>
        </w:rPr>
        <w:t>项目完成时间与交货地点：详见用户需求部分。</w:t>
      </w:r>
    </w:p>
    <w:p>
      <w:pPr>
        <w:pStyle w:val="ListParagraph"/>
        <w:numPr>
          <w:ilvl w:val="0"/>
          <w:numId w:val="29"/>
        </w:numPr>
        <w:tabs>
          <w:tab w:val="left" w:pos="881"/>
          <w:tab w:val="left" w:pos="882"/>
        </w:tabs>
        <w:spacing w:before="0" w:after="0" w:line="358" w:lineRule="exact"/>
        <w:ind w:left="881" w:right="0" w:hanging="567"/>
        <w:jc w:val="left"/>
        <w:rPr>
          <w:sz w:val="24"/>
        </w:rPr>
      </w:pPr>
      <w:r>
        <w:rPr>
          <w:spacing w:val="-1"/>
          <w:sz w:val="24"/>
        </w:rPr>
        <w:t>投标人的资质要求：在中华人民共和国境内注册，能独立承担民事责任，营业执</w:t>
      </w:r>
    </w:p>
    <w:p>
      <w:pPr>
        <w:pStyle w:val="BodyText"/>
        <w:spacing w:line="253" w:lineRule="exact"/>
        <w:ind w:left="882"/>
      </w:pPr>
      <w:r>
        <w:t>照具有合法经营资格（具备相关的经营范围）</w:t>
      </w:r>
      <w:r>
        <w:rPr>
          <w:spacing w:val="-2"/>
        </w:rPr>
        <w:t>的国内独立法人。</w:t>
      </w:r>
    </w:p>
    <w:p>
      <w:pPr>
        <w:pStyle w:val="ListParagraph"/>
        <w:numPr>
          <w:ilvl w:val="0"/>
          <w:numId w:val="29"/>
        </w:numPr>
        <w:tabs>
          <w:tab w:val="left" w:pos="881"/>
          <w:tab w:val="left" w:pos="882"/>
        </w:tabs>
        <w:spacing w:before="0" w:after="0" w:line="387" w:lineRule="exact"/>
        <w:ind w:left="881" w:right="0" w:hanging="567"/>
        <w:jc w:val="left"/>
        <w:rPr>
          <w:sz w:val="24"/>
        </w:rPr>
      </w:pPr>
      <w:r>
        <w:rPr>
          <w:sz w:val="24"/>
        </w:rPr>
        <w:t>本招标文件规定的时间（北京时间</w:t>
      </w:r>
      <w:r>
        <w:rPr>
          <w:spacing w:val="-5"/>
          <w:sz w:val="24"/>
        </w:rPr>
        <w:t>）：</w:t>
      </w:r>
    </w:p>
    <w:p>
      <w:pPr>
        <w:pStyle w:val="ListParagraph"/>
        <w:numPr>
          <w:ilvl w:val="1"/>
          <w:numId w:val="29"/>
        </w:numPr>
        <w:tabs>
          <w:tab w:val="left" w:pos="1584"/>
          <w:tab w:val="left" w:pos="1585"/>
        </w:tabs>
        <w:spacing w:before="0" w:after="0" w:line="285" w:lineRule="exact"/>
        <w:ind w:left="1584" w:right="0" w:hanging="907"/>
        <w:jc w:val="left"/>
        <w:rPr>
          <w:sz w:val="24"/>
        </w:rPr>
      </w:pPr>
      <w:r>
        <w:rPr>
          <w:spacing w:val="-9"/>
          <w:sz w:val="24"/>
        </w:rPr>
        <w:t>本项目招标文件公示时间为：</w:t>
      </w:r>
      <w:r>
        <w:rPr>
          <w:spacing w:val="-4"/>
          <w:sz w:val="24"/>
        </w:rPr>
        <w:t>2013</w:t>
      </w:r>
      <w:r>
        <w:rPr>
          <w:spacing w:val="-38"/>
          <w:sz w:val="24"/>
        </w:rPr>
        <w:t xml:space="preserve"> 年 </w:t>
      </w:r>
      <w:r>
        <w:rPr>
          <w:spacing w:val="-4"/>
          <w:sz w:val="24"/>
        </w:rPr>
        <w:t>11</w:t>
      </w:r>
      <w:r>
        <w:rPr>
          <w:spacing w:val="-38"/>
          <w:sz w:val="24"/>
        </w:rPr>
        <w:t xml:space="preserve"> 月 </w:t>
      </w:r>
      <w:r>
        <w:rPr>
          <w:spacing w:val="-4"/>
          <w:sz w:val="24"/>
        </w:rPr>
        <w:t>18</w:t>
      </w:r>
      <w:r>
        <w:rPr>
          <w:spacing w:val="-29"/>
          <w:sz w:val="24"/>
        </w:rPr>
        <w:t xml:space="preserve"> 日至 </w:t>
      </w:r>
      <w:r>
        <w:rPr>
          <w:spacing w:val="-4"/>
          <w:sz w:val="24"/>
        </w:rPr>
        <w:t>2013</w:t>
      </w:r>
      <w:r>
        <w:rPr>
          <w:spacing w:val="-38"/>
          <w:sz w:val="24"/>
        </w:rPr>
        <w:t xml:space="preserve"> 年 </w:t>
      </w:r>
      <w:r>
        <w:rPr>
          <w:spacing w:val="-4"/>
          <w:sz w:val="24"/>
        </w:rPr>
        <w:t>11</w:t>
      </w:r>
      <w:r>
        <w:rPr>
          <w:spacing w:val="-38"/>
          <w:sz w:val="24"/>
        </w:rPr>
        <w:t xml:space="preserve"> 月 </w:t>
      </w:r>
      <w:r>
        <w:rPr>
          <w:spacing w:val="-4"/>
          <w:sz w:val="24"/>
        </w:rPr>
        <w:t>22</w:t>
      </w:r>
      <w:r>
        <w:rPr>
          <w:spacing w:val="-29"/>
          <w:sz w:val="24"/>
        </w:rPr>
        <w:t xml:space="preserve"> 日</w:t>
      </w:r>
      <w:r>
        <w:rPr>
          <w:spacing w:val="-4"/>
          <w:sz w:val="24"/>
        </w:rPr>
        <w:t>（</w:t>
      </w:r>
      <w:r>
        <w:rPr>
          <w:spacing w:val="-10"/>
          <w:sz w:val="24"/>
        </w:rPr>
        <w:t>共</w:t>
      </w:r>
    </w:p>
    <w:p>
      <w:pPr>
        <w:pStyle w:val="BodyText"/>
        <w:spacing w:before="13"/>
        <w:ind w:left="1585"/>
      </w:pPr>
      <w:r>
        <w:t>5</w:t>
      </w:r>
      <w:r>
        <w:rPr>
          <w:spacing w:val="-12"/>
        </w:rPr>
        <w:t xml:space="preserve"> 个工作日</w:t>
      </w:r>
      <w:r>
        <w:t>）</w:t>
      </w:r>
      <w:r>
        <w:rPr>
          <w:spacing w:val="-10"/>
        </w:rPr>
        <w:t>。</w:t>
      </w:r>
    </w:p>
    <w:p>
      <w:pPr>
        <w:pStyle w:val="ListParagraph"/>
        <w:numPr>
          <w:ilvl w:val="1"/>
          <w:numId w:val="29"/>
        </w:numPr>
        <w:tabs>
          <w:tab w:val="left" w:pos="1584"/>
          <w:tab w:val="left" w:pos="1585"/>
        </w:tabs>
        <w:spacing w:before="12" w:after="0" w:line="249" w:lineRule="auto"/>
        <w:ind w:left="1585" w:right="313" w:hanging="907"/>
        <w:jc w:val="left"/>
        <w:rPr>
          <w:sz w:val="24"/>
        </w:rPr>
      </w:pPr>
      <w:r>
        <w:rPr>
          <w:spacing w:val="-4"/>
          <w:sz w:val="24"/>
        </w:rPr>
        <w:t>报名及购买招标文件时间：2013</w:t>
      </w:r>
      <w:r>
        <w:rPr>
          <w:spacing w:val="-39"/>
          <w:sz w:val="24"/>
        </w:rPr>
        <w:t xml:space="preserve"> 年 </w:t>
      </w:r>
      <w:r>
        <w:rPr>
          <w:spacing w:val="-4"/>
          <w:sz w:val="24"/>
        </w:rPr>
        <w:t>11</w:t>
      </w:r>
      <w:r>
        <w:rPr>
          <w:spacing w:val="-39"/>
          <w:sz w:val="24"/>
        </w:rPr>
        <w:t xml:space="preserve"> 月 </w:t>
      </w:r>
      <w:r>
        <w:rPr>
          <w:spacing w:val="-4"/>
          <w:sz w:val="24"/>
        </w:rPr>
        <w:t>18</w:t>
      </w:r>
      <w:r>
        <w:rPr>
          <w:spacing w:val="-31"/>
          <w:sz w:val="24"/>
        </w:rPr>
        <w:t xml:space="preserve"> 日至 </w:t>
      </w:r>
      <w:r>
        <w:rPr>
          <w:spacing w:val="-4"/>
          <w:sz w:val="24"/>
        </w:rPr>
        <w:t>2013</w:t>
      </w:r>
      <w:r>
        <w:rPr>
          <w:spacing w:val="-39"/>
          <w:sz w:val="24"/>
        </w:rPr>
        <w:t xml:space="preserve"> 年 </w:t>
      </w:r>
      <w:r>
        <w:rPr>
          <w:spacing w:val="-4"/>
          <w:sz w:val="24"/>
        </w:rPr>
        <w:t>12</w:t>
      </w:r>
      <w:r>
        <w:rPr>
          <w:spacing w:val="-39"/>
          <w:sz w:val="24"/>
        </w:rPr>
        <w:t xml:space="preserve"> 月 </w:t>
      </w:r>
      <w:r>
        <w:rPr>
          <w:spacing w:val="-4"/>
          <w:sz w:val="24"/>
        </w:rPr>
        <w:t>09</w:t>
      </w:r>
      <w:r>
        <w:rPr>
          <w:spacing w:val="-30"/>
          <w:sz w:val="24"/>
        </w:rPr>
        <w:t xml:space="preserve"> 日</w:t>
      </w:r>
      <w:r>
        <w:rPr>
          <w:spacing w:val="-4"/>
          <w:sz w:val="24"/>
        </w:rPr>
        <w:t>（节假</w:t>
      </w:r>
      <w:r>
        <w:rPr>
          <w:sz w:val="24"/>
        </w:rPr>
        <w:t>日除外）</w:t>
      </w:r>
      <w:r>
        <w:rPr>
          <w:spacing w:val="-5"/>
          <w:sz w:val="24"/>
        </w:rPr>
        <w:t xml:space="preserve">每天上午 </w:t>
      </w:r>
      <w:r>
        <w:rPr>
          <w:sz w:val="24"/>
        </w:rPr>
        <w:t>9:00～11：30，</w:t>
      </w:r>
      <w:r>
        <w:rPr>
          <w:spacing w:val="-7"/>
          <w:sz w:val="24"/>
        </w:rPr>
        <w:t xml:space="preserve">下午 </w:t>
      </w:r>
      <w:r>
        <w:rPr>
          <w:sz w:val="24"/>
        </w:rPr>
        <w:t>2:00～5：00。</w:t>
      </w:r>
    </w:p>
    <w:p>
      <w:pPr>
        <w:pStyle w:val="ListParagraph"/>
        <w:numPr>
          <w:ilvl w:val="1"/>
          <w:numId w:val="29"/>
        </w:numPr>
        <w:tabs>
          <w:tab w:val="left" w:pos="1584"/>
          <w:tab w:val="left" w:pos="1585"/>
        </w:tabs>
        <w:spacing w:before="1" w:after="0" w:line="275" w:lineRule="exact"/>
        <w:ind w:left="1584" w:right="0" w:hanging="907"/>
        <w:jc w:val="left"/>
        <w:rPr>
          <w:sz w:val="24"/>
        </w:rPr>
      </w:pPr>
      <w:r>
        <w:rPr>
          <w:sz w:val="24"/>
        </w:rPr>
        <w:t>递交投标文件截止时间和开标时间：2013</w:t>
      </w:r>
      <w:r>
        <w:rPr>
          <w:spacing w:val="-40"/>
          <w:sz w:val="24"/>
        </w:rPr>
        <w:t xml:space="preserve"> 年 </w:t>
      </w:r>
      <w:r>
        <w:rPr>
          <w:sz w:val="24"/>
        </w:rPr>
        <w:t>12</w:t>
      </w:r>
      <w:r>
        <w:rPr>
          <w:spacing w:val="-40"/>
          <w:sz w:val="24"/>
        </w:rPr>
        <w:t xml:space="preserve"> 月 </w:t>
      </w:r>
      <w:r>
        <w:rPr>
          <w:sz w:val="24"/>
        </w:rPr>
        <w:t>10</w:t>
      </w:r>
      <w:r>
        <w:rPr>
          <w:spacing w:val="-20"/>
          <w:sz w:val="24"/>
        </w:rPr>
        <w:t xml:space="preserve"> 日 上午 </w:t>
      </w:r>
      <w:r>
        <w:rPr>
          <w:sz w:val="24"/>
        </w:rPr>
        <w:t>9:30</w:t>
      </w:r>
      <w:r>
        <w:rPr>
          <w:spacing w:val="-10"/>
          <w:sz w:val="24"/>
        </w:rPr>
        <w:t>。</w:t>
      </w:r>
    </w:p>
    <w:p>
      <w:pPr>
        <w:pStyle w:val="ListParagraph"/>
        <w:numPr>
          <w:ilvl w:val="0"/>
          <w:numId w:val="29"/>
        </w:numPr>
        <w:tabs>
          <w:tab w:val="left" w:pos="881"/>
          <w:tab w:val="left" w:pos="882"/>
        </w:tabs>
        <w:spacing w:before="0" w:after="0" w:line="387" w:lineRule="exact"/>
        <w:ind w:left="881" w:right="0" w:hanging="567"/>
        <w:jc w:val="left"/>
        <w:rPr>
          <w:sz w:val="24"/>
        </w:rPr>
      </w:pPr>
      <w:r>
        <w:rPr>
          <w:spacing w:val="-1"/>
          <w:sz w:val="24"/>
        </w:rPr>
        <w:t>本招标文件规定的地点：</w:t>
      </w:r>
    </w:p>
    <w:p>
      <w:pPr>
        <w:pStyle w:val="ListParagraph"/>
        <w:numPr>
          <w:ilvl w:val="1"/>
          <w:numId w:val="29"/>
        </w:numPr>
        <w:tabs>
          <w:tab w:val="left" w:pos="1591"/>
          <w:tab w:val="left" w:pos="1592"/>
        </w:tabs>
        <w:spacing w:before="0" w:after="0" w:line="285" w:lineRule="exact"/>
        <w:ind w:left="1591" w:right="0" w:hanging="914"/>
        <w:jc w:val="left"/>
        <w:rPr>
          <w:sz w:val="24"/>
        </w:rPr>
      </w:pPr>
      <w:r>
        <w:rPr>
          <w:sz w:val="24"/>
        </w:rPr>
        <w:t>发售招标文件地点：东莞市政府采购招投标服务大厅（</w:t>
      </w:r>
      <w:r>
        <w:rPr>
          <w:spacing w:val="-3"/>
          <w:sz w:val="24"/>
        </w:rPr>
        <w:t xml:space="preserve">东莞市体育路 </w:t>
      </w:r>
      <w:r>
        <w:rPr>
          <w:sz w:val="24"/>
        </w:rPr>
        <w:t>2</w:t>
      </w:r>
      <w:r>
        <w:rPr>
          <w:spacing w:val="-14"/>
          <w:sz w:val="24"/>
        </w:rPr>
        <w:t xml:space="preserve"> 号</w:t>
      </w:r>
    </w:p>
    <w:p>
      <w:pPr>
        <w:pStyle w:val="BodyText"/>
        <w:spacing w:before="12"/>
        <w:ind w:left="1585"/>
      </w:pPr>
      <w:r>
        <w:rPr>
          <w:spacing w:val="-12"/>
        </w:rPr>
        <w:t xml:space="preserve">鸿禧中心 </w:t>
      </w:r>
      <w:r>
        <w:t>3</w:t>
      </w:r>
      <w:r>
        <w:rPr>
          <w:spacing w:val="-40"/>
        </w:rPr>
        <w:t xml:space="preserve"> 楼 </w:t>
      </w:r>
      <w:r>
        <w:t>B309</w:t>
      </w:r>
      <w:r>
        <w:rPr>
          <w:spacing w:val="-30"/>
        </w:rPr>
        <w:t xml:space="preserve"> 室</w:t>
      </w:r>
      <w:r>
        <w:rPr>
          <w:spacing w:val="-120"/>
        </w:rPr>
        <w:t>）</w:t>
      </w:r>
      <w:r>
        <w:rPr>
          <w:spacing w:val="-10"/>
        </w:rPr>
        <w:t>。</w:t>
      </w:r>
    </w:p>
    <w:p>
      <w:pPr>
        <w:pStyle w:val="ListParagraph"/>
        <w:numPr>
          <w:ilvl w:val="1"/>
          <w:numId w:val="29"/>
        </w:numPr>
        <w:tabs>
          <w:tab w:val="left" w:pos="1584"/>
          <w:tab w:val="left" w:pos="1585"/>
        </w:tabs>
        <w:spacing w:before="13" w:after="0" w:line="240" w:lineRule="auto"/>
        <w:ind w:left="1584" w:right="0" w:hanging="907"/>
        <w:jc w:val="left"/>
        <w:rPr>
          <w:sz w:val="24"/>
        </w:rPr>
      </w:pPr>
      <w:r>
        <w:rPr>
          <w:spacing w:val="-1"/>
          <w:sz w:val="24"/>
        </w:rPr>
        <w:t>递交投标文件地点：东莞市政府采购招投标服务大厅开标室。</w:t>
      </w:r>
    </w:p>
    <w:p>
      <w:pPr>
        <w:pStyle w:val="ListParagraph"/>
        <w:numPr>
          <w:ilvl w:val="1"/>
          <w:numId w:val="29"/>
        </w:numPr>
        <w:tabs>
          <w:tab w:val="left" w:pos="1584"/>
          <w:tab w:val="left" w:pos="1585"/>
        </w:tabs>
        <w:spacing w:before="12" w:after="0" w:line="275" w:lineRule="exact"/>
        <w:ind w:left="1584" w:right="0" w:hanging="907"/>
        <w:jc w:val="left"/>
        <w:rPr>
          <w:sz w:val="24"/>
        </w:rPr>
      </w:pPr>
      <w:r>
        <w:rPr>
          <w:spacing w:val="-1"/>
          <w:sz w:val="24"/>
        </w:rPr>
        <w:t>评标地点：东莞市政府采购招投标服务大厅评标室。</w:t>
      </w:r>
    </w:p>
    <w:p>
      <w:pPr>
        <w:pStyle w:val="ListParagraph"/>
        <w:numPr>
          <w:ilvl w:val="0"/>
          <w:numId w:val="29"/>
        </w:numPr>
        <w:tabs>
          <w:tab w:val="left" w:pos="881"/>
          <w:tab w:val="left" w:pos="882"/>
        </w:tabs>
        <w:spacing w:before="6" w:after="0" w:line="211" w:lineRule="auto"/>
        <w:ind w:left="882" w:right="314" w:hanging="567"/>
        <w:jc w:val="left"/>
        <w:rPr>
          <w:sz w:val="24"/>
        </w:rPr>
      </w:pPr>
      <w:r>
        <w:rPr>
          <w:spacing w:val="-3"/>
          <w:sz w:val="24"/>
        </w:rPr>
        <w:t xml:space="preserve">招标文件售价：人民币 </w:t>
      </w:r>
      <w:r>
        <w:rPr>
          <w:sz w:val="24"/>
        </w:rPr>
        <w:t>150</w:t>
      </w:r>
      <w:r>
        <w:rPr>
          <w:spacing w:val="-6"/>
          <w:sz w:val="24"/>
        </w:rPr>
        <w:t xml:space="preserve"> 元；招标文件售后不退。购买招标文件时投标人提交</w:t>
      </w:r>
      <w:r>
        <w:rPr>
          <w:spacing w:val="-2"/>
          <w:sz w:val="24"/>
        </w:rPr>
        <w:t>以下资料复印件（加盖公章）：营业执照副本、税务登记证、组织机构代码证。</w:t>
      </w:r>
    </w:p>
    <w:p>
      <w:pPr>
        <w:pStyle w:val="ListParagraph"/>
        <w:numPr>
          <w:ilvl w:val="0"/>
          <w:numId w:val="29"/>
        </w:numPr>
        <w:tabs>
          <w:tab w:val="left" w:pos="881"/>
          <w:tab w:val="left" w:pos="882"/>
        </w:tabs>
        <w:spacing w:before="0" w:after="0" w:line="362" w:lineRule="exact"/>
        <w:ind w:left="881" w:right="0" w:hanging="567"/>
        <w:jc w:val="left"/>
        <w:rPr>
          <w:sz w:val="24"/>
        </w:rPr>
      </w:pPr>
      <w:r>
        <w:rPr>
          <w:sz w:val="24"/>
          <w:u w:val="double"/>
        </w:rPr>
        <w:t>投标人需提交营业执照副本；税务登记证（国税与地税</w:t>
      </w:r>
      <w:r>
        <w:rPr>
          <w:spacing w:val="-120"/>
          <w:sz w:val="24"/>
          <w:u w:val="double"/>
        </w:rPr>
        <w:t>）</w:t>
      </w:r>
      <w:r>
        <w:rPr>
          <w:spacing w:val="-1"/>
          <w:sz w:val="24"/>
          <w:u w:val="double"/>
        </w:rPr>
        <w:t>；组织机构代码证原件；</w:t>
      </w:r>
    </w:p>
    <w:p>
      <w:pPr>
        <w:pStyle w:val="BodyText"/>
        <w:spacing w:line="285" w:lineRule="exact"/>
        <w:ind w:left="882"/>
      </w:pPr>
      <w:r>
        <w:pict>
          <v:line id="_x0000_s1025" style="mso-position-horizontal-relative:page;position:absolute;z-index:251658240" from="102.1pt,12.65pt" to="526.65pt,12.65pt" stroked="t" strokecolor="black" strokeweight="0.3pt">
            <v:stroke dashstyle="solid"/>
          </v:line>
        </w:pict>
      </w:r>
      <w:r>
        <w:rPr>
          <w:spacing w:val="-1"/>
          <w:u w:val="single"/>
        </w:rPr>
        <w:t>法人身份证；银行开户证明原件到发售招标文件地点由我公司进行东莞市政府采</w:t>
      </w:r>
    </w:p>
    <w:p>
      <w:pPr>
        <w:pStyle w:val="BodyText"/>
        <w:spacing w:before="12" w:line="275" w:lineRule="exact"/>
        <w:ind w:left="882"/>
      </w:pPr>
      <w:r>
        <w:rPr>
          <w:spacing w:val="-1"/>
          <w:u w:val="single"/>
        </w:rPr>
        <w:t>购网的供应商资料注册登记(已通过登记的投标人不需要带此原件)。</w:t>
      </w:r>
    </w:p>
    <w:p>
      <w:pPr>
        <w:pStyle w:val="BodyText"/>
        <w:spacing w:line="20" w:lineRule="exact"/>
        <w:ind w:left="882"/>
        <w:rPr>
          <w:sz w:val="2"/>
        </w:rPr>
      </w:pPr>
      <w:r>
        <w:rPr>
          <w:sz w:val="2"/>
        </w:rPr>
        <w:pict>
          <v:group id="_x0000_i1026" style="width:5in;height:0.3pt;mso-position-horizontal-relative:char;mso-position-vertical-relative:line" coordorigin="0,0" coordsize="7200,6">
            <v:line id="_x0000_s1027" style="position:absolute" from="0,3" to="7200,3" stroked="t" strokecolor="black" strokeweight="0.3pt">
              <v:stroke dashstyle="solid"/>
            </v:line>
            <w10:wrap type="none"/>
          </v:group>
        </w:pict>
      </w:r>
    </w:p>
    <w:p>
      <w:pPr>
        <w:pStyle w:val="ListParagraph"/>
        <w:numPr>
          <w:ilvl w:val="0"/>
          <w:numId w:val="29"/>
        </w:numPr>
        <w:tabs>
          <w:tab w:val="left" w:pos="881"/>
          <w:tab w:val="left" w:pos="882"/>
        </w:tabs>
        <w:spacing w:before="0" w:after="0" w:line="328" w:lineRule="exact"/>
        <w:ind w:left="881" w:right="0" w:hanging="567"/>
        <w:jc w:val="left"/>
        <w:rPr>
          <w:sz w:val="24"/>
        </w:rPr>
      </w:pPr>
      <w:r>
        <w:rPr>
          <w:spacing w:val="-8"/>
          <w:sz w:val="24"/>
        </w:rPr>
        <w:t xml:space="preserve">请各投标人自带 </w:t>
      </w:r>
      <w:r>
        <w:rPr>
          <w:sz w:val="24"/>
        </w:rPr>
        <w:t>U</w:t>
      </w:r>
      <w:r>
        <w:rPr>
          <w:spacing w:val="-9"/>
          <w:sz w:val="24"/>
        </w:rPr>
        <w:t xml:space="preserve"> 盘拷贝招标文件电子文件。</w:t>
      </w:r>
    </w:p>
    <w:p>
      <w:pPr>
        <w:pStyle w:val="ListParagraph"/>
        <w:numPr>
          <w:ilvl w:val="0"/>
          <w:numId w:val="29"/>
        </w:numPr>
        <w:tabs>
          <w:tab w:val="left" w:pos="881"/>
          <w:tab w:val="left" w:pos="882"/>
        </w:tabs>
        <w:spacing w:before="0" w:after="0" w:line="358" w:lineRule="exact"/>
        <w:ind w:left="881" w:right="0" w:hanging="567"/>
        <w:jc w:val="left"/>
        <w:rPr>
          <w:sz w:val="24"/>
        </w:rPr>
      </w:pPr>
      <w:r>
        <w:rPr>
          <w:spacing w:val="-1"/>
          <w:sz w:val="24"/>
        </w:rPr>
        <w:t>本项目的投标保证金为人民币玖万元整。投标保证金的有关事项按投标人须知的</w:t>
      </w:r>
    </w:p>
    <w:p>
      <w:pPr>
        <w:pStyle w:val="BodyText"/>
        <w:spacing w:line="253" w:lineRule="exact"/>
        <w:ind w:left="882"/>
      </w:pPr>
      <w:r>
        <w:rPr>
          <w:spacing w:val="-2"/>
        </w:rPr>
        <w:t>有关规定执行。</w:t>
      </w:r>
    </w:p>
    <w:p>
      <w:pPr>
        <w:pStyle w:val="Heading4"/>
        <w:numPr>
          <w:ilvl w:val="0"/>
          <w:numId w:val="29"/>
        </w:numPr>
        <w:tabs>
          <w:tab w:val="left" w:pos="881"/>
          <w:tab w:val="left" w:pos="882"/>
        </w:tabs>
        <w:spacing w:before="56" w:after="0" w:line="172" w:lineRule="auto"/>
        <w:ind w:left="882" w:right="315" w:hanging="567"/>
        <w:jc w:val="left"/>
        <w:rPr>
          <w:rFonts w:ascii="微软雅黑" w:eastAsia="微软雅黑"/>
        </w:rPr>
      </w:pPr>
      <w:r>
        <w:rPr>
          <w:rFonts w:ascii="微软雅黑" w:eastAsia="微软雅黑"/>
        </w:rPr>
        <w:t>购买了招标文件，而不参加投标的投标人，请在投标截止时间 3 日前以书面形式</w:t>
      </w:r>
      <w:r>
        <w:rPr>
          <w:rFonts w:ascii="微软雅黑" w:eastAsia="微软雅黑"/>
          <w:spacing w:val="-2"/>
        </w:rPr>
        <w:t>通知采购代理机构。</w:t>
      </w:r>
    </w:p>
    <w:p>
      <w:pPr>
        <w:pStyle w:val="ListParagraph"/>
        <w:numPr>
          <w:ilvl w:val="0"/>
          <w:numId w:val="29"/>
        </w:numPr>
        <w:tabs>
          <w:tab w:val="left" w:pos="881"/>
          <w:tab w:val="left" w:pos="882"/>
        </w:tabs>
        <w:spacing w:before="0" w:after="0" w:line="357" w:lineRule="exact"/>
        <w:ind w:left="881" w:right="0" w:hanging="567"/>
        <w:jc w:val="left"/>
        <w:rPr>
          <w:sz w:val="24"/>
        </w:rPr>
      </w:pPr>
      <w:r>
        <w:rPr>
          <w:spacing w:val="-1"/>
          <w:sz w:val="24"/>
        </w:rPr>
        <w:t>有关此次招标之事宜，可按下列联系方式向采购代理机构查询：</w:t>
      </w:r>
    </w:p>
    <w:p>
      <w:pPr>
        <w:pStyle w:val="BodyText"/>
        <w:tabs>
          <w:tab w:val="left" w:pos="6617"/>
        </w:tabs>
        <w:spacing w:before="5"/>
        <w:ind w:left="738"/>
      </w:pPr>
      <w:r>
        <w:t>地址:东莞市莞城东城南路东升大厦</w:t>
      </w:r>
      <w:r>
        <w:rPr>
          <w:spacing w:val="-60"/>
        </w:rPr>
        <w:t xml:space="preserve"> </w:t>
      </w:r>
      <w:r>
        <w:t>301</w:t>
      </w:r>
      <w:r>
        <w:rPr>
          <w:spacing w:val="-60"/>
        </w:rPr>
        <w:t xml:space="preserve"> </w:t>
      </w:r>
      <w:r>
        <w:rPr>
          <w:spacing w:val="-10"/>
        </w:rPr>
        <w:t>室</w:t>
      </w:r>
      <w:r>
        <w:tab/>
        <w:t>联系人:彭小</w:t>
      </w:r>
      <w:r>
        <w:rPr>
          <w:spacing w:val="-10"/>
        </w:rPr>
        <w:t>姐</w:t>
      </w:r>
    </w:p>
    <w:p>
      <w:pPr>
        <w:pStyle w:val="BodyText"/>
        <w:tabs>
          <w:tab w:val="left" w:pos="6617"/>
        </w:tabs>
        <w:spacing w:before="62"/>
        <w:ind w:left="738"/>
      </w:pPr>
      <w:r>
        <w:t>联系电话:0769-22805806(发售招标文件)、</w:t>
      </w:r>
      <w:r>
        <w:rPr>
          <w:spacing w:val="-2"/>
        </w:rPr>
        <w:t>22306832</w:t>
      </w:r>
      <w:r>
        <w:tab/>
        <w:t>传真:0769-</w:t>
      </w:r>
      <w:r>
        <w:rPr>
          <w:spacing w:val="-2"/>
        </w:rPr>
        <w:t>22306831</w:t>
      </w:r>
    </w:p>
    <w:p>
      <w:pPr>
        <w:pStyle w:val="BodyText"/>
        <w:tabs>
          <w:tab w:val="left" w:pos="5777"/>
        </w:tabs>
        <w:spacing w:before="63"/>
        <w:ind w:left="738"/>
      </w:pPr>
      <w:r>
        <w:t>网址</w:t>
      </w:r>
      <w:r>
        <w:rPr>
          <w:spacing w:val="-2"/>
        </w:rPr>
        <w:t>：http：</w:t>
      </w:r>
      <w:hyperlink r:id="rId6">
        <w:r>
          <w:rPr>
            <w:spacing w:val="-2"/>
          </w:rPr>
          <w:t>//www.tender.gd.gov.cn</w:t>
        </w:r>
      </w:hyperlink>
      <w:r>
        <w:tab/>
        <w:t xml:space="preserve">Email： </w:t>
      </w:r>
      <w:hyperlink r:id="rId7">
        <w:r>
          <w:rPr>
            <w:spacing w:val="-2"/>
          </w:rPr>
          <w:t>tender_dg@gd.gov.cn</w:t>
        </w:r>
      </w:hyperlink>
    </w:p>
    <w:p>
      <w:pPr>
        <w:pStyle w:val="BodyText"/>
        <w:spacing w:before="185"/>
        <w:ind w:right="315"/>
        <w:jc w:val="right"/>
      </w:pPr>
      <w:r>
        <w:rPr>
          <w:spacing w:val="-1"/>
        </w:rPr>
        <w:t>广东志正招标有限公司</w:t>
      </w:r>
    </w:p>
    <w:p>
      <w:pPr>
        <w:pStyle w:val="BodyText"/>
        <w:spacing w:before="188"/>
        <w:ind w:right="315"/>
        <w:jc w:val="right"/>
      </w:pPr>
      <w:r>
        <w:t>2013</w:t>
      </w:r>
      <w:r>
        <w:rPr>
          <w:spacing w:val="-40"/>
        </w:rPr>
        <w:t xml:space="preserve"> 年 </w:t>
      </w:r>
      <w:r>
        <w:t>11</w:t>
      </w:r>
      <w:r>
        <w:rPr>
          <w:spacing w:val="-40"/>
        </w:rPr>
        <w:t xml:space="preserve"> 月 </w:t>
      </w:r>
      <w:r>
        <w:t>18</w:t>
      </w:r>
      <w:r>
        <w:rPr>
          <w:spacing w:val="-35"/>
        </w:rPr>
        <w:t xml:space="preserve"> 日</w:t>
      </w:r>
    </w:p>
    <w:p>
      <w:pPr>
        <w:spacing w:after="0"/>
        <w:jc w:val="right"/>
        <w:sectPr>
          <w:headerReference w:type="default" r:id="rId8"/>
          <w:footerReference w:type="default" r:id="rId9"/>
          <w:pgSz w:w="11910" w:h="16840"/>
          <w:pgMar w:top="1080" w:right="1060" w:bottom="1040" w:left="1160" w:header="700" w:footer="841"/>
          <w:pgNumType w:start="2"/>
          <w:cols w:space="708"/>
        </w:sectPr>
      </w:pPr>
    </w:p>
    <w:p>
      <w:pPr>
        <w:pStyle w:val="Heading1"/>
        <w:tabs>
          <w:tab w:val="left" w:pos="1605"/>
        </w:tabs>
        <w:spacing w:line="545" w:lineRule="exact"/>
      </w:pPr>
      <w:bookmarkStart w:id="1" w:name="_TOC_250029"/>
      <w:r>
        <w:t>第</w:t>
      </w:r>
      <w:r>
        <w:t>一</w:t>
      </w:r>
      <w:r>
        <w:t>部</w:t>
      </w:r>
      <w:r>
        <w:rPr>
          <w:spacing w:val="-10"/>
        </w:rPr>
        <w:t>分</w:t>
      </w:r>
      <w:r>
        <w:tab/>
        <w:t>投</w:t>
      </w:r>
      <w:r>
        <w:rPr>
          <w:spacing w:val="65"/>
        </w:rPr>
        <w:t xml:space="preserve"> </w:t>
      </w:r>
      <w:r>
        <w:t>标</w:t>
      </w:r>
      <w:r>
        <w:rPr>
          <w:spacing w:val="65"/>
        </w:rPr>
        <w:t xml:space="preserve"> </w:t>
      </w:r>
      <w:r>
        <w:t>须</w:t>
      </w:r>
      <w:r>
        <w:rPr>
          <w:spacing w:val="65"/>
        </w:rPr>
        <w:t xml:space="preserve"> </w:t>
      </w:r>
      <w:bookmarkEnd w:id="1"/>
      <w:r>
        <w:rPr>
          <w:spacing w:val="-10"/>
        </w:rPr>
        <w:t>知</w:t>
      </w:r>
    </w:p>
    <w:p>
      <w:pPr>
        <w:pStyle w:val="Heading1"/>
        <w:tabs>
          <w:tab w:val="left" w:pos="1605"/>
        </w:tabs>
        <w:spacing w:before="32"/>
      </w:pPr>
      <w:bookmarkStart w:id="2" w:name="_TOC_250028"/>
      <w:r>
        <w:t>（</w:t>
      </w:r>
      <w:r>
        <w:t>一</w:t>
      </w:r>
      <w:r>
        <w:t>）</w:t>
      </w:r>
      <w:r>
        <w:rPr>
          <w:spacing w:val="-10"/>
        </w:rPr>
        <w:t>总</w:t>
      </w:r>
      <w:r>
        <w:tab/>
      </w:r>
      <w:bookmarkEnd w:id="2"/>
      <w:r>
        <w:rPr>
          <w:spacing w:val="-10"/>
        </w:rPr>
        <w:t>则</w:t>
      </w:r>
    </w:p>
    <w:p>
      <w:pPr>
        <w:pStyle w:val="Heading4"/>
        <w:numPr>
          <w:ilvl w:val="0"/>
          <w:numId w:val="30"/>
        </w:numPr>
        <w:tabs>
          <w:tab w:val="left" w:pos="684"/>
        </w:tabs>
        <w:spacing w:before="57" w:after="0" w:line="240" w:lineRule="auto"/>
        <w:ind w:left="683" w:right="0" w:hanging="426"/>
        <w:jc w:val="left"/>
        <w:rPr>
          <w:rFonts w:ascii="微软雅黑" w:eastAsia="微软雅黑"/>
        </w:rPr>
      </w:pPr>
      <w:r>
        <w:rPr>
          <w:rFonts w:ascii="微软雅黑" w:eastAsia="微软雅黑"/>
          <w:spacing w:val="-5"/>
        </w:rPr>
        <w:t>说明</w:t>
      </w:r>
    </w:p>
    <w:p>
      <w:pPr>
        <w:pStyle w:val="ListParagraph"/>
        <w:numPr>
          <w:ilvl w:val="1"/>
          <w:numId w:val="30"/>
        </w:numPr>
        <w:tabs>
          <w:tab w:val="left" w:pos="825"/>
        </w:tabs>
        <w:spacing w:before="102" w:after="0" w:line="240" w:lineRule="auto"/>
        <w:ind w:left="825" w:right="0" w:hanging="567"/>
        <w:jc w:val="left"/>
        <w:rPr>
          <w:sz w:val="24"/>
        </w:rPr>
      </w:pPr>
      <w:r>
        <w:rPr>
          <w:spacing w:val="-1"/>
          <w:sz w:val="24"/>
        </w:rPr>
        <w:t>资金来源：财政预算。</w:t>
      </w:r>
    </w:p>
    <w:p>
      <w:pPr>
        <w:pStyle w:val="ListParagraph"/>
        <w:numPr>
          <w:ilvl w:val="1"/>
          <w:numId w:val="30"/>
        </w:numPr>
        <w:tabs>
          <w:tab w:val="left" w:pos="825"/>
        </w:tabs>
        <w:spacing w:before="159" w:after="0" w:line="240" w:lineRule="auto"/>
        <w:ind w:left="825" w:right="0" w:hanging="567"/>
        <w:jc w:val="left"/>
        <w:rPr>
          <w:sz w:val="24"/>
        </w:rPr>
      </w:pPr>
      <w:r>
        <w:rPr>
          <w:sz w:val="24"/>
        </w:rPr>
        <w:t>招标内容：见本招标文件“招标邀请函” （详细要求见“用户需求</w:t>
      </w:r>
      <w:r>
        <w:rPr>
          <w:spacing w:val="-120"/>
          <w:sz w:val="24"/>
        </w:rPr>
        <w:t>”）</w:t>
      </w:r>
      <w:r>
        <w:rPr>
          <w:spacing w:val="-10"/>
          <w:sz w:val="24"/>
        </w:rPr>
        <w:t>。</w:t>
      </w:r>
    </w:p>
    <w:p>
      <w:pPr>
        <w:pStyle w:val="BodyText"/>
      </w:pPr>
    </w:p>
    <w:p>
      <w:pPr>
        <w:pStyle w:val="BodyText"/>
        <w:spacing w:before="11"/>
        <w:rPr>
          <w:sz w:val="18"/>
        </w:rPr>
      </w:pPr>
    </w:p>
    <w:p>
      <w:pPr>
        <w:pStyle w:val="Heading4"/>
        <w:numPr>
          <w:ilvl w:val="0"/>
          <w:numId w:val="30"/>
        </w:numPr>
        <w:tabs>
          <w:tab w:val="left" w:pos="684"/>
        </w:tabs>
        <w:spacing w:before="0" w:after="0" w:line="240" w:lineRule="auto"/>
        <w:ind w:left="683" w:right="0" w:hanging="426"/>
        <w:jc w:val="left"/>
        <w:rPr>
          <w:rFonts w:ascii="微软雅黑" w:eastAsia="微软雅黑" w:hAnsi="微软雅黑"/>
        </w:rPr>
      </w:pPr>
      <w:r>
        <w:rPr>
          <w:rFonts w:ascii="微软雅黑" w:eastAsia="微软雅黑" w:hAnsi="微软雅黑"/>
        </w:rPr>
        <w:t>★</w:t>
      </w:r>
      <w:r>
        <w:rPr>
          <w:rFonts w:ascii="微软雅黑" w:eastAsia="微软雅黑" w:hAnsi="微软雅黑"/>
          <w:spacing w:val="-2"/>
        </w:rPr>
        <w:t>合格的投标人</w:t>
      </w:r>
    </w:p>
    <w:p>
      <w:pPr>
        <w:pStyle w:val="ListParagraph"/>
        <w:numPr>
          <w:ilvl w:val="1"/>
          <w:numId w:val="30"/>
        </w:numPr>
        <w:tabs>
          <w:tab w:val="left" w:pos="825"/>
        </w:tabs>
        <w:spacing w:before="102" w:after="0" w:line="240" w:lineRule="auto"/>
        <w:ind w:left="825" w:right="0" w:hanging="567"/>
        <w:jc w:val="left"/>
        <w:rPr>
          <w:sz w:val="24"/>
        </w:rPr>
      </w:pPr>
      <w:r>
        <w:rPr>
          <w:spacing w:val="-1"/>
          <w:sz w:val="24"/>
        </w:rPr>
        <w:t>在中华人民共和国境内注册，能独立承担民事责任，营业执照具有合法经营资格</w:t>
      </w:r>
    </w:p>
    <w:p>
      <w:pPr>
        <w:pStyle w:val="BodyText"/>
        <w:spacing w:before="159"/>
        <w:ind w:left="825"/>
      </w:pPr>
      <w:r>
        <w:t>（具备相关的经营范围）</w:t>
      </w:r>
      <w:r>
        <w:rPr>
          <w:spacing w:val="-2"/>
        </w:rPr>
        <w:t>的国内独立法人。</w:t>
      </w:r>
    </w:p>
    <w:p>
      <w:pPr>
        <w:pStyle w:val="BodyText"/>
      </w:pPr>
    </w:p>
    <w:p>
      <w:pPr>
        <w:pStyle w:val="BodyText"/>
        <w:spacing w:before="11"/>
        <w:rPr>
          <w:sz w:val="18"/>
        </w:rPr>
      </w:pPr>
    </w:p>
    <w:p>
      <w:pPr>
        <w:pStyle w:val="Heading4"/>
        <w:numPr>
          <w:ilvl w:val="0"/>
          <w:numId w:val="30"/>
        </w:numPr>
        <w:tabs>
          <w:tab w:val="left" w:pos="684"/>
        </w:tabs>
        <w:spacing w:before="0" w:after="0" w:line="240" w:lineRule="auto"/>
        <w:ind w:left="683" w:right="0" w:hanging="426"/>
        <w:jc w:val="left"/>
        <w:rPr>
          <w:rFonts w:ascii="微软雅黑" w:eastAsia="微软雅黑"/>
        </w:rPr>
      </w:pPr>
      <w:r>
        <w:rPr>
          <w:rFonts w:ascii="微软雅黑" w:eastAsia="微软雅黑"/>
          <w:spacing w:val="-2"/>
        </w:rPr>
        <w:t>定义及解释</w:t>
      </w:r>
    </w:p>
    <w:p>
      <w:pPr>
        <w:pStyle w:val="ListParagraph"/>
        <w:numPr>
          <w:ilvl w:val="1"/>
          <w:numId w:val="30"/>
        </w:numPr>
        <w:tabs>
          <w:tab w:val="left" w:pos="825"/>
        </w:tabs>
        <w:spacing w:before="101" w:after="0" w:line="240" w:lineRule="auto"/>
        <w:ind w:left="825" w:right="0" w:hanging="567"/>
        <w:jc w:val="left"/>
        <w:rPr>
          <w:sz w:val="24"/>
        </w:rPr>
      </w:pPr>
      <w:r>
        <w:rPr>
          <w:spacing w:val="-1"/>
          <w:sz w:val="24"/>
        </w:rPr>
        <w:t>招标人：东莞市电子政务办公室。</w:t>
      </w:r>
    </w:p>
    <w:p>
      <w:pPr>
        <w:pStyle w:val="ListParagraph"/>
        <w:numPr>
          <w:ilvl w:val="1"/>
          <w:numId w:val="30"/>
        </w:numPr>
        <w:tabs>
          <w:tab w:val="left" w:pos="825"/>
        </w:tabs>
        <w:spacing w:before="160" w:after="0" w:line="364" w:lineRule="auto"/>
        <w:ind w:left="825" w:right="356" w:hanging="567"/>
        <w:jc w:val="left"/>
        <w:rPr>
          <w:sz w:val="24"/>
        </w:rPr>
      </w:pPr>
      <w:r>
        <w:rPr>
          <w:spacing w:val="-2"/>
          <w:sz w:val="24"/>
        </w:rPr>
        <w:t>投标人：投标人是符合招标文件的要求、响应招标参加投标竞争的依法成立的企</w:t>
      </w:r>
      <w:r>
        <w:rPr>
          <w:spacing w:val="-2"/>
          <w:sz w:val="24"/>
        </w:rPr>
        <w:t>业法人,本项目不接受联合体投标。</w:t>
      </w:r>
    </w:p>
    <w:p>
      <w:pPr>
        <w:pStyle w:val="ListParagraph"/>
        <w:numPr>
          <w:ilvl w:val="1"/>
          <w:numId w:val="30"/>
        </w:numPr>
        <w:tabs>
          <w:tab w:val="left" w:pos="825"/>
        </w:tabs>
        <w:spacing w:before="0" w:after="0" w:line="364" w:lineRule="auto"/>
        <w:ind w:left="825" w:right="356" w:hanging="567"/>
        <w:jc w:val="left"/>
        <w:rPr>
          <w:sz w:val="24"/>
        </w:rPr>
      </w:pPr>
      <w:r>
        <w:rPr>
          <w:spacing w:val="-2"/>
          <w:sz w:val="24"/>
        </w:rPr>
        <w:t>评标委员会：评标委员会是依《中华人民共和国政府采购法》组建的专门负责本</w:t>
      </w:r>
      <w:r>
        <w:rPr>
          <w:spacing w:val="-2"/>
          <w:sz w:val="24"/>
        </w:rPr>
        <w:t>次招标的评审工作的临时性组织。</w:t>
      </w:r>
    </w:p>
    <w:p>
      <w:pPr>
        <w:pStyle w:val="ListParagraph"/>
        <w:numPr>
          <w:ilvl w:val="1"/>
          <w:numId w:val="30"/>
        </w:numPr>
        <w:tabs>
          <w:tab w:val="left" w:pos="825"/>
        </w:tabs>
        <w:spacing w:before="0" w:after="0" w:line="306" w:lineRule="exact"/>
        <w:ind w:left="825" w:right="0" w:hanging="567"/>
        <w:jc w:val="left"/>
        <w:rPr>
          <w:sz w:val="24"/>
        </w:rPr>
      </w:pPr>
      <w:r>
        <w:rPr>
          <w:spacing w:val="-1"/>
          <w:sz w:val="24"/>
        </w:rPr>
        <w:t>采购代理机构：广东志正招标有限公司</w:t>
      </w:r>
    </w:p>
    <w:p>
      <w:pPr>
        <w:pStyle w:val="ListParagraph"/>
        <w:numPr>
          <w:ilvl w:val="1"/>
          <w:numId w:val="30"/>
        </w:numPr>
        <w:tabs>
          <w:tab w:val="left" w:pos="825"/>
        </w:tabs>
        <w:spacing w:before="158" w:after="0" w:line="240" w:lineRule="auto"/>
        <w:ind w:left="825" w:right="0" w:hanging="567"/>
        <w:jc w:val="left"/>
        <w:rPr>
          <w:sz w:val="24"/>
        </w:rPr>
      </w:pPr>
      <w:r>
        <w:rPr>
          <w:spacing w:val="-2"/>
          <w:sz w:val="24"/>
        </w:rPr>
        <w:t>日期：指公历日。</w:t>
      </w:r>
    </w:p>
    <w:p>
      <w:pPr>
        <w:pStyle w:val="ListParagraph"/>
        <w:numPr>
          <w:ilvl w:val="1"/>
          <w:numId w:val="30"/>
        </w:numPr>
        <w:tabs>
          <w:tab w:val="left" w:pos="825"/>
        </w:tabs>
        <w:spacing w:before="159" w:after="0" w:line="364" w:lineRule="auto"/>
        <w:ind w:left="825" w:right="356" w:hanging="567"/>
        <w:jc w:val="left"/>
        <w:rPr>
          <w:sz w:val="24"/>
        </w:rPr>
      </w:pPr>
      <w:r>
        <w:rPr>
          <w:spacing w:val="-2"/>
          <w:sz w:val="24"/>
        </w:rPr>
        <w:t>招标文件中的标题或题名仅起引导作用，而不应视为对招标文件内容的理解和解</w:t>
      </w:r>
      <w:r>
        <w:rPr>
          <w:spacing w:val="-6"/>
          <w:sz w:val="24"/>
        </w:rPr>
        <w:t>释。</w:t>
      </w:r>
    </w:p>
    <w:p>
      <w:pPr>
        <w:pStyle w:val="ListParagraph"/>
        <w:numPr>
          <w:ilvl w:val="1"/>
          <w:numId w:val="30"/>
        </w:numPr>
        <w:tabs>
          <w:tab w:val="left" w:pos="825"/>
        </w:tabs>
        <w:spacing w:before="0" w:after="0" w:line="364" w:lineRule="auto"/>
        <w:ind w:left="825" w:right="356" w:hanging="567"/>
        <w:jc w:val="left"/>
        <w:rPr>
          <w:sz w:val="24"/>
        </w:rPr>
      </w:pPr>
      <w:r>
        <w:rPr>
          <w:spacing w:val="-10"/>
          <w:sz w:val="24"/>
        </w:rPr>
        <w:t>招标文件中所规定的“书面形式”，是指任何手写、打印的或印刷的文件，包括电</w:t>
      </w:r>
      <w:r>
        <w:rPr>
          <w:spacing w:val="-2"/>
          <w:sz w:val="24"/>
        </w:rPr>
        <w:t>报和传真发送。</w:t>
      </w:r>
    </w:p>
    <w:p>
      <w:pPr>
        <w:pStyle w:val="BodyText"/>
        <w:spacing w:before="4"/>
        <w:rPr>
          <w:sz w:val="30"/>
        </w:rPr>
      </w:pPr>
    </w:p>
    <w:p>
      <w:pPr>
        <w:pStyle w:val="Heading4"/>
        <w:numPr>
          <w:ilvl w:val="0"/>
          <w:numId w:val="30"/>
        </w:numPr>
        <w:tabs>
          <w:tab w:val="left" w:pos="684"/>
        </w:tabs>
        <w:spacing w:before="0" w:after="0" w:line="240" w:lineRule="auto"/>
        <w:ind w:left="683" w:right="0" w:hanging="426"/>
        <w:jc w:val="left"/>
        <w:rPr>
          <w:rFonts w:ascii="微软雅黑" w:eastAsia="微软雅黑"/>
        </w:rPr>
      </w:pPr>
      <w:r>
        <w:rPr>
          <w:rFonts w:ascii="微软雅黑" w:eastAsia="微软雅黑"/>
          <w:spacing w:val="-2"/>
        </w:rPr>
        <w:t>纪律与保密事项</w:t>
      </w:r>
    </w:p>
    <w:p>
      <w:pPr>
        <w:pStyle w:val="ListParagraph"/>
        <w:numPr>
          <w:ilvl w:val="1"/>
          <w:numId w:val="30"/>
        </w:numPr>
        <w:tabs>
          <w:tab w:val="left" w:pos="825"/>
        </w:tabs>
        <w:spacing w:before="101" w:after="0" w:line="364" w:lineRule="auto"/>
        <w:ind w:left="825" w:right="356" w:hanging="567"/>
        <w:jc w:val="both"/>
        <w:rPr>
          <w:sz w:val="24"/>
        </w:rPr>
      </w:pPr>
      <w:r>
        <w:rPr>
          <w:spacing w:val="-2"/>
          <w:sz w:val="24"/>
        </w:rPr>
        <w:t>凡参与本项目的有关人员均应自觉接受有关部门的监督，不得向他人透露已获得招标文件的潜在投标人的名称、数量以及可能影响公平竞争的有关本次招标的其</w:t>
      </w:r>
      <w:r>
        <w:rPr>
          <w:spacing w:val="-4"/>
          <w:sz w:val="24"/>
        </w:rPr>
        <w:t>他情况。</w:t>
      </w:r>
    </w:p>
    <w:p>
      <w:pPr>
        <w:pStyle w:val="ListParagraph"/>
        <w:numPr>
          <w:ilvl w:val="1"/>
          <w:numId w:val="30"/>
        </w:numPr>
        <w:tabs>
          <w:tab w:val="left" w:pos="825"/>
        </w:tabs>
        <w:spacing w:before="0" w:after="0" w:line="364" w:lineRule="auto"/>
        <w:ind w:left="825" w:right="356" w:hanging="567"/>
        <w:jc w:val="both"/>
        <w:rPr>
          <w:sz w:val="24"/>
        </w:rPr>
      </w:pPr>
      <w:r>
        <w:rPr>
          <w:spacing w:val="-2"/>
          <w:sz w:val="24"/>
        </w:rPr>
        <w:t>开标开始，直至向中标人发出《中标通知书》时止，凡与审查、更正、评价和比较报价的有关资料以及授标意见等，参与评标工作的有关人员均不得向投标人及</w:t>
      </w:r>
      <w:r>
        <w:rPr>
          <w:spacing w:val="-2"/>
          <w:sz w:val="24"/>
        </w:rPr>
        <w:t>与评审无关的其他人透露。</w:t>
      </w:r>
    </w:p>
    <w:p>
      <w:pPr>
        <w:spacing w:after="0" w:line="364" w:lineRule="auto"/>
        <w:jc w:val="both"/>
        <w:rPr>
          <w:sz w:val="24"/>
        </w:rPr>
        <w:sectPr>
          <w:headerReference w:type="default" r:id="rId10"/>
          <w:footerReference w:type="default" r:id="rId11"/>
          <w:pgSz w:w="11910" w:h="16840"/>
          <w:pgMar w:top="1080" w:right="1060" w:bottom="1040" w:left="1160" w:header="700" w:footer="841"/>
          <w:pgNumType w:start="3"/>
          <w:cols w:space="708"/>
        </w:sectPr>
      </w:pPr>
    </w:p>
    <w:p>
      <w:pPr>
        <w:pStyle w:val="ListParagraph"/>
        <w:numPr>
          <w:ilvl w:val="1"/>
          <w:numId w:val="26"/>
        </w:numPr>
        <w:tabs>
          <w:tab w:val="left" w:pos="825"/>
        </w:tabs>
        <w:spacing w:before="56" w:after="0" w:line="364" w:lineRule="auto"/>
        <w:ind w:left="825" w:right="356" w:hanging="567"/>
        <w:jc w:val="left"/>
        <w:rPr>
          <w:sz w:val="24"/>
        </w:rPr>
      </w:pPr>
      <w:r>
        <w:rPr>
          <w:spacing w:val="-2"/>
          <w:sz w:val="24"/>
        </w:rPr>
        <w:t>投标人不得串通作弊，以不正当的手段妨碍、排挤其他投标人，破坏公平竞争原</w:t>
      </w:r>
      <w:r>
        <w:rPr>
          <w:spacing w:val="-6"/>
          <w:sz w:val="24"/>
        </w:rPr>
        <w:t>则。</w:t>
      </w:r>
    </w:p>
    <w:p>
      <w:pPr>
        <w:pStyle w:val="ListParagraph"/>
        <w:numPr>
          <w:ilvl w:val="1"/>
          <w:numId w:val="26"/>
        </w:numPr>
        <w:tabs>
          <w:tab w:val="left" w:pos="825"/>
        </w:tabs>
        <w:spacing w:before="0" w:after="0" w:line="364" w:lineRule="auto"/>
        <w:ind w:left="825" w:right="356" w:hanging="567"/>
        <w:jc w:val="left"/>
        <w:rPr>
          <w:sz w:val="24"/>
        </w:rPr>
      </w:pPr>
      <w:r>
        <w:rPr>
          <w:spacing w:val="-2"/>
          <w:sz w:val="24"/>
        </w:rPr>
        <w:t>凡两家或以上供应商参加同一项目的采购，有如下情况的，一经发现，将视同串</w:t>
      </w:r>
      <w:r>
        <w:rPr>
          <w:spacing w:val="-4"/>
          <w:sz w:val="24"/>
        </w:rPr>
        <w:t>标处理：</w:t>
      </w:r>
    </w:p>
    <w:p>
      <w:pPr>
        <w:pStyle w:val="ListParagraph"/>
        <w:numPr>
          <w:ilvl w:val="0"/>
          <w:numId w:val="12"/>
        </w:numPr>
        <w:tabs>
          <w:tab w:val="left" w:pos="1698"/>
        </w:tabs>
        <w:spacing w:before="0" w:after="0" w:line="306" w:lineRule="exact"/>
        <w:ind w:left="1698" w:right="0" w:hanging="720"/>
        <w:jc w:val="left"/>
        <w:rPr>
          <w:sz w:val="24"/>
        </w:rPr>
      </w:pPr>
      <w:r>
        <w:rPr>
          <w:spacing w:val="-1"/>
          <w:sz w:val="24"/>
          <w:u w:val="single"/>
        </w:rPr>
        <w:t>为同一法定代表人的；</w:t>
      </w:r>
    </w:p>
    <w:p>
      <w:pPr>
        <w:pStyle w:val="ListParagraph"/>
        <w:numPr>
          <w:ilvl w:val="0"/>
          <w:numId w:val="12"/>
        </w:numPr>
        <w:tabs>
          <w:tab w:val="left" w:pos="1698"/>
        </w:tabs>
        <w:spacing w:before="158" w:after="0" w:line="240" w:lineRule="auto"/>
        <w:ind w:left="1698" w:right="0" w:hanging="720"/>
        <w:jc w:val="left"/>
        <w:rPr>
          <w:sz w:val="24"/>
        </w:rPr>
      </w:pPr>
      <w:r>
        <w:rPr>
          <w:spacing w:val="-2"/>
          <w:sz w:val="24"/>
          <w:u w:val="single"/>
        </w:rPr>
        <w:t>为同一股东控股的；</w:t>
      </w:r>
    </w:p>
    <w:p>
      <w:pPr>
        <w:pStyle w:val="ListParagraph"/>
        <w:numPr>
          <w:ilvl w:val="0"/>
          <w:numId w:val="12"/>
        </w:numPr>
        <w:tabs>
          <w:tab w:val="left" w:pos="1698"/>
        </w:tabs>
        <w:spacing w:before="160" w:after="0" w:line="240" w:lineRule="auto"/>
        <w:ind w:left="1698" w:right="0" w:hanging="720"/>
        <w:jc w:val="left"/>
        <w:rPr>
          <w:sz w:val="24"/>
        </w:rPr>
      </w:pPr>
      <w:r>
        <w:rPr>
          <w:spacing w:val="-1"/>
          <w:sz w:val="24"/>
          <w:u w:val="single"/>
        </w:rPr>
        <w:t>其中一家公司为其他公司最大股东的。</w:t>
      </w:r>
    </w:p>
    <w:p>
      <w:pPr>
        <w:pStyle w:val="ListParagraph"/>
        <w:numPr>
          <w:ilvl w:val="1"/>
          <w:numId w:val="26"/>
        </w:numPr>
        <w:tabs>
          <w:tab w:val="left" w:pos="825"/>
        </w:tabs>
        <w:spacing w:before="159" w:after="0" w:line="364" w:lineRule="auto"/>
        <w:ind w:left="825" w:right="356" w:hanging="567"/>
        <w:jc w:val="left"/>
        <w:rPr>
          <w:sz w:val="24"/>
        </w:rPr>
      </w:pPr>
      <w:r>
        <w:rPr>
          <w:spacing w:val="-2"/>
          <w:sz w:val="24"/>
        </w:rPr>
        <w:t>获得本招标文件者，应对文件进行保密，不得用作本次项目以外的任何用途。若</w:t>
      </w:r>
      <w:r>
        <w:rPr>
          <w:spacing w:val="-2"/>
          <w:sz w:val="24"/>
        </w:rPr>
        <w:t>有要求，评标结束后，投标人应归还招标文件中的保密的文件和资料。</w:t>
      </w:r>
    </w:p>
    <w:p>
      <w:pPr>
        <w:pStyle w:val="BodyText"/>
        <w:spacing w:before="4"/>
        <w:rPr>
          <w:sz w:val="30"/>
        </w:rPr>
      </w:pPr>
    </w:p>
    <w:p>
      <w:pPr>
        <w:pStyle w:val="Heading4"/>
        <w:numPr>
          <w:ilvl w:val="0"/>
          <w:numId w:val="26"/>
        </w:numPr>
        <w:tabs>
          <w:tab w:val="left" w:pos="684"/>
        </w:tabs>
        <w:spacing w:before="1" w:after="0" w:line="240" w:lineRule="auto"/>
        <w:ind w:left="683" w:right="0" w:hanging="426"/>
        <w:jc w:val="left"/>
        <w:rPr>
          <w:rFonts w:ascii="微软雅黑" w:eastAsia="微软雅黑"/>
        </w:rPr>
      </w:pPr>
      <w:r>
        <w:rPr>
          <w:rFonts w:ascii="微软雅黑" w:eastAsia="微软雅黑"/>
          <w:spacing w:val="-3"/>
        </w:rPr>
        <w:t>投标费用</w:t>
      </w:r>
    </w:p>
    <w:p>
      <w:pPr>
        <w:pStyle w:val="ListParagraph"/>
        <w:numPr>
          <w:ilvl w:val="1"/>
          <w:numId w:val="26"/>
        </w:numPr>
        <w:tabs>
          <w:tab w:val="left" w:pos="825"/>
        </w:tabs>
        <w:spacing w:before="101" w:after="0" w:line="364" w:lineRule="auto"/>
        <w:ind w:left="825" w:right="356" w:hanging="567"/>
        <w:jc w:val="both"/>
        <w:rPr>
          <w:sz w:val="24"/>
        </w:rPr>
      </w:pPr>
      <w:r>
        <w:rPr>
          <w:spacing w:val="-2"/>
          <w:sz w:val="24"/>
        </w:rPr>
        <w:t>投标人须承担与投标有关的自身的所有费用，包括但不限于本招标文件工本费、投标文件准备以及投标保证金的费用等。无论投标结果如何，采购代理机构在任</w:t>
      </w:r>
      <w:r>
        <w:rPr>
          <w:spacing w:val="-2"/>
          <w:sz w:val="24"/>
        </w:rPr>
        <w:t>何情况下不承担、不分担任何类似费用。</w:t>
      </w:r>
    </w:p>
    <w:p>
      <w:pPr>
        <w:pStyle w:val="BodyText"/>
        <w:spacing w:before="4"/>
        <w:rPr>
          <w:sz w:val="30"/>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5"/>
        </w:rPr>
        <w:t>保证</w:t>
      </w:r>
    </w:p>
    <w:p>
      <w:pPr>
        <w:pStyle w:val="ListParagraph"/>
        <w:numPr>
          <w:ilvl w:val="1"/>
          <w:numId w:val="26"/>
        </w:numPr>
        <w:tabs>
          <w:tab w:val="left" w:pos="825"/>
        </w:tabs>
        <w:spacing w:before="101" w:after="0" w:line="240" w:lineRule="auto"/>
        <w:ind w:left="825" w:right="0" w:hanging="567"/>
        <w:jc w:val="left"/>
        <w:rPr>
          <w:sz w:val="24"/>
        </w:rPr>
      </w:pPr>
      <w:r>
        <w:rPr>
          <w:spacing w:val="-1"/>
          <w:sz w:val="24"/>
        </w:rPr>
        <w:t>投标人应保证所提交给采购代理机构的资料和数据是真实的。</w:t>
      </w:r>
    </w:p>
    <w:p>
      <w:pPr>
        <w:pStyle w:val="BodyText"/>
      </w:pPr>
    </w:p>
    <w:p>
      <w:pPr>
        <w:pStyle w:val="BodyText"/>
        <w:spacing w:before="11"/>
        <w:rPr>
          <w:sz w:val="18"/>
        </w:rPr>
      </w:pPr>
    </w:p>
    <w:p>
      <w:pPr>
        <w:pStyle w:val="Heading4"/>
        <w:numPr>
          <w:ilvl w:val="0"/>
          <w:numId w:val="26"/>
        </w:numPr>
        <w:tabs>
          <w:tab w:val="left" w:pos="684"/>
        </w:tabs>
        <w:spacing w:before="1" w:after="0" w:line="240" w:lineRule="auto"/>
        <w:ind w:left="683" w:right="0" w:hanging="426"/>
        <w:jc w:val="left"/>
        <w:rPr>
          <w:rFonts w:ascii="微软雅黑" w:eastAsia="微软雅黑"/>
        </w:rPr>
      </w:pPr>
      <w:r>
        <w:rPr>
          <w:rFonts w:ascii="微软雅黑" w:eastAsia="微软雅黑"/>
          <w:spacing w:val="-3"/>
        </w:rPr>
        <w:t>重要说明</w:t>
      </w:r>
    </w:p>
    <w:p>
      <w:pPr>
        <w:pStyle w:val="ListParagraph"/>
        <w:numPr>
          <w:ilvl w:val="1"/>
          <w:numId w:val="26"/>
        </w:numPr>
        <w:tabs>
          <w:tab w:val="left" w:pos="825"/>
        </w:tabs>
        <w:spacing w:before="101" w:after="0" w:line="364" w:lineRule="auto"/>
        <w:ind w:left="825" w:right="356" w:hanging="567"/>
        <w:jc w:val="both"/>
        <w:rPr>
          <w:sz w:val="24"/>
        </w:rPr>
      </w:pPr>
      <w:r>
        <w:rPr>
          <w:spacing w:val="-2"/>
          <w:sz w:val="24"/>
        </w:rPr>
        <w:t>本招标文件有打“★”号的条款是重要条款，投标人必须响应，否则当作无效投</w:t>
      </w:r>
      <w:r>
        <w:rPr>
          <w:spacing w:val="-4"/>
          <w:sz w:val="24"/>
        </w:rPr>
        <w:t>标处理。</w:t>
      </w:r>
    </w:p>
    <w:p>
      <w:pPr>
        <w:pStyle w:val="BodyText"/>
        <w:spacing w:before="6"/>
        <w:rPr>
          <w:sz w:val="28"/>
        </w:rPr>
      </w:pPr>
    </w:p>
    <w:p>
      <w:pPr>
        <w:pStyle w:val="Heading1"/>
      </w:pPr>
      <w:bookmarkStart w:id="3" w:name="_TOC_250027"/>
      <w:r>
        <w:t>（二）</w:t>
      </w:r>
      <w:bookmarkEnd w:id="3"/>
      <w:r>
        <w:rPr>
          <w:spacing w:val="-3"/>
        </w:rPr>
        <w:t>招标文件</w:t>
      </w:r>
    </w:p>
    <w:p>
      <w:pPr>
        <w:pStyle w:val="Heading4"/>
        <w:numPr>
          <w:ilvl w:val="0"/>
          <w:numId w:val="26"/>
        </w:numPr>
        <w:tabs>
          <w:tab w:val="left" w:pos="684"/>
        </w:tabs>
        <w:spacing w:before="57" w:after="0" w:line="240" w:lineRule="auto"/>
        <w:ind w:left="683" w:right="0" w:hanging="426"/>
        <w:jc w:val="left"/>
        <w:rPr>
          <w:rFonts w:ascii="微软雅黑" w:eastAsia="微软雅黑"/>
        </w:rPr>
      </w:pPr>
      <w:r>
        <w:rPr>
          <w:rFonts w:ascii="微软雅黑" w:eastAsia="微软雅黑"/>
          <w:spacing w:val="-2"/>
        </w:rPr>
        <w:t>招标文件构成</w:t>
      </w:r>
    </w:p>
    <w:p>
      <w:pPr>
        <w:pStyle w:val="ListParagraph"/>
        <w:numPr>
          <w:ilvl w:val="1"/>
          <w:numId w:val="26"/>
        </w:numPr>
        <w:tabs>
          <w:tab w:val="left" w:pos="825"/>
        </w:tabs>
        <w:spacing w:before="101" w:after="0" w:line="240" w:lineRule="auto"/>
        <w:ind w:left="825" w:right="0" w:hanging="567"/>
        <w:jc w:val="left"/>
        <w:rPr>
          <w:sz w:val="24"/>
        </w:rPr>
      </w:pPr>
      <w:r>
        <w:rPr>
          <w:spacing w:val="-1"/>
          <w:sz w:val="24"/>
        </w:rPr>
        <w:t>要求提供的服务、投标过程和合同条件在招标文件中均有说明。招标文件包括：</w:t>
      </w:r>
    </w:p>
    <w:p>
      <w:pPr>
        <w:pStyle w:val="ListParagraph"/>
        <w:numPr>
          <w:ilvl w:val="0"/>
          <w:numId w:val="25"/>
        </w:numPr>
        <w:tabs>
          <w:tab w:val="left" w:pos="1937"/>
          <w:tab w:val="left" w:pos="1938"/>
        </w:tabs>
        <w:spacing w:before="159" w:after="0" w:line="240" w:lineRule="auto"/>
        <w:ind w:left="1938" w:right="0" w:hanging="420"/>
        <w:jc w:val="left"/>
        <w:rPr>
          <w:sz w:val="24"/>
        </w:rPr>
      </w:pPr>
      <w:r>
        <w:rPr>
          <w:spacing w:val="-2"/>
          <w:sz w:val="24"/>
        </w:rPr>
        <w:t>招标邀请函</w:t>
      </w:r>
    </w:p>
    <w:p>
      <w:pPr>
        <w:pStyle w:val="ListParagraph"/>
        <w:numPr>
          <w:ilvl w:val="0"/>
          <w:numId w:val="25"/>
        </w:numPr>
        <w:tabs>
          <w:tab w:val="left" w:pos="1937"/>
          <w:tab w:val="left" w:pos="1938"/>
        </w:tabs>
        <w:spacing w:before="160" w:after="0" w:line="240" w:lineRule="auto"/>
        <w:ind w:left="1938" w:right="0" w:hanging="420"/>
        <w:jc w:val="left"/>
        <w:rPr>
          <w:sz w:val="24"/>
        </w:rPr>
      </w:pPr>
      <w:r>
        <w:rPr>
          <w:spacing w:val="-3"/>
          <w:sz w:val="24"/>
        </w:rPr>
        <w:t>投标须知</w:t>
      </w:r>
    </w:p>
    <w:p>
      <w:pPr>
        <w:pStyle w:val="ListParagraph"/>
        <w:numPr>
          <w:ilvl w:val="0"/>
          <w:numId w:val="25"/>
        </w:numPr>
        <w:tabs>
          <w:tab w:val="left" w:pos="1937"/>
          <w:tab w:val="left" w:pos="1938"/>
        </w:tabs>
        <w:spacing w:before="159" w:after="0" w:line="240" w:lineRule="auto"/>
        <w:ind w:left="1938" w:right="0" w:hanging="420"/>
        <w:jc w:val="left"/>
        <w:rPr>
          <w:sz w:val="24"/>
        </w:rPr>
      </w:pPr>
      <w:r>
        <w:rPr>
          <w:spacing w:val="-3"/>
          <w:sz w:val="24"/>
        </w:rPr>
        <w:t>用户需求</w:t>
      </w:r>
    </w:p>
    <w:p>
      <w:pPr>
        <w:pStyle w:val="ListParagraph"/>
        <w:numPr>
          <w:ilvl w:val="0"/>
          <w:numId w:val="25"/>
        </w:numPr>
        <w:tabs>
          <w:tab w:val="left" w:pos="1937"/>
          <w:tab w:val="left" w:pos="1938"/>
        </w:tabs>
        <w:spacing w:before="159" w:after="0" w:line="240" w:lineRule="auto"/>
        <w:ind w:left="1938" w:right="0" w:hanging="420"/>
        <w:jc w:val="left"/>
        <w:rPr>
          <w:sz w:val="24"/>
        </w:rPr>
      </w:pPr>
      <w:r>
        <w:rPr>
          <w:sz w:val="24"/>
        </w:rPr>
        <w:t>合同一般条款（仅供参考</w:t>
      </w:r>
      <w:r>
        <w:rPr>
          <w:spacing w:val="-10"/>
          <w:sz w:val="24"/>
        </w:rPr>
        <w:t>）</w:t>
      </w:r>
    </w:p>
    <w:p>
      <w:pPr>
        <w:pStyle w:val="ListParagraph"/>
        <w:numPr>
          <w:ilvl w:val="0"/>
          <w:numId w:val="25"/>
        </w:numPr>
        <w:tabs>
          <w:tab w:val="left" w:pos="1937"/>
          <w:tab w:val="left" w:pos="1938"/>
        </w:tabs>
        <w:spacing w:before="160" w:after="0" w:line="240" w:lineRule="auto"/>
        <w:ind w:left="1938" w:right="0" w:hanging="420"/>
        <w:jc w:val="left"/>
        <w:rPr>
          <w:sz w:val="24"/>
        </w:rPr>
      </w:pPr>
      <w:r>
        <w:rPr>
          <w:spacing w:val="-2"/>
          <w:sz w:val="24"/>
        </w:rPr>
        <w:t>投标文件格式</w:t>
      </w:r>
    </w:p>
    <w:p>
      <w:pPr>
        <w:pStyle w:val="ListParagraph"/>
        <w:numPr>
          <w:ilvl w:val="1"/>
          <w:numId w:val="26"/>
        </w:numPr>
        <w:tabs>
          <w:tab w:val="left" w:pos="825"/>
        </w:tabs>
        <w:spacing w:before="159" w:after="0" w:line="240" w:lineRule="auto"/>
        <w:ind w:left="825" w:right="0" w:hanging="567"/>
        <w:jc w:val="left"/>
        <w:rPr>
          <w:sz w:val="24"/>
        </w:rPr>
      </w:pPr>
      <w:r>
        <w:rPr>
          <w:spacing w:val="-1"/>
          <w:sz w:val="24"/>
        </w:rPr>
        <w:t>投标人应认真阅读招标文件中所有的事项、格式等要求。投标人没有按照招标文</w:t>
      </w:r>
    </w:p>
    <w:p>
      <w:pPr>
        <w:spacing w:after="0" w:line="240" w:lineRule="auto"/>
        <w:jc w:val="left"/>
        <w:rPr>
          <w:sz w:val="24"/>
        </w:rPr>
        <w:sectPr>
          <w:headerReference w:type="default" r:id="rId12"/>
          <w:footerReference w:type="default" r:id="rId13"/>
          <w:pgSz w:w="11910" w:h="16840"/>
          <w:pgMar w:top="1080" w:right="1060" w:bottom="1040" w:left="1160" w:header="700" w:footer="841"/>
          <w:pgNumType w:start="4"/>
          <w:cols w:space="708"/>
        </w:sectPr>
      </w:pPr>
    </w:p>
    <w:p>
      <w:pPr>
        <w:pStyle w:val="BodyText"/>
        <w:spacing w:before="56" w:line="364" w:lineRule="auto"/>
        <w:ind w:left="825" w:right="356"/>
      </w:pPr>
      <w:r>
        <w:rPr>
          <w:spacing w:val="-2"/>
        </w:rPr>
        <w:t>件要求提交全部资料，或者投标文件没有对招标文件各方面都做出实质性响应是</w:t>
      </w:r>
      <w:r>
        <w:rPr>
          <w:spacing w:val="-2"/>
        </w:rPr>
        <w:t>投标人的风险。没有实质性响应招标文件要求的投标文件将被拒绝。</w:t>
      </w:r>
    </w:p>
    <w:p>
      <w:pPr>
        <w:pStyle w:val="BodyText"/>
        <w:spacing w:before="4"/>
        <w:rPr>
          <w:sz w:val="30"/>
        </w:rPr>
      </w:pPr>
    </w:p>
    <w:p>
      <w:pPr>
        <w:pStyle w:val="Heading4"/>
        <w:numPr>
          <w:ilvl w:val="0"/>
          <w:numId w:val="26"/>
        </w:numPr>
        <w:tabs>
          <w:tab w:val="left" w:pos="684"/>
        </w:tabs>
        <w:spacing w:before="1" w:after="0" w:line="240" w:lineRule="auto"/>
        <w:ind w:left="683" w:right="0" w:hanging="426"/>
        <w:jc w:val="left"/>
        <w:rPr>
          <w:rFonts w:ascii="微软雅黑" w:eastAsia="微软雅黑"/>
        </w:rPr>
      </w:pPr>
      <w:r>
        <w:rPr>
          <w:rFonts w:ascii="微软雅黑" w:eastAsia="微软雅黑"/>
          <w:spacing w:val="-1"/>
        </w:rPr>
        <w:t>招标文件的更正和修改</w:t>
      </w:r>
    </w:p>
    <w:p>
      <w:pPr>
        <w:pStyle w:val="ListParagraph"/>
        <w:numPr>
          <w:ilvl w:val="1"/>
          <w:numId w:val="26"/>
        </w:numPr>
        <w:tabs>
          <w:tab w:val="left" w:pos="825"/>
        </w:tabs>
        <w:spacing w:before="101" w:after="0" w:line="364" w:lineRule="auto"/>
        <w:ind w:left="825" w:right="356" w:hanging="567"/>
        <w:jc w:val="both"/>
        <w:rPr>
          <w:sz w:val="24"/>
        </w:rPr>
      </w:pPr>
      <w:r>
        <w:rPr>
          <w:spacing w:val="-2"/>
          <w:sz w:val="24"/>
        </w:rPr>
        <w:t>任何要求对招标文件进行澄清的投标人，均应以书面形式通知采购代理机构。采</w:t>
      </w:r>
      <w:r>
        <w:rPr>
          <w:spacing w:val="-5"/>
          <w:sz w:val="24"/>
        </w:rPr>
        <w:t xml:space="preserve">购代理机构对其在投标须知规定的投标截止时间 </w:t>
      </w:r>
      <w:r>
        <w:rPr>
          <w:spacing w:val="-4"/>
          <w:sz w:val="24"/>
        </w:rPr>
        <w:t>15</w:t>
      </w:r>
      <w:r>
        <w:rPr>
          <w:spacing w:val="-7"/>
          <w:sz w:val="24"/>
        </w:rPr>
        <w:t xml:space="preserve"> 日以前收到的对招标文件的澄</w:t>
      </w:r>
      <w:r>
        <w:rPr>
          <w:spacing w:val="-2"/>
          <w:sz w:val="24"/>
        </w:rPr>
        <w:t>清要求将以书面形式予以答复，同时将书面答复寄送或传真给每个购买招标文件</w:t>
      </w:r>
      <w:r>
        <w:rPr>
          <w:spacing w:val="-2"/>
          <w:sz w:val="24"/>
        </w:rPr>
        <w:t>的投标人（答复中包括所有问题，但不包括问题的来源</w:t>
      </w:r>
      <w:r>
        <w:rPr>
          <w:spacing w:val="-120"/>
          <w:sz w:val="24"/>
        </w:rPr>
        <w:t>）</w:t>
      </w:r>
      <w:r>
        <w:rPr>
          <w:spacing w:val="-2"/>
          <w:sz w:val="24"/>
        </w:rPr>
        <w:t>。</w:t>
      </w:r>
    </w:p>
    <w:p>
      <w:pPr>
        <w:pStyle w:val="ListParagraph"/>
        <w:numPr>
          <w:ilvl w:val="1"/>
          <w:numId w:val="26"/>
        </w:numPr>
        <w:tabs>
          <w:tab w:val="left" w:pos="825"/>
        </w:tabs>
        <w:spacing w:before="0" w:after="0" w:line="364" w:lineRule="auto"/>
        <w:ind w:left="825" w:right="356" w:hanging="567"/>
        <w:jc w:val="both"/>
        <w:rPr>
          <w:sz w:val="24"/>
        </w:rPr>
      </w:pPr>
      <w:r>
        <w:rPr>
          <w:spacing w:val="-2"/>
          <w:sz w:val="24"/>
        </w:rPr>
        <w:t>招标文件的更正和修改文件将以书面形式通知所有购买招标文件的投标人，该更</w:t>
      </w:r>
      <w:r>
        <w:rPr>
          <w:spacing w:val="-2"/>
          <w:sz w:val="24"/>
        </w:rPr>
        <w:t>正和修改文件也是招标文件的组成部分，并对投标人具有约束力。</w:t>
      </w:r>
    </w:p>
    <w:p>
      <w:pPr>
        <w:pStyle w:val="ListParagraph"/>
        <w:numPr>
          <w:ilvl w:val="1"/>
          <w:numId w:val="26"/>
        </w:numPr>
        <w:tabs>
          <w:tab w:val="left" w:pos="825"/>
        </w:tabs>
        <w:spacing w:before="0" w:after="0" w:line="364" w:lineRule="auto"/>
        <w:ind w:left="825" w:right="356" w:hanging="567"/>
        <w:jc w:val="both"/>
        <w:rPr>
          <w:sz w:val="24"/>
        </w:rPr>
      </w:pPr>
      <w:r>
        <w:rPr>
          <w:spacing w:val="-2"/>
          <w:sz w:val="24"/>
        </w:rPr>
        <w:t>投标人在收到采购代理机构发给的任何更正和修改文件时，都应在收到后立即以</w:t>
      </w:r>
      <w:r>
        <w:rPr>
          <w:spacing w:val="-2"/>
          <w:sz w:val="24"/>
        </w:rPr>
        <w:t>书面形式向采购代理机构确认。</w:t>
      </w:r>
    </w:p>
    <w:p>
      <w:pPr>
        <w:pStyle w:val="ListParagraph"/>
        <w:numPr>
          <w:ilvl w:val="1"/>
          <w:numId w:val="26"/>
        </w:numPr>
        <w:tabs>
          <w:tab w:val="left" w:pos="825"/>
        </w:tabs>
        <w:spacing w:before="0" w:after="0" w:line="364" w:lineRule="auto"/>
        <w:ind w:left="825" w:right="356" w:hanging="567"/>
        <w:jc w:val="both"/>
        <w:rPr>
          <w:sz w:val="24"/>
        </w:rPr>
      </w:pPr>
      <w:r>
        <w:rPr>
          <w:spacing w:val="-2"/>
          <w:sz w:val="24"/>
        </w:rPr>
        <w:t>投标人如对本项目招标文件的所有内容（包括澄清，以及所有已提供的参考资料和有关附件）存在疑问，请在递交投标文件时间截止前向采购代理机构提出询问</w:t>
      </w:r>
      <w:r>
        <w:rPr>
          <w:spacing w:val="-4"/>
          <w:sz w:val="24"/>
        </w:rPr>
        <w:t>或质疑。</w:t>
      </w:r>
    </w:p>
    <w:p>
      <w:pPr>
        <w:pStyle w:val="ListParagraph"/>
        <w:numPr>
          <w:ilvl w:val="1"/>
          <w:numId w:val="26"/>
        </w:numPr>
        <w:tabs>
          <w:tab w:val="left" w:pos="825"/>
        </w:tabs>
        <w:spacing w:before="0" w:after="0" w:line="364" w:lineRule="auto"/>
        <w:ind w:left="825" w:right="356" w:hanging="567"/>
        <w:jc w:val="both"/>
        <w:rPr>
          <w:sz w:val="24"/>
        </w:rPr>
      </w:pPr>
      <w:r>
        <w:rPr>
          <w:spacing w:val="-2"/>
          <w:sz w:val="24"/>
        </w:rPr>
        <w:t>询问或质疑应于递交投标文件截止时间前以书面形式（须加盖投标人公章）向采</w:t>
      </w:r>
      <w:r>
        <w:rPr>
          <w:spacing w:val="-1"/>
          <w:sz w:val="24"/>
        </w:rPr>
        <w:t xml:space="preserve">购代理机构提出并送至东莞市莞城东城南路东升大厦 </w:t>
      </w:r>
      <w:r>
        <w:rPr>
          <w:sz w:val="24"/>
        </w:rPr>
        <w:t>301</w:t>
      </w:r>
      <w:r>
        <w:rPr>
          <w:spacing w:val="-6"/>
          <w:sz w:val="24"/>
        </w:rPr>
        <w:t xml:space="preserve"> 室，逾期则视为接受招</w:t>
      </w:r>
      <w:r>
        <w:rPr>
          <w:spacing w:val="-2"/>
          <w:sz w:val="24"/>
        </w:rPr>
        <w:t>标文件所有内容。</w:t>
      </w:r>
    </w:p>
    <w:p>
      <w:pPr>
        <w:pStyle w:val="BodyText"/>
        <w:spacing w:before="11"/>
        <w:rPr>
          <w:sz w:val="29"/>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1"/>
        </w:rPr>
        <w:t>招标文件的语言和计量</w:t>
      </w:r>
    </w:p>
    <w:p>
      <w:pPr>
        <w:pStyle w:val="ListParagraph"/>
        <w:numPr>
          <w:ilvl w:val="1"/>
          <w:numId w:val="26"/>
        </w:numPr>
        <w:tabs>
          <w:tab w:val="left" w:pos="826"/>
        </w:tabs>
        <w:spacing w:before="101" w:after="0" w:line="240" w:lineRule="auto"/>
        <w:ind w:left="825" w:right="0" w:hanging="568"/>
        <w:jc w:val="both"/>
        <w:rPr>
          <w:sz w:val="24"/>
        </w:rPr>
      </w:pPr>
      <w:r>
        <w:rPr>
          <w:spacing w:val="-3"/>
          <w:sz w:val="24"/>
        </w:rPr>
        <w:t>招标文件的语言为中文。</w:t>
      </w:r>
    </w:p>
    <w:p>
      <w:pPr>
        <w:pStyle w:val="ListParagraph"/>
        <w:numPr>
          <w:ilvl w:val="1"/>
          <w:numId w:val="26"/>
        </w:numPr>
        <w:tabs>
          <w:tab w:val="left" w:pos="826"/>
        </w:tabs>
        <w:spacing w:before="159" w:after="0" w:line="240" w:lineRule="auto"/>
        <w:ind w:left="825" w:right="0" w:hanging="568"/>
        <w:jc w:val="both"/>
        <w:rPr>
          <w:sz w:val="24"/>
        </w:rPr>
      </w:pPr>
      <w:r>
        <w:rPr>
          <w:spacing w:val="-3"/>
          <w:sz w:val="24"/>
        </w:rPr>
        <w:t>招标文件中的所有计量单位采用中华人民共和国法定的计量单位。</w:t>
      </w:r>
    </w:p>
    <w:p>
      <w:pPr>
        <w:pStyle w:val="BodyText"/>
      </w:pPr>
    </w:p>
    <w:p>
      <w:pPr>
        <w:pStyle w:val="BodyText"/>
        <w:rPr>
          <w:sz w:val="17"/>
        </w:rPr>
      </w:pPr>
    </w:p>
    <w:p>
      <w:pPr>
        <w:pStyle w:val="Heading1"/>
      </w:pPr>
      <w:bookmarkStart w:id="4" w:name="_TOC_250026"/>
      <w:r>
        <w:t>（三）</w:t>
      </w:r>
      <w:bookmarkEnd w:id="4"/>
      <w:r>
        <w:rPr>
          <w:spacing w:val="-2"/>
        </w:rPr>
        <w:t>投标文件的编制</w:t>
      </w:r>
    </w:p>
    <w:p>
      <w:pPr>
        <w:pStyle w:val="Heading4"/>
        <w:numPr>
          <w:ilvl w:val="0"/>
          <w:numId w:val="26"/>
        </w:numPr>
        <w:tabs>
          <w:tab w:val="left" w:pos="684"/>
        </w:tabs>
        <w:spacing w:before="57" w:after="0" w:line="240" w:lineRule="auto"/>
        <w:ind w:left="683" w:right="0" w:hanging="426"/>
        <w:jc w:val="left"/>
        <w:rPr>
          <w:rFonts w:ascii="微软雅黑" w:eastAsia="微软雅黑"/>
        </w:rPr>
      </w:pPr>
      <w:r>
        <w:rPr>
          <w:rFonts w:ascii="微软雅黑" w:eastAsia="微软雅黑"/>
          <w:spacing w:val="-1"/>
        </w:rPr>
        <w:t>投标文件的语言和计量</w:t>
      </w:r>
    </w:p>
    <w:p>
      <w:pPr>
        <w:pStyle w:val="ListParagraph"/>
        <w:numPr>
          <w:ilvl w:val="1"/>
          <w:numId w:val="26"/>
        </w:numPr>
        <w:tabs>
          <w:tab w:val="left" w:pos="826"/>
        </w:tabs>
        <w:spacing w:before="101" w:after="0" w:line="364" w:lineRule="auto"/>
        <w:ind w:left="825" w:right="356" w:hanging="567"/>
        <w:jc w:val="both"/>
        <w:rPr>
          <w:sz w:val="24"/>
        </w:rPr>
      </w:pPr>
      <w:r>
        <w:rPr>
          <w:spacing w:val="-2"/>
          <w:sz w:val="24"/>
        </w:rPr>
        <w:t>投标人的投标文件以及投标人与采购代理机构就有关投标的所有往来函电均应使用中文，货物的品牌、型号或为表述名称的需要只能用英文或英文字母表达的，</w:t>
      </w:r>
      <w:r>
        <w:rPr>
          <w:spacing w:val="-2"/>
          <w:sz w:val="24"/>
        </w:rPr>
        <w:t>可使用英文或英文字母。</w:t>
      </w:r>
    </w:p>
    <w:p>
      <w:pPr>
        <w:pStyle w:val="ListParagraph"/>
        <w:numPr>
          <w:ilvl w:val="1"/>
          <w:numId w:val="26"/>
        </w:numPr>
        <w:tabs>
          <w:tab w:val="left" w:pos="826"/>
        </w:tabs>
        <w:spacing w:before="0" w:after="0" w:line="306" w:lineRule="exact"/>
        <w:ind w:left="825" w:right="0" w:hanging="568"/>
        <w:jc w:val="both"/>
        <w:rPr>
          <w:sz w:val="24"/>
        </w:rPr>
      </w:pPr>
      <w:r>
        <w:rPr>
          <w:spacing w:val="-3"/>
          <w:sz w:val="24"/>
        </w:rPr>
        <w:t>投标文件中的所有计量单位采用中华人民共和国法定的计量单位。</w:t>
      </w:r>
    </w:p>
    <w:p>
      <w:pPr>
        <w:pStyle w:val="BodyText"/>
      </w:pPr>
    </w:p>
    <w:p>
      <w:pPr>
        <w:pStyle w:val="BodyText"/>
        <w:spacing w:before="12"/>
        <w:rPr>
          <w:sz w:val="18"/>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2"/>
        </w:rPr>
        <w:t>投标文件的构成</w:t>
      </w:r>
    </w:p>
    <w:p>
      <w:pPr>
        <w:spacing w:after="0" w:line="240" w:lineRule="auto"/>
        <w:jc w:val="left"/>
        <w:rPr>
          <w:rFonts w:ascii="微软雅黑" w:eastAsia="微软雅黑"/>
        </w:rPr>
        <w:sectPr>
          <w:headerReference w:type="default" r:id="rId14"/>
          <w:footerReference w:type="default" r:id="rId15"/>
          <w:pgSz w:w="11910" w:h="16840"/>
          <w:pgMar w:top="1080" w:right="1060" w:bottom="1040" w:left="1160" w:header="700" w:footer="841"/>
          <w:pgNumType w:start="5"/>
          <w:cols w:space="708"/>
        </w:sectPr>
      </w:pPr>
    </w:p>
    <w:p>
      <w:pPr>
        <w:pStyle w:val="ListParagraph"/>
        <w:numPr>
          <w:ilvl w:val="1"/>
          <w:numId w:val="26"/>
        </w:numPr>
        <w:tabs>
          <w:tab w:val="left" w:pos="826"/>
        </w:tabs>
        <w:spacing w:before="56" w:after="0" w:line="240" w:lineRule="auto"/>
        <w:ind w:left="825" w:right="0" w:hanging="568"/>
        <w:jc w:val="left"/>
        <w:rPr>
          <w:sz w:val="24"/>
        </w:rPr>
      </w:pPr>
      <w:r>
        <w:rPr>
          <w:spacing w:val="-3"/>
          <w:sz w:val="24"/>
        </w:rPr>
        <w:t>投标人编写的投标文件应包括但不限于下列部分：</w:t>
      </w:r>
    </w:p>
    <w:p>
      <w:pPr>
        <w:pStyle w:val="ListParagraph"/>
        <w:numPr>
          <w:ilvl w:val="0"/>
          <w:numId w:val="13"/>
        </w:numPr>
        <w:tabs>
          <w:tab w:val="left" w:pos="1698"/>
        </w:tabs>
        <w:spacing w:before="159" w:after="0" w:line="240" w:lineRule="auto"/>
        <w:ind w:left="1698" w:right="0" w:hanging="720"/>
        <w:jc w:val="left"/>
        <w:rPr>
          <w:sz w:val="24"/>
        </w:rPr>
      </w:pPr>
      <w:r>
        <w:rPr>
          <w:spacing w:val="-1"/>
          <w:sz w:val="24"/>
        </w:rPr>
        <w:t>按投标须知规定填写的投标书。</w:t>
      </w:r>
    </w:p>
    <w:p>
      <w:pPr>
        <w:pStyle w:val="ListParagraph"/>
        <w:numPr>
          <w:ilvl w:val="0"/>
          <w:numId w:val="13"/>
        </w:numPr>
        <w:tabs>
          <w:tab w:val="left" w:pos="1698"/>
        </w:tabs>
        <w:spacing w:before="160" w:after="0" w:line="240" w:lineRule="auto"/>
        <w:ind w:left="1698" w:right="0" w:hanging="720"/>
        <w:jc w:val="left"/>
        <w:rPr>
          <w:sz w:val="24"/>
        </w:rPr>
      </w:pPr>
      <w:r>
        <w:rPr>
          <w:spacing w:val="-1"/>
          <w:sz w:val="24"/>
        </w:rPr>
        <w:t>按投标须知要求出具的资格证明文件。</w:t>
      </w:r>
    </w:p>
    <w:p>
      <w:pPr>
        <w:pStyle w:val="ListParagraph"/>
        <w:numPr>
          <w:ilvl w:val="0"/>
          <w:numId w:val="13"/>
        </w:numPr>
        <w:tabs>
          <w:tab w:val="left" w:pos="1698"/>
        </w:tabs>
        <w:spacing w:before="159" w:after="0" w:line="364" w:lineRule="auto"/>
        <w:ind w:left="1698" w:right="355" w:hanging="720"/>
        <w:jc w:val="left"/>
        <w:rPr>
          <w:sz w:val="24"/>
        </w:rPr>
      </w:pPr>
      <w:r>
        <w:rPr>
          <w:spacing w:val="-2"/>
          <w:sz w:val="24"/>
        </w:rPr>
        <w:t>按投标须知规定提交的投标保证金支付凭证（银行划款单复印件，加盖公</w:t>
      </w:r>
      <w:r>
        <w:rPr>
          <w:spacing w:val="-2"/>
          <w:sz w:val="24"/>
        </w:rPr>
        <w:t>章）的复印件。</w:t>
      </w:r>
    </w:p>
    <w:p>
      <w:pPr>
        <w:pStyle w:val="ListParagraph"/>
        <w:numPr>
          <w:ilvl w:val="0"/>
          <w:numId w:val="13"/>
        </w:numPr>
        <w:tabs>
          <w:tab w:val="left" w:pos="1698"/>
        </w:tabs>
        <w:spacing w:before="0" w:after="0" w:line="364" w:lineRule="auto"/>
        <w:ind w:left="1698" w:right="355" w:hanging="720"/>
        <w:jc w:val="left"/>
        <w:rPr>
          <w:sz w:val="24"/>
        </w:rPr>
      </w:pPr>
      <w:r>
        <w:rPr>
          <w:spacing w:val="-2"/>
          <w:sz w:val="24"/>
        </w:rPr>
        <w:t>对招标文件第二、四部分做出书面响应，包括但不限于供应货物清单、主</w:t>
      </w:r>
      <w:r>
        <w:rPr>
          <w:spacing w:val="-2"/>
          <w:sz w:val="24"/>
        </w:rPr>
        <w:t>要货物参数、质量证明等。</w:t>
      </w:r>
    </w:p>
    <w:p>
      <w:pPr>
        <w:pStyle w:val="BodyText"/>
        <w:spacing w:before="1"/>
        <w:rPr>
          <w:sz w:val="30"/>
        </w:rPr>
      </w:pPr>
    </w:p>
    <w:p>
      <w:pPr>
        <w:pStyle w:val="Heading4"/>
        <w:numPr>
          <w:ilvl w:val="0"/>
          <w:numId w:val="26"/>
        </w:numPr>
        <w:tabs>
          <w:tab w:val="left" w:pos="684"/>
        </w:tabs>
        <w:spacing w:before="0" w:after="0" w:line="240" w:lineRule="auto"/>
        <w:ind w:left="683" w:right="0" w:hanging="426"/>
        <w:jc w:val="left"/>
      </w:pPr>
      <w:r>
        <w:rPr>
          <w:spacing w:val="-4"/>
        </w:rPr>
        <w:t>投标书</w:t>
      </w:r>
    </w:p>
    <w:p>
      <w:pPr>
        <w:pStyle w:val="ListParagraph"/>
        <w:numPr>
          <w:ilvl w:val="1"/>
          <w:numId w:val="26"/>
        </w:numPr>
        <w:tabs>
          <w:tab w:val="left" w:pos="826"/>
        </w:tabs>
        <w:spacing w:before="105" w:after="0" w:line="240" w:lineRule="auto"/>
        <w:ind w:left="825" w:right="0" w:hanging="568"/>
        <w:jc w:val="left"/>
        <w:rPr>
          <w:sz w:val="24"/>
        </w:rPr>
      </w:pPr>
      <w:r>
        <w:rPr>
          <w:spacing w:val="-3"/>
          <w:sz w:val="24"/>
        </w:rPr>
        <w:t>投标人应完整地填写投标文件格式中规定的投标书。</w:t>
      </w:r>
    </w:p>
    <w:p>
      <w:pPr>
        <w:pStyle w:val="BodyText"/>
      </w:pPr>
    </w:p>
    <w:p>
      <w:pPr>
        <w:pStyle w:val="BodyText"/>
        <w:spacing w:before="9"/>
        <w:rPr>
          <w:sz w:val="18"/>
        </w:rPr>
      </w:pPr>
    </w:p>
    <w:p>
      <w:pPr>
        <w:pStyle w:val="Heading4"/>
        <w:numPr>
          <w:ilvl w:val="0"/>
          <w:numId w:val="26"/>
        </w:numPr>
        <w:tabs>
          <w:tab w:val="left" w:pos="684"/>
        </w:tabs>
        <w:spacing w:before="0" w:after="0" w:line="240" w:lineRule="auto"/>
        <w:ind w:left="683" w:right="0" w:hanging="426"/>
        <w:jc w:val="left"/>
      </w:pPr>
      <w:r>
        <w:rPr>
          <w:spacing w:val="-1"/>
        </w:rPr>
        <w:t>证明投标人合格及履约能力的资料文件</w:t>
      </w:r>
    </w:p>
    <w:p>
      <w:pPr>
        <w:pStyle w:val="ListParagraph"/>
        <w:numPr>
          <w:ilvl w:val="1"/>
          <w:numId w:val="26"/>
        </w:numPr>
        <w:tabs>
          <w:tab w:val="left" w:pos="826"/>
        </w:tabs>
        <w:spacing w:before="105" w:after="0" w:line="364" w:lineRule="auto"/>
        <w:ind w:left="825" w:right="356" w:hanging="567"/>
        <w:jc w:val="both"/>
        <w:rPr>
          <w:sz w:val="24"/>
        </w:rPr>
      </w:pPr>
      <w:r>
        <w:rPr>
          <w:spacing w:val="-2"/>
          <w:sz w:val="24"/>
        </w:rPr>
        <w:t>投标人应提交证明其有资格参加投标和中标后有能力履行供货合同的文件，以及证明其在供货合同项下拟提供的货物和服务均符合招标文件规定的文件，并作为</w:t>
      </w:r>
      <w:r>
        <w:rPr>
          <w:spacing w:val="-2"/>
          <w:sz w:val="24"/>
        </w:rPr>
        <w:t>其投标文件的一部分。</w:t>
      </w:r>
    </w:p>
    <w:p>
      <w:pPr>
        <w:pStyle w:val="ListParagraph"/>
        <w:numPr>
          <w:ilvl w:val="1"/>
          <w:numId w:val="26"/>
        </w:numPr>
        <w:tabs>
          <w:tab w:val="left" w:pos="826"/>
        </w:tabs>
        <w:spacing w:before="0" w:after="0" w:line="306" w:lineRule="exact"/>
        <w:ind w:left="825" w:right="0" w:hanging="568"/>
        <w:jc w:val="both"/>
        <w:rPr>
          <w:sz w:val="24"/>
        </w:rPr>
      </w:pPr>
      <w:r>
        <w:rPr>
          <w:spacing w:val="-3"/>
          <w:sz w:val="24"/>
        </w:rPr>
        <w:t>投标人提交的中标后履行供货合同的资格证明文件应满足招标文件的要求：</w:t>
      </w:r>
    </w:p>
    <w:p>
      <w:pPr>
        <w:pStyle w:val="ListParagraph"/>
        <w:numPr>
          <w:ilvl w:val="0"/>
          <w:numId w:val="16"/>
        </w:numPr>
        <w:tabs>
          <w:tab w:val="left" w:pos="1698"/>
        </w:tabs>
        <w:spacing w:before="159" w:after="0" w:line="240" w:lineRule="auto"/>
        <w:ind w:left="1698" w:right="0" w:hanging="720"/>
        <w:jc w:val="left"/>
        <w:rPr>
          <w:sz w:val="24"/>
        </w:rPr>
      </w:pPr>
      <w:r>
        <w:rPr>
          <w:sz w:val="24"/>
        </w:rPr>
        <w:t>投标人的营业执照复印件（加盖公章</w:t>
      </w:r>
      <w:r>
        <w:rPr>
          <w:spacing w:val="-120"/>
          <w:sz w:val="24"/>
        </w:rPr>
        <w:t>）</w:t>
      </w:r>
      <w:r>
        <w:rPr>
          <w:spacing w:val="-10"/>
          <w:sz w:val="24"/>
        </w:rPr>
        <w:t>。</w:t>
      </w:r>
    </w:p>
    <w:p>
      <w:pPr>
        <w:pStyle w:val="ListParagraph"/>
        <w:numPr>
          <w:ilvl w:val="0"/>
          <w:numId w:val="16"/>
        </w:numPr>
        <w:tabs>
          <w:tab w:val="left" w:pos="1698"/>
        </w:tabs>
        <w:spacing w:before="159" w:after="0" w:line="240" w:lineRule="auto"/>
        <w:ind w:left="1698" w:right="0" w:hanging="720"/>
        <w:jc w:val="left"/>
        <w:rPr>
          <w:sz w:val="24"/>
        </w:rPr>
      </w:pPr>
      <w:r>
        <w:rPr>
          <w:sz w:val="24"/>
        </w:rPr>
        <w:t>投标人的税务登记证复印件（加盖公章</w:t>
      </w:r>
      <w:r>
        <w:rPr>
          <w:spacing w:val="-120"/>
          <w:sz w:val="24"/>
        </w:rPr>
        <w:t>）</w:t>
      </w:r>
      <w:r>
        <w:rPr>
          <w:spacing w:val="-10"/>
          <w:sz w:val="24"/>
        </w:rPr>
        <w:t>。</w:t>
      </w:r>
    </w:p>
    <w:p>
      <w:pPr>
        <w:pStyle w:val="ListParagraph"/>
        <w:numPr>
          <w:ilvl w:val="0"/>
          <w:numId w:val="16"/>
        </w:numPr>
        <w:tabs>
          <w:tab w:val="left" w:pos="1698"/>
        </w:tabs>
        <w:spacing w:before="160" w:after="0" w:line="240" w:lineRule="auto"/>
        <w:ind w:left="1698" w:right="0" w:hanging="720"/>
        <w:jc w:val="left"/>
        <w:rPr>
          <w:sz w:val="24"/>
        </w:rPr>
      </w:pPr>
      <w:r>
        <w:rPr>
          <w:sz w:val="24"/>
        </w:rPr>
        <w:t>投标人的组织机构代码证复印件（加盖公章</w:t>
      </w:r>
      <w:r>
        <w:rPr>
          <w:spacing w:val="-120"/>
          <w:sz w:val="24"/>
        </w:rPr>
        <w:t>）</w:t>
      </w:r>
      <w:r>
        <w:rPr>
          <w:spacing w:val="-10"/>
          <w:sz w:val="24"/>
        </w:rPr>
        <w:t>。</w:t>
      </w:r>
    </w:p>
    <w:p>
      <w:pPr>
        <w:pStyle w:val="ListParagraph"/>
        <w:numPr>
          <w:ilvl w:val="0"/>
          <w:numId w:val="16"/>
        </w:numPr>
        <w:tabs>
          <w:tab w:val="left" w:pos="1698"/>
        </w:tabs>
        <w:spacing w:before="159" w:after="0" w:line="240" w:lineRule="auto"/>
        <w:ind w:left="1698" w:right="0" w:hanging="720"/>
        <w:jc w:val="left"/>
        <w:rPr>
          <w:sz w:val="24"/>
        </w:rPr>
      </w:pPr>
      <w:r>
        <w:rPr>
          <w:sz w:val="24"/>
        </w:rPr>
        <w:t>法定代表人及其委托代理人身份证复印件（加盖公章</w:t>
      </w:r>
      <w:r>
        <w:rPr>
          <w:spacing w:val="-120"/>
          <w:sz w:val="24"/>
        </w:rPr>
        <w:t>）</w:t>
      </w:r>
      <w:r>
        <w:rPr>
          <w:spacing w:val="-10"/>
          <w:sz w:val="24"/>
        </w:rPr>
        <w:t>。</w:t>
      </w:r>
    </w:p>
    <w:p>
      <w:pPr>
        <w:pStyle w:val="ListParagraph"/>
        <w:numPr>
          <w:ilvl w:val="0"/>
          <w:numId w:val="16"/>
        </w:numPr>
        <w:tabs>
          <w:tab w:val="left" w:pos="1698"/>
        </w:tabs>
        <w:spacing w:before="159" w:after="0" w:line="240" w:lineRule="auto"/>
        <w:ind w:left="1698" w:right="0" w:hanging="720"/>
        <w:jc w:val="left"/>
        <w:rPr>
          <w:sz w:val="24"/>
        </w:rPr>
      </w:pPr>
      <w:r>
        <w:rPr>
          <w:spacing w:val="-1"/>
          <w:sz w:val="24"/>
        </w:rPr>
        <w:t>有委托代理人的，提供法定代表人授权书。</w:t>
      </w:r>
    </w:p>
    <w:p>
      <w:pPr>
        <w:pStyle w:val="ListParagraph"/>
        <w:numPr>
          <w:ilvl w:val="0"/>
          <w:numId w:val="16"/>
        </w:numPr>
        <w:tabs>
          <w:tab w:val="left" w:pos="1698"/>
        </w:tabs>
        <w:spacing w:before="160" w:after="0" w:line="240" w:lineRule="auto"/>
        <w:ind w:left="1698" w:right="0" w:hanging="720"/>
        <w:jc w:val="left"/>
        <w:rPr>
          <w:sz w:val="24"/>
        </w:rPr>
      </w:pPr>
      <w:r>
        <w:rPr>
          <w:sz w:val="24"/>
        </w:rPr>
        <w:t>投标人应提供服务资源配置情况表（包括但不限于技术人员情况表</w:t>
      </w:r>
      <w:r>
        <w:rPr>
          <w:spacing w:val="-120"/>
          <w:sz w:val="24"/>
        </w:rPr>
        <w:t>）</w:t>
      </w:r>
      <w:r>
        <w:rPr>
          <w:spacing w:val="-10"/>
          <w:sz w:val="24"/>
        </w:rPr>
        <w:t>。</w:t>
      </w:r>
    </w:p>
    <w:p>
      <w:pPr>
        <w:pStyle w:val="ListParagraph"/>
        <w:numPr>
          <w:ilvl w:val="0"/>
          <w:numId w:val="16"/>
        </w:numPr>
        <w:tabs>
          <w:tab w:val="left" w:pos="1698"/>
        </w:tabs>
        <w:spacing w:before="159" w:after="0" w:line="240" w:lineRule="auto"/>
        <w:ind w:left="1698" w:right="0" w:hanging="720"/>
        <w:jc w:val="left"/>
        <w:rPr>
          <w:sz w:val="24"/>
        </w:rPr>
      </w:pPr>
      <w:r>
        <w:rPr>
          <w:spacing w:val="-1"/>
          <w:sz w:val="24"/>
        </w:rPr>
        <w:t>投标人应提供本项目管理人员的资历、工作履历等文件。</w:t>
      </w:r>
    </w:p>
    <w:p>
      <w:pPr>
        <w:pStyle w:val="ListParagraph"/>
        <w:numPr>
          <w:ilvl w:val="0"/>
          <w:numId w:val="16"/>
        </w:numPr>
        <w:tabs>
          <w:tab w:val="left" w:pos="1698"/>
        </w:tabs>
        <w:spacing w:before="159" w:after="0" w:line="364" w:lineRule="auto"/>
        <w:ind w:left="1698" w:right="355" w:hanging="720"/>
        <w:jc w:val="left"/>
        <w:rPr>
          <w:sz w:val="24"/>
        </w:rPr>
      </w:pPr>
      <w:r>
        <w:rPr>
          <w:spacing w:val="-2"/>
          <w:sz w:val="24"/>
        </w:rPr>
        <w:t>投标人应提供保修期及售后服务承诺（投标人提供售后服务内容细则，维</w:t>
      </w:r>
      <w:r>
        <w:rPr>
          <w:spacing w:val="-2"/>
          <w:sz w:val="24"/>
        </w:rPr>
        <w:t>修保养费不列入报价</w:t>
      </w:r>
      <w:r>
        <w:rPr>
          <w:spacing w:val="-120"/>
          <w:sz w:val="24"/>
        </w:rPr>
        <w:t>）</w:t>
      </w:r>
      <w:r>
        <w:rPr>
          <w:spacing w:val="-2"/>
          <w:sz w:val="24"/>
        </w:rPr>
        <w:t>。</w:t>
      </w:r>
    </w:p>
    <w:p>
      <w:pPr>
        <w:pStyle w:val="BodyText"/>
        <w:spacing w:before="2"/>
        <w:rPr>
          <w:sz w:val="30"/>
        </w:rPr>
      </w:pPr>
    </w:p>
    <w:p>
      <w:pPr>
        <w:pStyle w:val="Heading4"/>
        <w:numPr>
          <w:ilvl w:val="0"/>
          <w:numId w:val="26"/>
        </w:numPr>
        <w:tabs>
          <w:tab w:val="left" w:pos="684"/>
        </w:tabs>
        <w:spacing w:before="1" w:after="0" w:line="240" w:lineRule="auto"/>
        <w:ind w:left="683" w:right="0" w:hanging="426"/>
        <w:jc w:val="left"/>
      </w:pPr>
      <w:r>
        <w:rPr>
          <w:spacing w:val="-2"/>
        </w:rPr>
        <w:t>投标保证金</w:t>
      </w:r>
    </w:p>
    <w:p>
      <w:pPr>
        <w:pStyle w:val="ListParagraph"/>
        <w:numPr>
          <w:ilvl w:val="1"/>
          <w:numId w:val="26"/>
        </w:numPr>
        <w:tabs>
          <w:tab w:val="left" w:pos="826"/>
        </w:tabs>
        <w:spacing w:before="104" w:after="0" w:line="240" w:lineRule="auto"/>
        <w:ind w:left="825" w:right="0" w:hanging="568"/>
        <w:jc w:val="both"/>
        <w:rPr>
          <w:sz w:val="24"/>
        </w:rPr>
      </w:pPr>
      <w:r>
        <w:rPr>
          <w:spacing w:val="-3"/>
          <w:sz w:val="24"/>
        </w:rPr>
        <w:t>投标人应提交金额为人民币玖万元整的投标保证金，并作为其投标文件的一部分。</w:t>
      </w:r>
    </w:p>
    <w:p>
      <w:pPr>
        <w:pStyle w:val="ListParagraph"/>
        <w:numPr>
          <w:ilvl w:val="1"/>
          <w:numId w:val="26"/>
        </w:numPr>
        <w:tabs>
          <w:tab w:val="left" w:pos="826"/>
        </w:tabs>
        <w:spacing w:before="160" w:after="0" w:line="364" w:lineRule="auto"/>
        <w:ind w:left="825" w:right="356" w:hanging="567"/>
        <w:jc w:val="both"/>
        <w:rPr>
          <w:sz w:val="24"/>
        </w:rPr>
      </w:pPr>
      <w:r>
        <w:rPr>
          <w:spacing w:val="-2"/>
          <w:sz w:val="24"/>
          <w:u w:val="single"/>
        </w:rPr>
        <w:t>投标人应按要求提交投标保证金，投标人必须采用银行转账、电汇或《政府采购</w:t>
      </w:r>
      <w:r>
        <w:rPr>
          <w:spacing w:val="40"/>
          <w:sz w:val="24"/>
          <w:u w:val="single"/>
        </w:rPr>
        <w:t xml:space="preserve"> </w:t>
      </w:r>
      <w:r>
        <w:rPr>
          <w:spacing w:val="-2"/>
          <w:sz w:val="24"/>
          <w:u w:val="single"/>
        </w:rPr>
        <w:t>投标担保函》形式缴交，投标供应商与交款人名称必须一致，非投标供应商缴纳</w:t>
      </w:r>
      <w:r>
        <w:rPr>
          <w:spacing w:val="-1"/>
          <w:sz w:val="24"/>
          <w:u w:val="single"/>
        </w:rPr>
        <w:t>的投标保证金无效。划账时须在银行划款单用途栏上注明本次招标编号和投标人</w:t>
      </w:r>
    </w:p>
    <w:p>
      <w:pPr>
        <w:spacing w:after="0" w:line="364" w:lineRule="auto"/>
        <w:jc w:val="both"/>
        <w:rPr>
          <w:sz w:val="24"/>
        </w:rPr>
        <w:sectPr>
          <w:headerReference w:type="default" r:id="rId16"/>
          <w:footerReference w:type="default" r:id="rId17"/>
          <w:pgSz w:w="11910" w:h="16840"/>
          <w:pgMar w:top="1080" w:right="1060" w:bottom="1040" w:left="1160" w:header="700" w:footer="841"/>
          <w:pgNumType w:start="6"/>
          <w:cols w:space="708"/>
        </w:sectPr>
      </w:pPr>
    </w:p>
    <w:p>
      <w:pPr>
        <w:pStyle w:val="BodyText"/>
        <w:spacing w:before="56"/>
        <w:ind w:left="825"/>
      </w:pPr>
      <w:r>
        <w:rPr>
          <w:u w:val="single"/>
        </w:rPr>
        <w:t>的简称(5</w:t>
      </w:r>
      <w:r>
        <w:rPr>
          <w:spacing w:val="-10"/>
          <w:u w:val="single"/>
        </w:rPr>
        <w:t xml:space="preserve"> 个字以内)。</w:t>
      </w:r>
    </w:p>
    <w:p>
      <w:pPr>
        <w:pStyle w:val="ListParagraph"/>
        <w:numPr>
          <w:ilvl w:val="1"/>
          <w:numId w:val="26"/>
        </w:numPr>
        <w:tabs>
          <w:tab w:val="left" w:pos="826"/>
        </w:tabs>
        <w:spacing w:before="159" w:after="0" w:line="364" w:lineRule="auto"/>
        <w:ind w:left="825" w:right="356" w:hanging="567"/>
        <w:jc w:val="left"/>
        <w:rPr>
          <w:sz w:val="24"/>
        </w:rPr>
      </w:pPr>
      <w:r>
        <w:rPr>
          <w:spacing w:val="-2"/>
          <w:sz w:val="24"/>
        </w:rPr>
        <w:t>开标时,采购代理机构将网银反映的投标保证金汇入情况公布出来,确定投标供应</w:t>
      </w:r>
      <w:r>
        <w:rPr>
          <w:spacing w:val="-2"/>
          <w:sz w:val="24"/>
        </w:rPr>
        <w:t>商保证金是否到账。</w:t>
      </w:r>
    </w:p>
    <w:p>
      <w:pPr>
        <w:pStyle w:val="ListParagraph"/>
        <w:numPr>
          <w:ilvl w:val="1"/>
          <w:numId w:val="26"/>
        </w:numPr>
        <w:tabs>
          <w:tab w:val="left" w:pos="826"/>
        </w:tabs>
        <w:spacing w:before="0" w:after="0" w:line="364" w:lineRule="auto"/>
        <w:ind w:left="825" w:right="356" w:hanging="567"/>
        <w:jc w:val="left"/>
        <w:rPr>
          <w:sz w:val="24"/>
        </w:rPr>
      </w:pPr>
      <w:r>
        <w:rPr>
          <w:spacing w:val="-2"/>
          <w:sz w:val="24"/>
          <w:u w:val="single"/>
        </w:rPr>
        <w:t>★保证金必须以投标人名义汇入指定账户，保证金以分支机构名义汇入或个人名</w:t>
      </w:r>
      <w:r>
        <w:rPr>
          <w:spacing w:val="-2"/>
          <w:sz w:val="24"/>
          <w:u w:val="single"/>
        </w:rPr>
        <w:t>义汇入或现金存入视为无效，报价当天拒收以现金方式提交的保证金。</w:t>
      </w:r>
    </w:p>
    <w:p>
      <w:pPr>
        <w:pStyle w:val="ListParagraph"/>
        <w:numPr>
          <w:ilvl w:val="1"/>
          <w:numId w:val="26"/>
        </w:numPr>
        <w:tabs>
          <w:tab w:val="left" w:pos="826"/>
        </w:tabs>
        <w:spacing w:before="0" w:after="0" w:line="306" w:lineRule="exact"/>
        <w:ind w:left="825" w:right="0" w:hanging="568"/>
        <w:jc w:val="left"/>
        <w:rPr>
          <w:sz w:val="24"/>
        </w:rPr>
      </w:pPr>
      <w:r>
        <w:rPr>
          <w:spacing w:val="-3"/>
          <w:sz w:val="24"/>
        </w:rPr>
        <w:t>投标人保证金汇错账号的作无效投标处理。</w:t>
      </w:r>
    </w:p>
    <w:p>
      <w:pPr>
        <w:pStyle w:val="ListParagraph"/>
        <w:numPr>
          <w:ilvl w:val="1"/>
          <w:numId w:val="26"/>
        </w:numPr>
        <w:tabs>
          <w:tab w:val="left" w:pos="826"/>
        </w:tabs>
        <w:spacing w:before="159" w:after="0" w:line="240" w:lineRule="auto"/>
        <w:ind w:left="825" w:right="0" w:hanging="568"/>
        <w:jc w:val="left"/>
        <w:rPr>
          <w:sz w:val="24"/>
        </w:rPr>
      </w:pPr>
      <w:r>
        <w:rPr>
          <w:spacing w:val="-3"/>
          <w:sz w:val="24"/>
        </w:rPr>
        <w:t>提交保证金时应符合下列规定：</w:t>
      </w:r>
    </w:p>
    <w:p>
      <w:pPr>
        <w:pStyle w:val="ListParagraph"/>
        <w:numPr>
          <w:ilvl w:val="0"/>
          <w:numId w:val="17"/>
        </w:numPr>
        <w:tabs>
          <w:tab w:val="left" w:pos="1698"/>
        </w:tabs>
        <w:spacing w:before="159" w:after="0" w:line="364" w:lineRule="auto"/>
        <w:ind w:left="1698" w:right="355" w:hanging="720"/>
        <w:jc w:val="left"/>
        <w:rPr>
          <w:sz w:val="24"/>
        </w:rPr>
      </w:pPr>
      <w:r>
        <w:rPr>
          <w:spacing w:val="-2"/>
          <w:sz w:val="24"/>
        </w:rPr>
        <w:t>★采用银行转账、电汇方式提交的，在递交投标文件截止时间前一天必须</w:t>
      </w:r>
      <w:r>
        <w:rPr>
          <w:sz w:val="24"/>
        </w:rPr>
        <w:t>付至东莞市财政国库支付中心(志正)账户上 。</w:t>
      </w:r>
    </w:p>
    <w:p>
      <w:pPr>
        <w:pStyle w:val="ListParagraph"/>
        <w:numPr>
          <w:ilvl w:val="1"/>
          <w:numId w:val="17"/>
        </w:numPr>
        <w:tabs>
          <w:tab w:val="left" w:pos="1752"/>
        </w:tabs>
        <w:spacing w:before="77" w:after="0" w:line="240" w:lineRule="auto"/>
        <w:ind w:left="1752" w:right="0" w:hanging="360"/>
        <w:jc w:val="left"/>
        <w:rPr>
          <w:sz w:val="24"/>
        </w:rPr>
      </w:pPr>
      <w:r>
        <w:rPr>
          <w:spacing w:val="-1"/>
          <w:sz w:val="24"/>
        </w:rPr>
        <w:t>收款人：东莞市财政国库支付中心(志正)</w:t>
      </w:r>
    </w:p>
    <w:p>
      <w:pPr>
        <w:pStyle w:val="ListParagraph"/>
        <w:numPr>
          <w:ilvl w:val="1"/>
          <w:numId w:val="17"/>
        </w:numPr>
        <w:tabs>
          <w:tab w:val="left" w:pos="1752"/>
        </w:tabs>
        <w:spacing w:before="161" w:after="0" w:line="240" w:lineRule="auto"/>
        <w:ind w:left="1752" w:right="0" w:hanging="360"/>
        <w:jc w:val="left"/>
        <w:rPr>
          <w:sz w:val="24"/>
        </w:rPr>
      </w:pPr>
      <w:r>
        <w:rPr>
          <w:spacing w:val="-1"/>
          <w:sz w:val="24"/>
        </w:rPr>
        <w:t>开户银行：建行东莞市分营</w:t>
      </w:r>
    </w:p>
    <w:p>
      <w:pPr>
        <w:pStyle w:val="ListParagraph"/>
        <w:numPr>
          <w:ilvl w:val="1"/>
          <w:numId w:val="17"/>
        </w:numPr>
        <w:tabs>
          <w:tab w:val="left" w:pos="1752"/>
        </w:tabs>
        <w:spacing w:before="160" w:after="0" w:line="240" w:lineRule="auto"/>
        <w:ind w:left="1752" w:right="0" w:hanging="360"/>
        <w:jc w:val="left"/>
        <w:rPr>
          <w:sz w:val="24"/>
        </w:rPr>
      </w:pPr>
      <w:r>
        <w:rPr>
          <w:sz w:val="24"/>
        </w:rPr>
        <w:t>账号</w:t>
      </w:r>
      <w:r>
        <w:rPr>
          <w:spacing w:val="-2"/>
          <w:sz w:val="24"/>
        </w:rPr>
        <w:t>：44001778808053002007</w:t>
      </w:r>
    </w:p>
    <w:p>
      <w:pPr>
        <w:pStyle w:val="BodyText"/>
        <w:spacing w:before="5"/>
        <w:rPr>
          <w:sz w:val="22"/>
        </w:rPr>
      </w:pPr>
    </w:p>
    <w:p>
      <w:pPr>
        <w:pStyle w:val="BodyText"/>
        <w:ind w:left="738"/>
      </w:pPr>
      <w:r>
        <w:t>（各投标人在转帐或电汇时须在用途栏上写明采购编号</w:t>
      </w:r>
      <w:r>
        <w:rPr>
          <w:spacing w:val="-10"/>
        </w:rPr>
        <w:t>）</w:t>
      </w:r>
    </w:p>
    <w:p>
      <w:pPr>
        <w:pStyle w:val="BodyText"/>
        <w:spacing w:before="11"/>
        <w:rPr>
          <w:sz w:val="21"/>
        </w:rPr>
      </w:pPr>
    </w:p>
    <w:p>
      <w:pPr>
        <w:pStyle w:val="BodyText"/>
        <w:ind w:left="738"/>
      </w:pPr>
      <w:r>
        <w:rPr>
          <w:spacing w:val="-6"/>
        </w:rPr>
        <w:t>投标保证金未按规定时间到达指定账户或提交金额不足的，将被视为无效投标文件。</w:t>
      </w:r>
    </w:p>
    <w:p>
      <w:pPr>
        <w:pStyle w:val="ListParagraph"/>
        <w:numPr>
          <w:ilvl w:val="0"/>
          <w:numId w:val="17"/>
        </w:numPr>
        <w:tabs>
          <w:tab w:val="left" w:pos="1698"/>
        </w:tabs>
        <w:spacing w:before="172" w:after="0" w:line="240" w:lineRule="auto"/>
        <w:ind w:left="1698" w:right="0" w:hanging="720"/>
        <w:jc w:val="left"/>
        <w:rPr>
          <w:sz w:val="24"/>
        </w:rPr>
      </w:pPr>
      <w:r>
        <w:rPr>
          <w:spacing w:val="-1"/>
          <w:sz w:val="24"/>
        </w:rPr>
        <w:t>采用《政府采购投标担保函》提交的，应符合下列规定：</w:t>
      </w:r>
    </w:p>
    <w:p>
      <w:pPr>
        <w:pStyle w:val="BodyText"/>
        <w:spacing w:before="7"/>
        <w:rPr>
          <w:sz w:val="30"/>
        </w:rPr>
      </w:pPr>
    </w:p>
    <w:p>
      <w:pPr>
        <w:pStyle w:val="BodyText"/>
        <w:spacing w:before="1" w:line="312" w:lineRule="auto"/>
        <w:ind w:left="258" w:right="355" w:firstLine="480"/>
      </w:pPr>
      <w:r>
        <w:rPr>
          <w:spacing w:val="-2"/>
        </w:rPr>
        <w:t>①由《广东省政府采购信用担保试点实施方案》选定的专业担保机构出具（我市政</w:t>
      </w:r>
      <w:r>
        <w:rPr>
          <w:spacing w:val="-2"/>
        </w:rPr>
        <w:t>府采购投标担保业务承办机构为东莞市金鼎融资担保公司</w:t>
      </w:r>
      <w:r>
        <w:rPr>
          <w:spacing w:val="-120"/>
        </w:rPr>
        <w:t>）</w:t>
      </w:r>
      <w:r>
        <w:t>；</w:t>
      </w:r>
    </w:p>
    <w:p>
      <w:pPr>
        <w:pStyle w:val="BodyText"/>
        <w:spacing w:before="156"/>
        <w:ind w:left="738"/>
      </w:pPr>
      <w:r>
        <w:rPr>
          <w:spacing w:val="-1"/>
        </w:rPr>
        <w:t>②投标担保函有效期应与投标有效期一致。</w:t>
      </w:r>
    </w:p>
    <w:p>
      <w:pPr>
        <w:pStyle w:val="BodyText"/>
        <w:spacing w:before="5"/>
        <w:rPr>
          <w:sz w:val="19"/>
        </w:rPr>
      </w:pPr>
    </w:p>
    <w:p>
      <w:pPr>
        <w:pStyle w:val="BodyText"/>
        <w:spacing w:line="312" w:lineRule="auto"/>
        <w:ind w:left="258" w:right="355" w:firstLine="480"/>
      </w:pPr>
      <w:r>
        <w:rPr>
          <w:spacing w:val="-2"/>
        </w:rPr>
        <w:t>递交投标文件现场除《政府采购投标担保函》外，不收取其他任何形式的投标保证</w:t>
      </w:r>
      <w:r>
        <w:rPr>
          <w:spacing w:val="-6"/>
        </w:rPr>
        <w:t>金。</w:t>
      </w:r>
    </w:p>
    <w:p>
      <w:pPr>
        <w:pStyle w:val="ListParagraph"/>
        <w:numPr>
          <w:ilvl w:val="1"/>
          <w:numId w:val="26"/>
        </w:numPr>
        <w:tabs>
          <w:tab w:val="left" w:pos="826"/>
        </w:tabs>
        <w:spacing w:before="80" w:after="0" w:line="364" w:lineRule="auto"/>
        <w:ind w:left="825" w:right="356" w:hanging="567"/>
        <w:jc w:val="left"/>
        <w:rPr>
          <w:sz w:val="24"/>
        </w:rPr>
      </w:pPr>
      <w:r>
        <w:rPr>
          <w:spacing w:val="-2"/>
          <w:sz w:val="24"/>
        </w:rPr>
        <w:t>凡没有根据投标须知的规定随附投标保证金的投标文件，将按投标须知的规定视</w:t>
      </w:r>
      <w:r>
        <w:rPr>
          <w:spacing w:val="-2"/>
          <w:sz w:val="24"/>
        </w:rPr>
        <w:t>为非响应性投标予以拒绝。</w:t>
      </w:r>
    </w:p>
    <w:p>
      <w:pPr>
        <w:pStyle w:val="ListParagraph"/>
        <w:numPr>
          <w:ilvl w:val="1"/>
          <w:numId w:val="26"/>
        </w:numPr>
        <w:tabs>
          <w:tab w:val="left" w:pos="826"/>
        </w:tabs>
        <w:spacing w:before="0" w:after="0" w:line="364" w:lineRule="auto"/>
        <w:ind w:left="825" w:right="356" w:hanging="567"/>
        <w:jc w:val="left"/>
        <w:rPr>
          <w:sz w:val="24"/>
        </w:rPr>
      </w:pPr>
      <w:r>
        <w:rPr>
          <w:spacing w:val="-2"/>
          <w:sz w:val="24"/>
        </w:rPr>
        <w:t>不中标的投标人的投标保证金，将按投标须知的规定的投标有效期满后三十天内</w:t>
      </w:r>
      <w:r>
        <w:rPr>
          <w:spacing w:val="-2"/>
          <w:sz w:val="24"/>
        </w:rPr>
        <w:t>或在发出《招标结果通知书》日后十个工作日内原额退还。</w:t>
      </w:r>
    </w:p>
    <w:p>
      <w:pPr>
        <w:pStyle w:val="ListParagraph"/>
        <w:numPr>
          <w:ilvl w:val="1"/>
          <w:numId w:val="26"/>
        </w:numPr>
        <w:tabs>
          <w:tab w:val="left" w:pos="826"/>
        </w:tabs>
        <w:spacing w:before="0" w:after="0" w:line="306" w:lineRule="exact"/>
        <w:ind w:left="825" w:right="0" w:hanging="568"/>
        <w:jc w:val="left"/>
        <w:rPr>
          <w:sz w:val="24"/>
        </w:rPr>
      </w:pPr>
      <w:r>
        <w:rPr>
          <w:spacing w:val="-3"/>
          <w:sz w:val="24"/>
        </w:rPr>
        <w:t>中标人的投标保证金的退还必须同时满足以下要求：</w:t>
      </w:r>
    </w:p>
    <w:p>
      <w:pPr>
        <w:pStyle w:val="ListParagraph"/>
        <w:numPr>
          <w:ilvl w:val="0"/>
          <w:numId w:val="15"/>
        </w:numPr>
        <w:tabs>
          <w:tab w:val="left" w:pos="1698"/>
        </w:tabs>
        <w:spacing w:before="159" w:after="0" w:line="364" w:lineRule="auto"/>
        <w:ind w:left="1698" w:right="355" w:hanging="720"/>
        <w:jc w:val="left"/>
        <w:rPr>
          <w:sz w:val="24"/>
        </w:rPr>
      </w:pPr>
      <w:r>
        <w:rPr>
          <w:spacing w:val="-2"/>
          <w:sz w:val="24"/>
        </w:rPr>
        <w:t>中标人按投标须知的规定支付了履约保证金（履约保证金的提交见有关规</w:t>
      </w:r>
      <w:r>
        <w:rPr>
          <w:spacing w:val="-6"/>
          <w:sz w:val="24"/>
        </w:rPr>
        <w:t>定</w:t>
      </w:r>
      <w:r>
        <w:rPr>
          <w:spacing w:val="-120"/>
          <w:sz w:val="24"/>
        </w:rPr>
        <w:t>）</w:t>
      </w:r>
      <w:r>
        <w:rPr>
          <w:spacing w:val="-6"/>
          <w:sz w:val="24"/>
        </w:rPr>
        <w:t>。</w:t>
      </w:r>
    </w:p>
    <w:p>
      <w:pPr>
        <w:pStyle w:val="ListParagraph"/>
        <w:numPr>
          <w:ilvl w:val="0"/>
          <w:numId w:val="15"/>
        </w:numPr>
        <w:tabs>
          <w:tab w:val="left" w:pos="1698"/>
        </w:tabs>
        <w:spacing w:before="0" w:after="0" w:line="306" w:lineRule="exact"/>
        <w:ind w:left="1698" w:right="0" w:hanging="720"/>
        <w:jc w:val="left"/>
        <w:rPr>
          <w:sz w:val="24"/>
        </w:rPr>
      </w:pPr>
      <w:r>
        <w:rPr>
          <w:spacing w:val="-1"/>
          <w:sz w:val="24"/>
        </w:rPr>
        <w:t>中标人支付了中标服务费。</w:t>
      </w:r>
    </w:p>
    <w:p>
      <w:pPr>
        <w:pStyle w:val="ListParagraph"/>
        <w:numPr>
          <w:ilvl w:val="1"/>
          <w:numId w:val="26"/>
        </w:numPr>
        <w:tabs>
          <w:tab w:val="left" w:pos="825"/>
        </w:tabs>
        <w:spacing w:before="159" w:after="0" w:line="240" w:lineRule="auto"/>
        <w:ind w:left="825" w:right="0" w:hanging="567"/>
        <w:jc w:val="left"/>
        <w:rPr>
          <w:sz w:val="24"/>
        </w:rPr>
      </w:pPr>
      <w:r>
        <w:rPr>
          <w:spacing w:val="-1"/>
          <w:sz w:val="24"/>
        </w:rPr>
        <w:t>在下列任何一种情况下，投标保证金将被没收上缴国库。</w:t>
      </w:r>
    </w:p>
    <w:p>
      <w:pPr>
        <w:pStyle w:val="ListParagraph"/>
        <w:numPr>
          <w:ilvl w:val="0"/>
          <w:numId w:val="14"/>
        </w:numPr>
        <w:tabs>
          <w:tab w:val="left" w:pos="1698"/>
        </w:tabs>
        <w:spacing w:before="159" w:after="0" w:line="240" w:lineRule="auto"/>
        <w:ind w:left="1698" w:right="0" w:hanging="720"/>
        <w:jc w:val="left"/>
        <w:rPr>
          <w:sz w:val="24"/>
        </w:rPr>
      </w:pPr>
      <w:r>
        <w:rPr>
          <w:spacing w:val="-12"/>
          <w:sz w:val="24"/>
        </w:rPr>
        <w:t>投标人已递交投标文件，并在投标截止时间之后，投标文件有效期满之前，</w:t>
      </w:r>
    </w:p>
    <w:p>
      <w:pPr>
        <w:spacing w:after="0" w:line="240" w:lineRule="auto"/>
        <w:jc w:val="left"/>
        <w:rPr>
          <w:sz w:val="24"/>
        </w:rPr>
        <w:sectPr>
          <w:headerReference w:type="default" r:id="rId18"/>
          <w:footerReference w:type="default" r:id="rId19"/>
          <w:pgSz w:w="11910" w:h="16840"/>
          <w:pgMar w:top="1080" w:right="1060" w:bottom="1040" w:left="1160" w:header="700" w:footer="841"/>
          <w:pgNumType w:start="7"/>
          <w:cols w:space="708"/>
        </w:sectPr>
      </w:pPr>
    </w:p>
    <w:p>
      <w:pPr>
        <w:pStyle w:val="BodyText"/>
        <w:spacing w:before="56"/>
        <w:ind w:left="1698"/>
      </w:pPr>
      <w:r>
        <w:rPr>
          <w:spacing w:val="-2"/>
        </w:rPr>
        <w:t>撤回其投标文件。</w:t>
      </w:r>
    </w:p>
    <w:p>
      <w:pPr>
        <w:pStyle w:val="BodyText"/>
      </w:pPr>
    </w:p>
    <w:p>
      <w:pPr>
        <w:pStyle w:val="BodyText"/>
        <w:spacing w:before="9"/>
        <w:rPr>
          <w:sz w:val="18"/>
        </w:rPr>
      </w:pPr>
    </w:p>
    <w:p>
      <w:pPr>
        <w:pStyle w:val="Heading4"/>
        <w:numPr>
          <w:ilvl w:val="0"/>
          <w:numId w:val="26"/>
        </w:numPr>
        <w:tabs>
          <w:tab w:val="left" w:pos="684"/>
        </w:tabs>
        <w:spacing w:before="0" w:after="0" w:line="240" w:lineRule="auto"/>
        <w:ind w:left="683" w:right="0" w:hanging="426"/>
        <w:jc w:val="left"/>
      </w:pPr>
      <w:r>
        <w:rPr>
          <w:spacing w:val="-3"/>
        </w:rPr>
        <w:t>知识产权</w:t>
      </w:r>
    </w:p>
    <w:p>
      <w:pPr>
        <w:pStyle w:val="ListParagraph"/>
        <w:numPr>
          <w:ilvl w:val="1"/>
          <w:numId w:val="26"/>
        </w:numPr>
        <w:tabs>
          <w:tab w:val="left" w:pos="826"/>
        </w:tabs>
        <w:spacing w:before="105" w:after="0" w:line="364" w:lineRule="auto"/>
        <w:ind w:left="825" w:right="356" w:hanging="567"/>
        <w:jc w:val="both"/>
        <w:rPr>
          <w:sz w:val="24"/>
        </w:rPr>
      </w:pPr>
      <w:r>
        <w:rPr>
          <w:spacing w:val="-2"/>
          <w:sz w:val="24"/>
        </w:rPr>
        <w:t>投标应包括所有应支付的专利权和版权、设计或其他知识产权而需要向其他方支</w:t>
      </w:r>
      <w:r>
        <w:rPr>
          <w:spacing w:val="-2"/>
          <w:sz w:val="24"/>
        </w:rPr>
        <w:t>付的版税、使用费等费用。</w:t>
      </w:r>
    </w:p>
    <w:p>
      <w:pPr>
        <w:pStyle w:val="ListParagraph"/>
        <w:numPr>
          <w:ilvl w:val="1"/>
          <w:numId w:val="26"/>
        </w:numPr>
        <w:tabs>
          <w:tab w:val="left" w:pos="826"/>
        </w:tabs>
        <w:spacing w:before="0" w:after="0" w:line="364" w:lineRule="auto"/>
        <w:ind w:left="825" w:right="356" w:hanging="567"/>
        <w:jc w:val="both"/>
        <w:rPr>
          <w:sz w:val="24"/>
        </w:rPr>
      </w:pPr>
      <w:r>
        <w:rPr>
          <w:spacing w:val="-2"/>
          <w:sz w:val="24"/>
        </w:rPr>
        <w:t>投标人就其供应的货物或提供的服务参加投标的，投标人保证对该货物或服务拥</w:t>
      </w:r>
      <w:r>
        <w:rPr>
          <w:spacing w:val="-2"/>
          <w:sz w:val="24"/>
        </w:rPr>
        <w:t>有合法的知识产权（包括获得合法的授权</w:t>
      </w:r>
      <w:r>
        <w:rPr>
          <w:spacing w:val="-120"/>
          <w:sz w:val="24"/>
        </w:rPr>
        <w:t>）</w:t>
      </w:r>
      <w:r>
        <w:rPr>
          <w:spacing w:val="-5"/>
          <w:sz w:val="24"/>
        </w:rPr>
        <w:t>，招标人在中华人民共和国使用货物或</w:t>
      </w:r>
      <w:r>
        <w:rPr>
          <w:spacing w:val="-2"/>
          <w:sz w:val="24"/>
        </w:rPr>
        <w:t>货物的任何一部分时，用户免受第三方提出侵犯其专利权、商标权或其它知识产</w:t>
      </w:r>
      <w:r>
        <w:rPr>
          <w:spacing w:val="-2"/>
          <w:sz w:val="24"/>
        </w:rPr>
        <w:t>权的起诉。</w:t>
      </w:r>
    </w:p>
    <w:p>
      <w:pPr>
        <w:pStyle w:val="BodyText"/>
        <w:spacing w:before="12"/>
        <w:rPr>
          <w:sz w:val="29"/>
        </w:rPr>
      </w:pPr>
    </w:p>
    <w:p>
      <w:pPr>
        <w:pStyle w:val="Heading4"/>
        <w:numPr>
          <w:ilvl w:val="0"/>
          <w:numId w:val="26"/>
        </w:numPr>
        <w:tabs>
          <w:tab w:val="left" w:pos="684"/>
        </w:tabs>
        <w:spacing w:before="0" w:after="0" w:line="240" w:lineRule="auto"/>
        <w:ind w:left="683" w:right="0" w:hanging="426"/>
        <w:jc w:val="left"/>
      </w:pPr>
      <w:r>
        <w:rPr>
          <w:spacing w:val="-2"/>
        </w:rPr>
        <w:t>投标有效期</w:t>
      </w:r>
    </w:p>
    <w:p>
      <w:pPr>
        <w:pStyle w:val="ListParagraph"/>
        <w:numPr>
          <w:ilvl w:val="1"/>
          <w:numId w:val="26"/>
        </w:numPr>
        <w:tabs>
          <w:tab w:val="left" w:pos="826"/>
        </w:tabs>
        <w:spacing w:before="105" w:after="0" w:line="364" w:lineRule="auto"/>
        <w:ind w:left="825" w:right="235" w:hanging="567"/>
        <w:jc w:val="both"/>
        <w:rPr>
          <w:sz w:val="24"/>
        </w:rPr>
      </w:pPr>
      <w:r>
        <w:rPr>
          <w:spacing w:val="-5"/>
          <w:sz w:val="24"/>
        </w:rPr>
        <w:t xml:space="preserve">投标有效期为投标截止时间至其后的 </w:t>
      </w:r>
      <w:r>
        <w:rPr>
          <w:spacing w:val="-4"/>
          <w:sz w:val="24"/>
        </w:rPr>
        <w:t>60</w:t>
      </w:r>
      <w:r>
        <w:rPr>
          <w:spacing w:val="-16"/>
          <w:sz w:val="24"/>
        </w:rPr>
        <w:t xml:space="preserve"> 天，投标文件应在投标有效期内保持有效。</w:t>
      </w:r>
      <w:r>
        <w:rPr>
          <w:spacing w:val="-2"/>
          <w:sz w:val="24"/>
        </w:rPr>
        <w:t>投标有效期比规定期限短的将被视为非响应标予以拒绝。</w:t>
      </w:r>
    </w:p>
    <w:p>
      <w:pPr>
        <w:pStyle w:val="ListParagraph"/>
        <w:numPr>
          <w:ilvl w:val="1"/>
          <w:numId w:val="26"/>
        </w:numPr>
        <w:tabs>
          <w:tab w:val="left" w:pos="826"/>
        </w:tabs>
        <w:spacing w:before="0" w:after="0" w:line="364" w:lineRule="auto"/>
        <w:ind w:left="825" w:right="356" w:hanging="567"/>
        <w:jc w:val="both"/>
        <w:rPr>
          <w:sz w:val="24"/>
        </w:rPr>
      </w:pPr>
      <w:r>
        <w:rPr>
          <w:spacing w:val="-2"/>
          <w:sz w:val="24"/>
        </w:rPr>
        <w:t>特殊情况下在原有投标有效期截止之前，采购代理机构可征求投标人同意延长投标有效期。这种要求与答复均应以书面形式提交。投标人可以拒绝采购代理机构的这种要求，其投标保证金将不被没收。接受投标有效期延长的投标人将不会被要求和允许修正其投标文件，而只会要求其相应地延长其投标保证金的有效期。在这种情况下，本须知有关投标保证金的退还和没收的规定将在延长了的有效期</w:t>
      </w:r>
      <w:r>
        <w:rPr>
          <w:spacing w:val="-2"/>
          <w:sz w:val="24"/>
        </w:rPr>
        <w:t>内继续有效。</w:t>
      </w:r>
    </w:p>
    <w:p>
      <w:pPr>
        <w:pStyle w:val="BodyText"/>
        <w:spacing w:before="5"/>
        <w:rPr>
          <w:sz w:val="25"/>
        </w:rPr>
      </w:pPr>
    </w:p>
    <w:p>
      <w:pPr>
        <w:pStyle w:val="Heading4"/>
        <w:numPr>
          <w:ilvl w:val="0"/>
          <w:numId w:val="26"/>
        </w:numPr>
        <w:tabs>
          <w:tab w:val="left" w:pos="684"/>
        </w:tabs>
        <w:spacing w:before="0" w:after="0" w:line="240" w:lineRule="auto"/>
        <w:ind w:left="683" w:right="0" w:hanging="426"/>
        <w:jc w:val="left"/>
      </w:pPr>
      <w:r>
        <w:rPr>
          <w:spacing w:val="-1"/>
        </w:rPr>
        <w:t>投标文件的式样和签署</w:t>
      </w:r>
    </w:p>
    <w:p>
      <w:pPr>
        <w:pStyle w:val="ListParagraph"/>
        <w:numPr>
          <w:ilvl w:val="1"/>
          <w:numId w:val="26"/>
        </w:numPr>
        <w:tabs>
          <w:tab w:val="left" w:pos="826"/>
        </w:tabs>
        <w:spacing w:before="105" w:after="0" w:line="364" w:lineRule="auto"/>
        <w:ind w:left="825" w:right="356" w:hanging="567"/>
        <w:jc w:val="both"/>
        <w:rPr>
          <w:sz w:val="24"/>
        </w:rPr>
      </w:pPr>
      <w:r>
        <w:rPr>
          <w:spacing w:val="-2"/>
          <w:sz w:val="24"/>
        </w:rPr>
        <w:t>投标人编写的投标文件应包括下列两部分（投标文件分商务技术标、价格标两册</w:t>
      </w:r>
      <w:r>
        <w:rPr>
          <w:spacing w:val="-2"/>
          <w:sz w:val="24"/>
        </w:rPr>
        <w:t>装订封装）：</w:t>
      </w:r>
    </w:p>
    <w:p>
      <w:pPr>
        <w:pStyle w:val="ListParagraph"/>
        <w:numPr>
          <w:ilvl w:val="0"/>
          <w:numId w:val="18"/>
        </w:numPr>
        <w:tabs>
          <w:tab w:val="left" w:pos="1698"/>
        </w:tabs>
        <w:spacing w:before="0" w:after="0" w:line="306" w:lineRule="exact"/>
        <w:ind w:left="1698" w:right="0" w:hanging="720"/>
        <w:jc w:val="left"/>
        <w:rPr>
          <w:sz w:val="24"/>
        </w:rPr>
      </w:pPr>
      <w:r>
        <w:rPr>
          <w:spacing w:val="-2"/>
          <w:sz w:val="24"/>
        </w:rPr>
        <w:t>商务技术标</w:t>
      </w:r>
    </w:p>
    <w:p>
      <w:pPr>
        <w:pStyle w:val="ListParagraph"/>
        <w:numPr>
          <w:ilvl w:val="0"/>
          <w:numId w:val="18"/>
        </w:numPr>
        <w:tabs>
          <w:tab w:val="left" w:pos="1698"/>
        </w:tabs>
        <w:spacing w:before="159" w:after="0" w:line="240" w:lineRule="auto"/>
        <w:ind w:left="1698" w:right="0" w:hanging="720"/>
        <w:jc w:val="left"/>
        <w:rPr>
          <w:sz w:val="24"/>
        </w:rPr>
      </w:pPr>
      <w:r>
        <w:rPr>
          <w:spacing w:val="-4"/>
          <w:sz w:val="24"/>
        </w:rPr>
        <w:t>价格标</w:t>
      </w:r>
    </w:p>
    <w:p>
      <w:pPr>
        <w:pStyle w:val="ListParagraph"/>
        <w:numPr>
          <w:ilvl w:val="1"/>
          <w:numId w:val="26"/>
        </w:numPr>
        <w:tabs>
          <w:tab w:val="left" w:pos="826"/>
        </w:tabs>
        <w:spacing w:before="159" w:after="0" w:line="364" w:lineRule="auto"/>
        <w:ind w:left="825" w:right="235" w:hanging="567"/>
        <w:jc w:val="left"/>
        <w:rPr>
          <w:sz w:val="24"/>
        </w:rPr>
      </w:pPr>
      <w:r>
        <w:rPr>
          <w:sz w:val="24"/>
        </w:rPr>
        <w:t>投标人应准备投标文件</w:t>
      </w:r>
      <w:r>
        <w:rPr>
          <w:sz w:val="24"/>
          <w:u w:val="single"/>
        </w:rPr>
        <w:t>商务技术标</w:t>
      </w:r>
      <w:r>
        <w:rPr>
          <w:sz w:val="24"/>
        </w:rPr>
        <w:t>和</w:t>
      </w:r>
      <w:r>
        <w:rPr>
          <w:sz w:val="24"/>
          <w:u w:val="single"/>
        </w:rPr>
        <w:t>价格标</w:t>
      </w:r>
      <w:r>
        <w:rPr>
          <w:spacing w:val="-3"/>
          <w:sz w:val="24"/>
        </w:rPr>
        <w:t xml:space="preserve">正本各 </w:t>
      </w:r>
      <w:r>
        <w:rPr>
          <w:sz w:val="24"/>
        </w:rPr>
        <w:t>1</w:t>
      </w:r>
      <w:r>
        <w:rPr>
          <w:spacing w:val="-5"/>
          <w:sz w:val="24"/>
        </w:rPr>
        <w:t xml:space="preserve"> 份、副本各 </w:t>
      </w:r>
      <w:r>
        <w:rPr>
          <w:sz w:val="24"/>
        </w:rPr>
        <w:t>7</w:t>
      </w:r>
      <w:r>
        <w:rPr>
          <w:spacing w:val="-4"/>
          <w:sz w:val="24"/>
        </w:rPr>
        <w:t xml:space="preserve"> 份，以及电子</w:t>
      </w:r>
      <w:r>
        <w:rPr>
          <w:spacing w:val="-23"/>
          <w:sz w:val="24"/>
        </w:rPr>
        <w:t xml:space="preserve">文件 </w:t>
      </w:r>
      <w:r>
        <w:rPr>
          <w:spacing w:val="-4"/>
          <w:sz w:val="24"/>
        </w:rPr>
        <w:t>1</w:t>
      </w:r>
      <w:r>
        <w:rPr>
          <w:spacing w:val="-32"/>
          <w:sz w:val="24"/>
        </w:rPr>
        <w:t xml:space="preserve"> 份</w:t>
      </w:r>
      <w:r>
        <w:rPr>
          <w:spacing w:val="-4"/>
          <w:sz w:val="24"/>
        </w:rPr>
        <w:t>（包括商务技术标和价格标的内容</w:t>
      </w:r>
      <w:r>
        <w:rPr>
          <w:spacing w:val="-120"/>
          <w:sz w:val="24"/>
        </w:rPr>
        <w:t>）</w:t>
      </w:r>
      <w:r>
        <w:rPr>
          <w:spacing w:val="-4"/>
          <w:sz w:val="24"/>
        </w:rPr>
        <w:t>。每份投标文件须清楚地标明“正本”</w:t>
      </w:r>
      <w:r>
        <w:rPr>
          <w:spacing w:val="-14"/>
          <w:sz w:val="24"/>
        </w:rPr>
        <w:t>或“副本”。一旦“副本”和“正本”不符，以“正本”为准。</w:t>
      </w:r>
    </w:p>
    <w:p>
      <w:pPr>
        <w:pStyle w:val="ListParagraph"/>
        <w:numPr>
          <w:ilvl w:val="1"/>
          <w:numId w:val="26"/>
        </w:numPr>
        <w:tabs>
          <w:tab w:val="left" w:pos="826"/>
        </w:tabs>
        <w:spacing w:before="0" w:after="0" w:line="364" w:lineRule="auto"/>
        <w:ind w:left="825" w:right="235" w:hanging="567"/>
        <w:jc w:val="left"/>
        <w:rPr>
          <w:sz w:val="24"/>
        </w:rPr>
      </w:pPr>
      <w:r>
        <w:rPr>
          <w:spacing w:val="-4"/>
          <w:sz w:val="24"/>
        </w:rPr>
        <w:t>投标文件必须有明确的封面，标明正/副本；内容首页需提供文件目录及索引页码；</w:t>
      </w:r>
      <w:r>
        <w:rPr>
          <w:spacing w:val="-6"/>
          <w:sz w:val="24"/>
        </w:rPr>
        <w:t xml:space="preserve">必须用 </w:t>
      </w:r>
      <w:r>
        <w:rPr>
          <w:sz w:val="24"/>
        </w:rPr>
        <w:t>A4</w:t>
      </w:r>
      <w:r>
        <w:rPr>
          <w:spacing w:val="-5"/>
          <w:sz w:val="24"/>
        </w:rPr>
        <w:t xml:space="preserve"> 纸双面打印或印刷，所有投标文件必须钉装完好。</w:t>
      </w:r>
    </w:p>
    <w:p>
      <w:pPr>
        <w:pStyle w:val="ListParagraph"/>
        <w:numPr>
          <w:ilvl w:val="1"/>
          <w:numId w:val="26"/>
        </w:numPr>
        <w:tabs>
          <w:tab w:val="left" w:pos="826"/>
        </w:tabs>
        <w:spacing w:before="0" w:after="0" w:line="306" w:lineRule="exact"/>
        <w:ind w:left="825" w:right="0" w:hanging="568"/>
        <w:jc w:val="left"/>
        <w:rPr>
          <w:sz w:val="24"/>
        </w:rPr>
      </w:pPr>
      <w:r>
        <w:rPr>
          <w:spacing w:val="-10"/>
          <w:sz w:val="24"/>
        </w:rPr>
        <w:t xml:space="preserve">电子文件用 </w:t>
      </w:r>
      <w:r>
        <w:rPr>
          <w:sz w:val="24"/>
        </w:rPr>
        <w:t>MS</w:t>
      </w:r>
      <w:r>
        <w:rPr>
          <w:spacing w:val="-13"/>
          <w:sz w:val="24"/>
        </w:rPr>
        <w:t xml:space="preserve"> </w:t>
      </w:r>
      <w:r>
        <w:rPr>
          <w:sz w:val="24"/>
        </w:rPr>
        <w:t>WORD/EXCEL</w:t>
      </w:r>
      <w:r>
        <w:rPr>
          <w:spacing w:val="-6"/>
          <w:sz w:val="24"/>
        </w:rPr>
        <w:t xml:space="preserve"> </w:t>
      </w:r>
      <w:r>
        <w:rPr>
          <w:sz w:val="24"/>
        </w:rPr>
        <w:t>2000</w:t>
      </w:r>
      <w:r>
        <w:rPr>
          <w:spacing w:val="-9"/>
          <w:sz w:val="24"/>
        </w:rPr>
        <w:t xml:space="preserve"> 简体中文版制作，内容包括：由投标人自行制作</w:t>
      </w:r>
    </w:p>
    <w:p>
      <w:pPr>
        <w:spacing w:after="0" w:line="306" w:lineRule="exact"/>
        <w:jc w:val="left"/>
        <w:rPr>
          <w:sz w:val="24"/>
        </w:rPr>
        <w:sectPr>
          <w:headerReference w:type="default" r:id="rId20"/>
          <w:footerReference w:type="default" r:id="rId21"/>
          <w:pgSz w:w="11910" w:h="16840"/>
          <w:pgMar w:top="1080" w:right="1060" w:bottom="1040" w:left="1160" w:header="700" w:footer="841"/>
          <w:pgNumType w:start="8"/>
          <w:cols w:space="708"/>
        </w:sectPr>
      </w:pPr>
    </w:p>
    <w:p>
      <w:pPr>
        <w:pStyle w:val="BodyText"/>
        <w:spacing w:before="56" w:line="364" w:lineRule="auto"/>
        <w:ind w:left="825" w:right="356"/>
      </w:pPr>
      <w:r>
        <w:rPr>
          <w:spacing w:val="-5"/>
        </w:rPr>
        <w:t xml:space="preserve">的与正本文件一致的所有文件。电子文件有 </w:t>
      </w:r>
      <w:r>
        <w:rPr>
          <w:spacing w:val="-2"/>
        </w:rPr>
        <w:t>CD-R</w:t>
      </w:r>
      <w:r>
        <w:rPr>
          <w:spacing w:val="-9"/>
        </w:rPr>
        <w:t xml:space="preserve"> 光盘储存，光盘上注明投标人名</w:t>
      </w:r>
      <w:r>
        <w:rPr>
          <w:spacing w:val="-2"/>
        </w:rPr>
        <w:t>称及项目名称、编号。</w:t>
      </w:r>
    </w:p>
    <w:p>
      <w:pPr>
        <w:pStyle w:val="ListParagraph"/>
        <w:numPr>
          <w:ilvl w:val="1"/>
          <w:numId w:val="26"/>
        </w:numPr>
        <w:tabs>
          <w:tab w:val="left" w:pos="826"/>
        </w:tabs>
        <w:spacing w:before="0" w:after="0" w:line="364" w:lineRule="auto"/>
        <w:ind w:left="825" w:right="356" w:hanging="567"/>
        <w:jc w:val="left"/>
        <w:rPr>
          <w:sz w:val="24"/>
        </w:rPr>
      </w:pPr>
      <w:r>
        <w:rPr>
          <w:spacing w:val="-2"/>
          <w:sz w:val="24"/>
        </w:rPr>
        <w:t>投标文件除签字外必须是印刷形式，其中不许有加行、涂抹或改写。投标人的投</w:t>
      </w:r>
      <w:r>
        <w:rPr>
          <w:spacing w:val="-2"/>
          <w:sz w:val="24"/>
        </w:rPr>
        <w:t>标文件应按招标文件格式规定盖章，由法定代表人或其授权代表签字。</w:t>
      </w:r>
    </w:p>
    <w:p>
      <w:pPr>
        <w:pStyle w:val="ListParagraph"/>
        <w:numPr>
          <w:ilvl w:val="1"/>
          <w:numId w:val="26"/>
        </w:numPr>
        <w:tabs>
          <w:tab w:val="left" w:pos="826"/>
        </w:tabs>
        <w:spacing w:before="0" w:after="0" w:line="364" w:lineRule="auto"/>
        <w:ind w:left="825" w:right="356" w:hanging="567"/>
        <w:jc w:val="left"/>
        <w:rPr>
          <w:sz w:val="24"/>
        </w:rPr>
      </w:pPr>
      <w:r>
        <w:rPr>
          <w:spacing w:val="-2"/>
          <w:sz w:val="24"/>
        </w:rPr>
        <w:t>投标文件的任何行间插字、涂改和增删，必须由投标文件的签字人用姓氏或首字</w:t>
      </w:r>
      <w:r>
        <w:rPr>
          <w:spacing w:val="-14"/>
          <w:sz w:val="24"/>
        </w:rPr>
        <w:t>母在旁边签字才有效。</w:t>
      </w:r>
      <w:r>
        <w:rPr>
          <w:spacing w:val="-2"/>
          <w:sz w:val="24"/>
        </w:rPr>
        <w:t>（涉及报价的修改，须在修改处加盖投标人公章）</w:t>
      </w:r>
    </w:p>
    <w:p>
      <w:pPr>
        <w:pStyle w:val="ListParagraph"/>
        <w:numPr>
          <w:ilvl w:val="1"/>
          <w:numId w:val="26"/>
        </w:numPr>
        <w:tabs>
          <w:tab w:val="left" w:pos="826"/>
        </w:tabs>
        <w:spacing w:before="0" w:after="0" w:line="306" w:lineRule="exact"/>
        <w:ind w:left="825" w:right="0" w:hanging="568"/>
        <w:jc w:val="left"/>
        <w:rPr>
          <w:sz w:val="24"/>
        </w:rPr>
      </w:pPr>
      <w:r>
        <w:rPr>
          <w:spacing w:val="-13"/>
          <w:sz w:val="24"/>
        </w:rPr>
        <w:t>投标文件“副本”，所有资料都可以用投标文件的“正本”复印而成。</w:t>
      </w:r>
    </w:p>
    <w:p>
      <w:pPr>
        <w:pStyle w:val="ListParagraph"/>
        <w:numPr>
          <w:ilvl w:val="1"/>
          <w:numId w:val="26"/>
        </w:numPr>
        <w:tabs>
          <w:tab w:val="left" w:pos="826"/>
        </w:tabs>
        <w:spacing w:before="157" w:after="0" w:line="240" w:lineRule="auto"/>
        <w:ind w:left="825" w:right="0" w:hanging="568"/>
        <w:jc w:val="both"/>
        <w:rPr>
          <w:sz w:val="24"/>
        </w:rPr>
      </w:pPr>
      <w:r>
        <w:rPr>
          <w:spacing w:val="-2"/>
          <w:sz w:val="24"/>
        </w:rPr>
        <w:t>投标文件的“正本” 及所有“副本”的封面均须加盖投标人公章。</w:t>
      </w:r>
    </w:p>
    <w:p>
      <w:pPr>
        <w:pStyle w:val="ListParagraph"/>
        <w:numPr>
          <w:ilvl w:val="1"/>
          <w:numId w:val="26"/>
        </w:numPr>
        <w:tabs>
          <w:tab w:val="left" w:pos="826"/>
        </w:tabs>
        <w:spacing w:before="160" w:after="0" w:line="240" w:lineRule="auto"/>
        <w:ind w:left="825" w:right="0" w:hanging="568"/>
        <w:jc w:val="both"/>
        <w:rPr>
          <w:sz w:val="24"/>
        </w:rPr>
      </w:pPr>
      <w:r>
        <w:rPr>
          <w:spacing w:val="-3"/>
          <w:sz w:val="24"/>
        </w:rPr>
        <w:t>电报、传真形式的投标文件概不接受。</w:t>
      </w:r>
    </w:p>
    <w:p>
      <w:pPr>
        <w:pStyle w:val="BodyText"/>
      </w:pPr>
    </w:p>
    <w:p>
      <w:pPr>
        <w:pStyle w:val="BodyText"/>
        <w:spacing w:before="11"/>
        <w:rPr>
          <w:sz w:val="18"/>
        </w:rPr>
      </w:pPr>
    </w:p>
    <w:p>
      <w:pPr>
        <w:pStyle w:val="Heading4"/>
        <w:numPr>
          <w:ilvl w:val="0"/>
          <w:numId w:val="26"/>
        </w:numPr>
        <w:tabs>
          <w:tab w:val="left" w:pos="684"/>
        </w:tabs>
        <w:spacing w:before="0" w:after="0" w:line="240" w:lineRule="auto"/>
        <w:ind w:left="683" w:right="0" w:hanging="426"/>
        <w:jc w:val="both"/>
        <w:rPr>
          <w:rFonts w:ascii="微软雅黑" w:eastAsia="微软雅黑"/>
        </w:rPr>
      </w:pPr>
      <w:r>
        <w:rPr>
          <w:rFonts w:ascii="微软雅黑" w:eastAsia="微软雅黑"/>
          <w:spacing w:val="-3"/>
        </w:rPr>
        <w:t>关于报价</w:t>
      </w:r>
    </w:p>
    <w:p>
      <w:pPr>
        <w:pStyle w:val="ListParagraph"/>
        <w:numPr>
          <w:ilvl w:val="1"/>
          <w:numId w:val="26"/>
        </w:numPr>
        <w:tabs>
          <w:tab w:val="left" w:pos="826"/>
        </w:tabs>
        <w:spacing w:before="101" w:after="0" w:line="240" w:lineRule="auto"/>
        <w:ind w:left="825" w:right="0" w:hanging="568"/>
        <w:jc w:val="both"/>
        <w:rPr>
          <w:sz w:val="24"/>
        </w:rPr>
      </w:pPr>
      <w:r>
        <w:rPr>
          <w:spacing w:val="-3"/>
          <w:sz w:val="24"/>
        </w:rPr>
        <w:t>投标文件中的全部报价，必须用人民币。</w:t>
      </w:r>
    </w:p>
    <w:p>
      <w:pPr>
        <w:pStyle w:val="ListParagraph"/>
        <w:numPr>
          <w:ilvl w:val="1"/>
          <w:numId w:val="26"/>
        </w:numPr>
        <w:tabs>
          <w:tab w:val="left" w:pos="826"/>
        </w:tabs>
        <w:spacing w:before="159" w:after="0" w:line="240" w:lineRule="auto"/>
        <w:ind w:left="825" w:right="0" w:hanging="568"/>
        <w:jc w:val="both"/>
        <w:rPr>
          <w:sz w:val="24"/>
        </w:rPr>
      </w:pPr>
      <w:r>
        <w:rPr>
          <w:spacing w:val="-3"/>
          <w:sz w:val="24"/>
        </w:rPr>
        <w:t>投标人应根据招标文件的要求，参照投标报价表格式填报内容。</w:t>
      </w:r>
    </w:p>
    <w:p>
      <w:pPr>
        <w:pStyle w:val="ListParagraph"/>
        <w:numPr>
          <w:ilvl w:val="1"/>
          <w:numId w:val="26"/>
        </w:numPr>
        <w:tabs>
          <w:tab w:val="left" w:pos="826"/>
        </w:tabs>
        <w:spacing w:before="160" w:after="0" w:line="240" w:lineRule="auto"/>
        <w:ind w:left="825" w:right="0" w:hanging="568"/>
        <w:jc w:val="both"/>
        <w:rPr>
          <w:sz w:val="24"/>
        </w:rPr>
      </w:pPr>
      <w:r>
        <w:rPr>
          <w:spacing w:val="-3"/>
          <w:sz w:val="24"/>
        </w:rPr>
        <w:t>投标报价表上的价格应包含下列内容：</w:t>
      </w:r>
    </w:p>
    <w:p>
      <w:pPr>
        <w:pStyle w:val="ListParagraph"/>
        <w:numPr>
          <w:ilvl w:val="0"/>
          <w:numId w:val="19"/>
        </w:numPr>
        <w:tabs>
          <w:tab w:val="left" w:pos="1698"/>
        </w:tabs>
        <w:spacing w:before="159" w:after="0" w:line="240" w:lineRule="auto"/>
        <w:ind w:left="1698" w:right="0" w:hanging="720"/>
        <w:jc w:val="left"/>
        <w:rPr>
          <w:sz w:val="24"/>
        </w:rPr>
      </w:pPr>
      <w:r>
        <w:rPr>
          <w:spacing w:val="-2"/>
          <w:sz w:val="24"/>
        </w:rPr>
        <w:t>所供应货物的价格</w:t>
      </w:r>
    </w:p>
    <w:p>
      <w:pPr>
        <w:pStyle w:val="ListParagraph"/>
        <w:numPr>
          <w:ilvl w:val="0"/>
          <w:numId w:val="19"/>
        </w:numPr>
        <w:tabs>
          <w:tab w:val="left" w:pos="1698"/>
        </w:tabs>
        <w:spacing w:before="160" w:after="0" w:line="240" w:lineRule="auto"/>
        <w:ind w:left="1698" w:right="0" w:hanging="720"/>
        <w:jc w:val="left"/>
        <w:rPr>
          <w:sz w:val="24"/>
        </w:rPr>
      </w:pPr>
      <w:r>
        <w:rPr>
          <w:spacing w:val="-1"/>
          <w:sz w:val="24"/>
        </w:rPr>
        <w:t>投标报价包含履行合同所有相关服务所需的费用</w:t>
      </w:r>
    </w:p>
    <w:p>
      <w:pPr>
        <w:pStyle w:val="ListParagraph"/>
        <w:numPr>
          <w:ilvl w:val="0"/>
          <w:numId w:val="19"/>
        </w:numPr>
        <w:tabs>
          <w:tab w:val="left" w:pos="1698"/>
        </w:tabs>
        <w:spacing w:before="159" w:after="0" w:line="240" w:lineRule="auto"/>
        <w:ind w:left="1698" w:right="0" w:hanging="720"/>
        <w:jc w:val="left"/>
        <w:rPr>
          <w:sz w:val="24"/>
        </w:rPr>
      </w:pPr>
      <w:r>
        <w:rPr>
          <w:spacing w:val="-1"/>
          <w:sz w:val="24"/>
        </w:rPr>
        <w:t>投标报价均应包含所有的税费</w:t>
      </w:r>
    </w:p>
    <w:p>
      <w:pPr>
        <w:pStyle w:val="ListParagraph"/>
        <w:numPr>
          <w:ilvl w:val="1"/>
          <w:numId w:val="26"/>
        </w:numPr>
        <w:tabs>
          <w:tab w:val="left" w:pos="826"/>
        </w:tabs>
        <w:spacing w:before="159" w:after="0" w:line="240" w:lineRule="auto"/>
        <w:ind w:left="825" w:right="0" w:hanging="568"/>
        <w:jc w:val="both"/>
        <w:rPr>
          <w:sz w:val="24"/>
        </w:rPr>
      </w:pPr>
      <w:r>
        <w:rPr>
          <w:spacing w:val="-3"/>
          <w:sz w:val="24"/>
        </w:rPr>
        <w:t>不能在投标报价之外还有其他费用出现。</w:t>
      </w:r>
    </w:p>
    <w:p>
      <w:pPr>
        <w:pStyle w:val="ListParagraph"/>
        <w:numPr>
          <w:ilvl w:val="1"/>
          <w:numId w:val="26"/>
        </w:numPr>
        <w:tabs>
          <w:tab w:val="left" w:pos="826"/>
        </w:tabs>
        <w:spacing w:before="160" w:after="0" w:line="364" w:lineRule="auto"/>
        <w:ind w:left="825" w:right="355" w:hanging="567"/>
        <w:jc w:val="both"/>
        <w:rPr>
          <w:sz w:val="24"/>
        </w:rPr>
      </w:pPr>
      <w:r>
        <w:rPr>
          <w:spacing w:val="-5"/>
          <w:sz w:val="24"/>
        </w:rPr>
        <w:t xml:space="preserve">投标人根据投标须知第 </w:t>
      </w:r>
      <w:r>
        <w:rPr>
          <w:spacing w:val="-4"/>
          <w:sz w:val="24"/>
        </w:rPr>
        <w:t>19.3</w:t>
      </w:r>
      <w:r>
        <w:rPr>
          <w:spacing w:val="-7"/>
          <w:sz w:val="24"/>
        </w:rPr>
        <w:t xml:space="preserve"> 条的规定将报价分成几部分，只是为了方便采购代理</w:t>
      </w:r>
      <w:r>
        <w:rPr>
          <w:spacing w:val="-2"/>
          <w:sz w:val="24"/>
        </w:rPr>
        <w:t>机构、招标人对投标文件进行比较，并不限制招标人以上述任何条件订立合同的</w:t>
      </w:r>
      <w:r>
        <w:rPr>
          <w:spacing w:val="-4"/>
          <w:sz w:val="24"/>
        </w:rPr>
        <w:t>权力。</w:t>
      </w:r>
    </w:p>
    <w:p>
      <w:pPr>
        <w:pStyle w:val="ListParagraph"/>
        <w:numPr>
          <w:ilvl w:val="1"/>
          <w:numId w:val="26"/>
        </w:numPr>
        <w:tabs>
          <w:tab w:val="left" w:pos="826"/>
        </w:tabs>
        <w:spacing w:before="0" w:after="0" w:line="306" w:lineRule="exact"/>
        <w:ind w:left="825" w:right="0" w:hanging="568"/>
        <w:jc w:val="both"/>
        <w:rPr>
          <w:sz w:val="24"/>
        </w:rPr>
      </w:pPr>
      <w:r>
        <w:rPr>
          <w:spacing w:val="-3"/>
          <w:sz w:val="24"/>
        </w:rPr>
        <w:t>投标人不得低于企业自身成本竞投。</w:t>
      </w:r>
    </w:p>
    <w:p>
      <w:pPr>
        <w:pStyle w:val="BodyText"/>
      </w:pPr>
    </w:p>
    <w:p>
      <w:pPr>
        <w:pStyle w:val="BodyText"/>
        <w:spacing w:before="12"/>
        <w:rPr>
          <w:sz w:val="16"/>
        </w:rPr>
      </w:pPr>
    </w:p>
    <w:p>
      <w:pPr>
        <w:pStyle w:val="Heading1"/>
      </w:pPr>
      <w:bookmarkStart w:id="5" w:name="_TOC_250025"/>
      <w:r>
        <w:t>（四）</w:t>
      </w:r>
      <w:bookmarkEnd w:id="5"/>
      <w:r>
        <w:rPr>
          <w:spacing w:val="-2"/>
        </w:rPr>
        <w:t>投标文件的递交</w:t>
      </w:r>
    </w:p>
    <w:p>
      <w:pPr>
        <w:pStyle w:val="Heading4"/>
        <w:numPr>
          <w:ilvl w:val="0"/>
          <w:numId w:val="26"/>
        </w:numPr>
        <w:tabs>
          <w:tab w:val="left" w:pos="684"/>
        </w:tabs>
        <w:spacing w:before="57" w:after="0" w:line="240" w:lineRule="auto"/>
        <w:ind w:left="683" w:right="0" w:hanging="426"/>
        <w:jc w:val="both"/>
        <w:rPr>
          <w:rFonts w:ascii="微软雅黑" w:eastAsia="微软雅黑"/>
        </w:rPr>
      </w:pPr>
      <w:r>
        <w:rPr>
          <w:rFonts w:ascii="微软雅黑" w:eastAsia="微软雅黑"/>
          <w:spacing w:val="-1"/>
        </w:rPr>
        <w:t>投标文件的密封和标记</w:t>
      </w:r>
    </w:p>
    <w:p>
      <w:pPr>
        <w:pStyle w:val="ListParagraph"/>
        <w:numPr>
          <w:ilvl w:val="1"/>
          <w:numId w:val="26"/>
        </w:numPr>
        <w:tabs>
          <w:tab w:val="left" w:pos="826"/>
        </w:tabs>
        <w:spacing w:before="101" w:after="0" w:line="364" w:lineRule="auto"/>
        <w:ind w:left="825" w:right="356" w:hanging="567"/>
        <w:jc w:val="both"/>
        <w:rPr>
          <w:sz w:val="24"/>
        </w:rPr>
      </w:pPr>
      <w:r>
        <w:rPr>
          <w:spacing w:val="-2"/>
          <w:sz w:val="24"/>
          <w:u w:val="single"/>
        </w:rPr>
        <w:t>投标人应将投标文件的商务技术标和价格标分开封装。商务技术标的正本和所有</w:t>
      </w:r>
      <w:r>
        <w:rPr>
          <w:spacing w:val="40"/>
          <w:sz w:val="24"/>
          <w:u w:val="single"/>
        </w:rPr>
        <w:t xml:space="preserve"> </w:t>
      </w:r>
      <w:r>
        <w:rPr>
          <w:spacing w:val="-2"/>
          <w:sz w:val="24"/>
          <w:u w:val="single"/>
        </w:rPr>
        <w:t>的副本分开用两个封套装好密封，价格标的正本和所有的副本分开用两个封套装</w:t>
      </w:r>
      <w:r>
        <w:rPr>
          <w:spacing w:val="-17"/>
          <w:sz w:val="24"/>
          <w:u w:val="single"/>
        </w:rPr>
        <w:t>好密封，且在封套上标明“正本”、“副本”字样，在封口处加盖公章。电子文件</w:t>
      </w:r>
      <w:r>
        <w:rPr>
          <w:spacing w:val="-2"/>
          <w:sz w:val="24"/>
          <w:u w:val="single"/>
        </w:rPr>
        <w:t>随商务技术标的正本提交。</w:t>
      </w:r>
    </w:p>
    <w:p>
      <w:pPr>
        <w:pStyle w:val="ListParagraph"/>
        <w:numPr>
          <w:ilvl w:val="1"/>
          <w:numId w:val="26"/>
        </w:numPr>
        <w:tabs>
          <w:tab w:val="left" w:pos="826"/>
        </w:tabs>
        <w:spacing w:before="0" w:after="0" w:line="305" w:lineRule="exact"/>
        <w:ind w:left="825" w:right="0" w:hanging="568"/>
        <w:jc w:val="both"/>
        <w:rPr>
          <w:sz w:val="24"/>
        </w:rPr>
      </w:pPr>
      <w:r>
        <w:rPr>
          <w:spacing w:val="-4"/>
          <w:sz w:val="24"/>
        </w:rPr>
        <w:t>封套上应注明：</w:t>
      </w:r>
    </w:p>
    <w:p>
      <w:pPr>
        <w:pStyle w:val="BodyText"/>
        <w:spacing w:before="7"/>
        <w:rPr>
          <w:sz w:val="18"/>
        </w:rPr>
      </w:pPr>
    </w:p>
    <w:p>
      <w:pPr>
        <w:pStyle w:val="BodyText"/>
        <w:spacing w:before="1"/>
        <w:ind w:left="1494"/>
      </w:pPr>
      <w:r>
        <w:rPr>
          <w:spacing w:val="-1"/>
        </w:rPr>
        <w:t>“收件人：广东志正招标有限公司</w:t>
      </w:r>
    </w:p>
    <w:p>
      <w:pPr>
        <w:spacing w:after="0"/>
        <w:sectPr>
          <w:headerReference w:type="default" r:id="rId22"/>
          <w:footerReference w:type="default" r:id="rId23"/>
          <w:pgSz w:w="11910" w:h="16840"/>
          <w:pgMar w:top="1080" w:right="1060" w:bottom="1040" w:left="1160" w:header="700" w:footer="841"/>
          <w:pgNumType w:start="9"/>
          <w:cols w:space="708"/>
        </w:sectPr>
      </w:pPr>
    </w:p>
    <w:p>
      <w:pPr>
        <w:pStyle w:val="BodyText"/>
        <w:spacing w:before="134"/>
        <w:ind w:left="1494"/>
      </w:pPr>
      <w:r>
        <w:rPr>
          <w:spacing w:val="-1"/>
        </w:rPr>
        <w:t>项目名称：电子政务外网核心网络设备升级及通用网管软件采购项目</w:t>
      </w:r>
    </w:p>
    <w:p>
      <w:pPr>
        <w:pStyle w:val="BodyText"/>
        <w:spacing w:before="161"/>
        <w:ind w:left="1494"/>
      </w:pPr>
      <w:r>
        <w:t>（商务技术标/价格标</w:t>
      </w:r>
      <w:r>
        <w:rPr>
          <w:spacing w:val="-10"/>
        </w:rPr>
        <w:t>）</w:t>
      </w:r>
    </w:p>
    <w:p>
      <w:pPr>
        <w:pStyle w:val="BodyText"/>
        <w:spacing w:before="160"/>
        <w:ind w:left="1494"/>
      </w:pPr>
      <w:r>
        <w:t>编号:东采公〔2013〕886</w:t>
      </w:r>
      <w:r>
        <w:rPr>
          <w:spacing w:val="-35"/>
        </w:rPr>
        <w:t xml:space="preserve"> 号</w:t>
      </w:r>
    </w:p>
    <w:p>
      <w:pPr>
        <w:pStyle w:val="BodyText"/>
        <w:spacing w:before="161"/>
        <w:ind w:left="1494"/>
      </w:pPr>
      <w:r>
        <w:rPr>
          <w:spacing w:val="-1"/>
        </w:rPr>
        <w:t>在规定的开封时间之前不得启封”的字样。</w:t>
      </w:r>
    </w:p>
    <w:p>
      <w:pPr>
        <w:pStyle w:val="ListParagraph"/>
        <w:numPr>
          <w:ilvl w:val="1"/>
          <w:numId w:val="26"/>
        </w:numPr>
        <w:tabs>
          <w:tab w:val="left" w:pos="826"/>
        </w:tabs>
        <w:spacing w:before="82" w:after="0" w:line="364" w:lineRule="auto"/>
        <w:ind w:left="825" w:right="356" w:hanging="567"/>
        <w:jc w:val="left"/>
        <w:rPr>
          <w:sz w:val="24"/>
        </w:rPr>
      </w:pPr>
      <w:r>
        <w:rPr>
          <w:spacing w:val="-2"/>
          <w:sz w:val="24"/>
        </w:rPr>
        <w:t>封套上应写明投标人名称和地址，以便如果其投标文件被宣布为“迟交”时，能</w:t>
      </w:r>
      <w:r>
        <w:rPr>
          <w:spacing w:val="-2"/>
          <w:sz w:val="24"/>
        </w:rPr>
        <w:t>原封退回。</w:t>
      </w:r>
    </w:p>
    <w:p>
      <w:pPr>
        <w:pStyle w:val="ListParagraph"/>
        <w:numPr>
          <w:ilvl w:val="1"/>
          <w:numId w:val="26"/>
        </w:numPr>
        <w:tabs>
          <w:tab w:val="left" w:pos="826"/>
        </w:tabs>
        <w:spacing w:before="0" w:after="0" w:line="364" w:lineRule="auto"/>
        <w:ind w:left="825" w:right="356" w:hanging="567"/>
        <w:jc w:val="left"/>
        <w:rPr>
          <w:sz w:val="24"/>
        </w:rPr>
      </w:pPr>
      <w:r>
        <w:rPr>
          <w:spacing w:val="-2"/>
          <w:sz w:val="24"/>
        </w:rPr>
        <w:t>如果封套未按投标须知要求密封和加写标记，采购代理机构对误投或过早启封概</w:t>
      </w:r>
      <w:r>
        <w:rPr>
          <w:spacing w:val="-4"/>
          <w:sz w:val="24"/>
        </w:rPr>
        <w:t>不负责。</w:t>
      </w:r>
    </w:p>
    <w:p>
      <w:pPr>
        <w:pStyle w:val="ListParagraph"/>
        <w:numPr>
          <w:ilvl w:val="1"/>
          <w:numId w:val="26"/>
        </w:numPr>
        <w:tabs>
          <w:tab w:val="left" w:pos="826"/>
        </w:tabs>
        <w:spacing w:before="0" w:after="0" w:line="306" w:lineRule="exact"/>
        <w:ind w:left="825" w:right="0" w:hanging="568"/>
        <w:jc w:val="left"/>
        <w:rPr>
          <w:sz w:val="24"/>
        </w:rPr>
      </w:pPr>
      <w:r>
        <w:rPr>
          <w:spacing w:val="-9"/>
          <w:sz w:val="24"/>
          <w:u w:val="single"/>
        </w:rPr>
        <w:t>投标人应制作“投标保证金信封”和“唱标信封”，并不能与投标文件封装在一起。</w:t>
      </w:r>
    </w:p>
    <w:p>
      <w:pPr>
        <w:spacing w:before="81"/>
        <w:ind w:left="825" w:right="0" w:firstLine="0"/>
        <w:jc w:val="left"/>
        <w:rPr>
          <w:sz w:val="24"/>
        </w:rPr>
      </w:pPr>
      <w:r>
        <w:rPr>
          <w:rFonts w:ascii="微软雅黑" w:eastAsia="微软雅黑" w:hAnsi="微软雅黑"/>
          <w:b/>
          <w:spacing w:val="-12"/>
          <w:sz w:val="24"/>
          <w:u w:val="single"/>
        </w:rPr>
        <w:t>“唱标信封”内装《开标一览表》</w:t>
      </w:r>
      <w:r>
        <w:rPr>
          <w:rFonts w:ascii="微软雅黑" w:eastAsia="微软雅黑" w:hAnsi="微软雅黑"/>
          <w:b/>
          <w:spacing w:val="-4"/>
          <w:sz w:val="24"/>
          <w:u w:val="single"/>
        </w:rPr>
        <w:t>（加盖公章</w:t>
      </w:r>
      <w:r>
        <w:rPr>
          <w:rFonts w:ascii="微软雅黑" w:eastAsia="微软雅黑" w:hAnsi="微软雅黑"/>
          <w:b/>
          <w:spacing w:val="-120"/>
          <w:sz w:val="24"/>
          <w:u w:val="single"/>
        </w:rPr>
        <w:t>）</w:t>
      </w:r>
      <w:r>
        <w:rPr>
          <w:spacing w:val="-19"/>
          <w:sz w:val="24"/>
          <w:u w:val="single"/>
        </w:rPr>
        <w:t>。“投标保证金信封”内装如下内容：</w:t>
      </w:r>
    </w:p>
    <w:p>
      <w:pPr>
        <w:pStyle w:val="ListParagraph"/>
        <w:numPr>
          <w:ilvl w:val="0"/>
          <w:numId w:val="20"/>
        </w:numPr>
        <w:tabs>
          <w:tab w:val="left" w:pos="1698"/>
        </w:tabs>
        <w:spacing w:before="102" w:after="0" w:line="240" w:lineRule="auto"/>
        <w:ind w:left="1698" w:right="0" w:hanging="720"/>
        <w:jc w:val="both"/>
        <w:rPr>
          <w:sz w:val="24"/>
        </w:rPr>
      </w:pPr>
      <w:r>
        <w:rPr>
          <w:sz w:val="24"/>
        </w:rPr>
        <w:t>投标保证金支付凭证（银行划款单复印件，加盖公章</w:t>
      </w:r>
      <w:r>
        <w:rPr>
          <w:spacing w:val="-120"/>
          <w:sz w:val="24"/>
        </w:rPr>
        <w:t>）</w:t>
      </w:r>
      <w:r>
        <w:rPr>
          <w:spacing w:val="-10"/>
          <w:sz w:val="24"/>
        </w:rPr>
        <w:t>。</w:t>
      </w:r>
    </w:p>
    <w:p>
      <w:pPr>
        <w:pStyle w:val="BodyText"/>
        <w:spacing w:before="159" w:line="364" w:lineRule="auto"/>
        <w:ind w:left="978" w:right="355" w:firstLine="480"/>
        <w:jc w:val="both"/>
      </w:pPr>
      <w:r>
        <w:rPr>
          <w:spacing w:val="-2"/>
        </w:rPr>
        <w:t>说明：提交的保证金支付凭证复印件必须以银行进账单或银行回单加盖公章</w:t>
      </w:r>
      <w:r>
        <w:rPr>
          <w:spacing w:val="-2"/>
        </w:rPr>
        <w:t>的形式提交，如因网上汇款而提交银行电子回单或支付结算查询报表的复印件为</w:t>
      </w:r>
      <w:r>
        <w:rPr>
          <w:spacing w:val="-4"/>
        </w:rPr>
        <w:t>无效。</w:t>
      </w:r>
    </w:p>
    <w:p>
      <w:pPr>
        <w:pStyle w:val="ListParagraph"/>
        <w:numPr>
          <w:ilvl w:val="0"/>
          <w:numId w:val="20"/>
        </w:numPr>
        <w:tabs>
          <w:tab w:val="left" w:pos="1698"/>
        </w:tabs>
        <w:spacing w:before="0" w:after="0" w:line="306" w:lineRule="exact"/>
        <w:ind w:left="1698" w:right="0" w:hanging="720"/>
        <w:jc w:val="both"/>
        <w:rPr>
          <w:sz w:val="24"/>
        </w:rPr>
      </w:pPr>
      <w:r>
        <w:rPr>
          <w:sz w:val="24"/>
        </w:rPr>
        <w:t>投标保证金汇入情况说明原件（仅作为退还投标保证金时使用</w:t>
      </w:r>
      <w:r>
        <w:rPr>
          <w:spacing w:val="-120"/>
          <w:sz w:val="24"/>
        </w:rPr>
        <w:t>）</w:t>
      </w:r>
      <w:r>
        <w:rPr>
          <w:spacing w:val="-10"/>
          <w:sz w:val="24"/>
        </w:rPr>
        <w:t>。</w:t>
      </w:r>
    </w:p>
    <w:p>
      <w:pPr>
        <w:pStyle w:val="BodyText"/>
      </w:pPr>
    </w:p>
    <w:p>
      <w:pPr>
        <w:pStyle w:val="BodyText"/>
        <w:spacing w:before="11"/>
        <w:rPr>
          <w:sz w:val="18"/>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2"/>
        </w:rPr>
        <w:t>投标截止时间</w:t>
      </w:r>
    </w:p>
    <w:p>
      <w:pPr>
        <w:pStyle w:val="ListParagraph"/>
        <w:numPr>
          <w:ilvl w:val="1"/>
          <w:numId w:val="26"/>
        </w:numPr>
        <w:tabs>
          <w:tab w:val="left" w:pos="826"/>
        </w:tabs>
        <w:spacing w:before="102" w:after="0" w:line="240" w:lineRule="auto"/>
        <w:ind w:left="825" w:right="0" w:hanging="568"/>
        <w:jc w:val="left"/>
        <w:rPr>
          <w:sz w:val="24"/>
        </w:rPr>
      </w:pPr>
      <w:r>
        <w:rPr>
          <w:spacing w:val="-9"/>
          <w:sz w:val="24"/>
        </w:rPr>
        <w:t>本次投标的截止时间：见招标文件“招标邀请函”。</w:t>
      </w:r>
    </w:p>
    <w:p>
      <w:pPr>
        <w:pStyle w:val="ListParagraph"/>
        <w:numPr>
          <w:ilvl w:val="1"/>
          <w:numId w:val="26"/>
        </w:numPr>
        <w:tabs>
          <w:tab w:val="left" w:pos="826"/>
        </w:tabs>
        <w:spacing w:before="159" w:after="0" w:line="364" w:lineRule="auto"/>
        <w:ind w:left="825" w:right="355" w:hanging="567"/>
        <w:jc w:val="left"/>
        <w:rPr>
          <w:sz w:val="24"/>
        </w:rPr>
      </w:pPr>
      <w:r>
        <w:rPr>
          <w:spacing w:val="-7"/>
          <w:sz w:val="24"/>
        </w:rPr>
        <w:t>本次投标的投标文件递交时间：见招标文件“招标邀请函”。采购代理机构收到投</w:t>
      </w:r>
      <w:r>
        <w:rPr>
          <w:spacing w:val="-2"/>
          <w:sz w:val="24"/>
        </w:rPr>
        <w:t>标文件的时间不得迟于规定的截止时间。</w:t>
      </w:r>
    </w:p>
    <w:p>
      <w:pPr>
        <w:pStyle w:val="ListParagraph"/>
        <w:numPr>
          <w:ilvl w:val="1"/>
          <w:numId w:val="26"/>
        </w:numPr>
        <w:tabs>
          <w:tab w:val="left" w:pos="826"/>
        </w:tabs>
        <w:spacing w:before="0" w:after="0" w:line="364" w:lineRule="auto"/>
        <w:ind w:left="825" w:right="356" w:hanging="567"/>
        <w:jc w:val="left"/>
        <w:rPr>
          <w:sz w:val="24"/>
        </w:rPr>
      </w:pPr>
      <w:r>
        <w:rPr>
          <w:spacing w:val="-2"/>
          <w:sz w:val="24"/>
        </w:rPr>
        <w:t>投标人务必于投标截止时间前，将投标文件的正本和所有副本按“招标邀请函”</w:t>
      </w:r>
      <w:r>
        <w:rPr>
          <w:spacing w:val="-2"/>
          <w:sz w:val="24"/>
        </w:rPr>
        <w:t>要求送达递交投标文件地点，交于收件人：广东志正招标有限公司。</w:t>
      </w:r>
    </w:p>
    <w:p>
      <w:pPr>
        <w:pStyle w:val="ListParagraph"/>
        <w:numPr>
          <w:ilvl w:val="1"/>
          <w:numId w:val="26"/>
        </w:numPr>
        <w:tabs>
          <w:tab w:val="left" w:pos="826"/>
        </w:tabs>
        <w:spacing w:before="0" w:after="0" w:line="364" w:lineRule="auto"/>
        <w:ind w:left="825" w:right="356" w:hanging="567"/>
        <w:jc w:val="left"/>
        <w:rPr>
          <w:sz w:val="24"/>
        </w:rPr>
      </w:pPr>
      <w:r>
        <w:rPr>
          <w:spacing w:val="-2"/>
          <w:sz w:val="24"/>
        </w:rPr>
        <w:t>在推迟了投标截止时间的情况下，采购代理机构、招标人和投标人受报价截止时</w:t>
      </w:r>
      <w:r>
        <w:rPr>
          <w:spacing w:val="-2"/>
          <w:sz w:val="24"/>
        </w:rPr>
        <w:t>间制约的所有权利和义务均应延长至新的截止时间。</w:t>
      </w:r>
    </w:p>
    <w:p>
      <w:pPr>
        <w:pStyle w:val="BodyText"/>
        <w:spacing w:before="2"/>
        <w:rPr>
          <w:sz w:val="30"/>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2"/>
        </w:rPr>
        <w:t>迟交的投标文件</w:t>
      </w:r>
    </w:p>
    <w:p>
      <w:pPr>
        <w:pStyle w:val="ListParagraph"/>
        <w:numPr>
          <w:ilvl w:val="1"/>
          <w:numId w:val="26"/>
        </w:numPr>
        <w:tabs>
          <w:tab w:val="left" w:pos="826"/>
        </w:tabs>
        <w:spacing w:before="102" w:after="0" w:line="240" w:lineRule="auto"/>
        <w:ind w:left="825" w:right="0" w:hanging="568"/>
        <w:jc w:val="left"/>
        <w:rPr>
          <w:sz w:val="24"/>
        </w:rPr>
      </w:pPr>
      <w:r>
        <w:rPr>
          <w:spacing w:val="-3"/>
          <w:sz w:val="24"/>
        </w:rPr>
        <w:t>采购代理机构将拒绝并原封退回在其规定的投标截止时刻后收到的任何投标文件。</w:t>
      </w:r>
    </w:p>
    <w:p>
      <w:pPr>
        <w:pStyle w:val="BodyText"/>
      </w:pPr>
    </w:p>
    <w:p>
      <w:pPr>
        <w:pStyle w:val="BodyText"/>
        <w:spacing w:before="11"/>
        <w:rPr>
          <w:sz w:val="18"/>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1"/>
        </w:rPr>
        <w:t>投标文件的修改与撤回</w:t>
      </w:r>
    </w:p>
    <w:p>
      <w:pPr>
        <w:pStyle w:val="ListParagraph"/>
        <w:numPr>
          <w:ilvl w:val="1"/>
          <w:numId w:val="26"/>
        </w:numPr>
        <w:tabs>
          <w:tab w:val="left" w:pos="826"/>
        </w:tabs>
        <w:spacing w:before="101" w:after="0" w:line="364" w:lineRule="auto"/>
        <w:ind w:left="825" w:right="356" w:hanging="567"/>
        <w:jc w:val="left"/>
        <w:rPr>
          <w:sz w:val="24"/>
        </w:rPr>
      </w:pPr>
      <w:r>
        <w:rPr>
          <w:spacing w:val="-2"/>
          <w:sz w:val="24"/>
        </w:rPr>
        <w:t>投标人在递交投标文件后，可以修改或撤回其投标文件，但应保证采购代理机构</w:t>
      </w:r>
      <w:r>
        <w:rPr>
          <w:spacing w:val="-2"/>
          <w:sz w:val="24"/>
        </w:rPr>
        <w:t>在规定的投标截止时间之前，收到这些投标文件。</w:t>
      </w:r>
    </w:p>
    <w:p>
      <w:pPr>
        <w:spacing w:after="0" w:line="364" w:lineRule="auto"/>
        <w:jc w:val="left"/>
        <w:rPr>
          <w:sz w:val="24"/>
        </w:rPr>
        <w:sectPr>
          <w:headerReference w:type="default" r:id="rId24"/>
          <w:footerReference w:type="default" r:id="rId25"/>
          <w:pgSz w:w="11910" w:h="16840"/>
          <w:pgMar w:top="1080" w:right="1060" w:bottom="1040" w:left="1160" w:header="700" w:footer="841"/>
          <w:pgNumType w:start="10"/>
          <w:cols w:space="708"/>
        </w:sectPr>
      </w:pPr>
    </w:p>
    <w:p>
      <w:pPr>
        <w:pStyle w:val="ListParagraph"/>
        <w:numPr>
          <w:ilvl w:val="1"/>
          <w:numId w:val="26"/>
        </w:numPr>
        <w:tabs>
          <w:tab w:val="left" w:pos="826"/>
        </w:tabs>
        <w:spacing w:before="56" w:after="0" w:line="364" w:lineRule="auto"/>
        <w:ind w:left="825" w:right="356" w:hanging="567"/>
        <w:jc w:val="left"/>
        <w:rPr>
          <w:sz w:val="24"/>
        </w:rPr>
      </w:pPr>
      <w:r>
        <w:rPr>
          <w:spacing w:val="-2"/>
          <w:sz w:val="24"/>
        </w:rPr>
        <w:t>投标有效期内，投标人不得对其投标文件做任何修改亦不得撤回其投标文件，否</w:t>
      </w:r>
      <w:r>
        <w:rPr>
          <w:spacing w:val="-2"/>
          <w:sz w:val="24"/>
        </w:rPr>
        <w:t>则其投标保证金将被没收。</w:t>
      </w:r>
    </w:p>
    <w:p>
      <w:pPr>
        <w:pStyle w:val="BodyText"/>
        <w:spacing w:before="6"/>
        <w:rPr>
          <w:sz w:val="28"/>
        </w:rPr>
      </w:pPr>
    </w:p>
    <w:p>
      <w:pPr>
        <w:pStyle w:val="Heading1"/>
      </w:pPr>
      <w:bookmarkStart w:id="6" w:name="_TOC_250024"/>
      <w:r>
        <w:t>（五）</w:t>
      </w:r>
      <w:bookmarkEnd w:id="6"/>
      <w:r>
        <w:rPr>
          <w:spacing w:val="-3"/>
        </w:rPr>
        <w:t>评标程序</w:t>
      </w:r>
    </w:p>
    <w:p>
      <w:pPr>
        <w:pStyle w:val="BodyText"/>
        <w:spacing w:before="15"/>
        <w:rPr>
          <w:rFonts w:ascii="微软雅黑"/>
          <w:b/>
          <w:sz w:val="19"/>
        </w:rPr>
      </w:pPr>
    </w:p>
    <w:p>
      <w:pPr>
        <w:pStyle w:val="BodyText"/>
        <w:spacing w:before="1" w:line="312" w:lineRule="auto"/>
        <w:ind w:left="258" w:right="355" w:firstLine="480"/>
      </w:pPr>
      <w:r>
        <w:rPr>
          <w:spacing w:val="-2"/>
        </w:rPr>
        <w:t>本项目采用公开招标方式进行，要求投标人将投标文件密封递交，评标委员会负责</w:t>
      </w:r>
      <w:r>
        <w:rPr>
          <w:spacing w:val="-2"/>
        </w:rPr>
        <w:t>对递交的投标文件进行评审并对投标人排出名次。</w:t>
      </w:r>
    </w:p>
    <w:p>
      <w:pPr>
        <w:pStyle w:val="BodyText"/>
      </w:pPr>
    </w:p>
    <w:p>
      <w:pPr>
        <w:pStyle w:val="Heading4"/>
        <w:numPr>
          <w:ilvl w:val="0"/>
          <w:numId w:val="26"/>
        </w:numPr>
        <w:tabs>
          <w:tab w:val="left" w:pos="684"/>
        </w:tabs>
        <w:spacing w:before="164" w:after="0" w:line="240" w:lineRule="auto"/>
        <w:ind w:left="683" w:right="0" w:hanging="426"/>
        <w:jc w:val="left"/>
        <w:rPr>
          <w:rFonts w:ascii="微软雅黑" w:eastAsia="微软雅黑"/>
        </w:rPr>
      </w:pPr>
      <w:r>
        <w:rPr>
          <w:rFonts w:ascii="微软雅黑" w:eastAsia="微软雅黑"/>
          <w:spacing w:val="-5"/>
        </w:rPr>
        <w:t>开标</w:t>
      </w:r>
    </w:p>
    <w:p>
      <w:pPr>
        <w:pStyle w:val="ListParagraph"/>
        <w:numPr>
          <w:ilvl w:val="1"/>
          <w:numId w:val="26"/>
        </w:numPr>
        <w:tabs>
          <w:tab w:val="left" w:pos="826"/>
        </w:tabs>
        <w:spacing w:before="101" w:after="0" w:line="240" w:lineRule="auto"/>
        <w:ind w:left="825" w:right="0" w:hanging="568"/>
        <w:jc w:val="left"/>
        <w:rPr>
          <w:sz w:val="24"/>
        </w:rPr>
      </w:pPr>
      <w:r>
        <w:rPr>
          <w:spacing w:val="-3"/>
          <w:sz w:val="24"/>
        </w:rPr>
        <w:t>采购代理机构按招标邀请函中规定的时间和地点公开开标。</w:t>
      </w:r>
    </w:p>
    <w:p>
      <w:pPr>
        <w:pStyle w:val="ListParagraph"/>
        <w:numPr>
          <w:ilvl w:val="1"/>
          <w:numId w:val="26"/>
        </w:numPr>
        <w:tabs>
          <w:tab w:val="left" w:pos="826"/>
        </w:tabs>
        <w:spacing w:before="159" w:after="0" w:line="364" w:lineRule="auto"/>
        <w:ind w:left="825" w:right="356" w:hanging="567"/>
        <w:jc w:val="left"/>
        <w:rPr>
          <w:sz w:val="24"/>
        </w:rPr>
      </w:pPr>
      <w:r>
        <w:rPr>
          <w:spacing w:val="-2"/>
          <w:sz w:val="24"/>
        </w:rPr>
        <w:t>开标时，投标人须由法定代表人或其委托代理人带身份证原件参加，并签到证明</w:t>
      </w:r>
      <w:r>
        <w:rPr>
          <w:spacing w:val="-2"/>
          <w:sz w:val="24"/>
        </w:rPr>
        <w:t>其出席开标会议，否则视为该投标人自动弃权。</w:t>
      </w:r>
    </w:p>
    <w:p>
      <w:pPr>
        <w:pStyle w:val="ListParagraph"/>
        <w:numPr>
          <w:ilvl w:val="1"/>
          <w:numId w:val="26"/>
        </w:numPr>
        <w:tabs>
          <w:tab w:val="left" w:pos="826"/>
        </w:tabs>
        <w:spacing w:before="0" w:after="0" w:line="306" w:lineRule="exact"/>
        <w:ind w:left="825" w:right="0" w:hanging="568"/>
        <w:jc w:val="left"/>
        <w:rPr>
          <w:sz w:val="24"/>
        </w:rPr>
      </w:pPr>
      <w:r>
        <w:rPr>
          <w:spacing w:val="-3"/>
          <w:sz w:val="24"/>
        </w:rPr>
        <w:t>开标前先检查投标文件密封情况，确认无误后拆封“唱标信封”唱标。</w:t>
      </w:r>
    </w:p>
    <w:p>
      <w:pPr>
        <w:pStyle w:val="ListParagraph"/>
        <w:numPr>
          <w:ilvl w:val="1"/>
          <w:numId w:val="26"/>
        </w:numPr>
        <w:tabs>
          <w:tab w:val="left" w:pos="826"/>
        </w:tabs>
        <w:spacing w:before="160" w:after="0" w:line="240" w:lineRule="auto"/>
        <w:ind w:left="825" w:right="0" w:hanging="568"/>
        <w:jc w:val="left"/>
        <w:rPr>
          <w:sz w:val="24"/>
        </w:rPr>
      </w:pPr>
      <w:r>
        <w:rPr>
          <w:spacing w:val="-3"/>
          <w:sz w:val="24"/>
        </w:rPr>
        <w:t>开标时，开标一览表内容与投标文件中明细表内容不一致的，以开标一览表为准。</w:t>
      </w:r>
    </w:p>
    <w:p>
      <w:pPr>
        <w:pStyle w:val="BodyText"/>
      </w:pPr>
    </w:p>
    <w:p>
      <w:pPr>
        <w:pStyle w:val="BodyText"/>
        <w:spacing w:before="11"/>
        <w:rPr>
          <w:sz w:val="18"/>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2"/>
        </w:rPr>
        <w:t>评标委员会</w:t>
      </w:r>
    </w:p>
    <w:p>
      <w:pPr>
        <w:pStyle w:val="ListParagraph"/>
        <w:numPr>
          <w:ilvl w:val="1"/>
          <w:numId w:val="26"/>
        </w:numPr>
        <w:tabs>
          <w:tab w:val="left" w:pos="826"/>
        </w:tabs>
        <w:spacing w:before="101" w:after="0" w:line="240" w:lineRule="auto"/>
        <w:ind w:left="825" w:right="0" w:hanging="568"/>
        <w:jc w:val="left"/>
        <w:rPr>
          <w:sz w:val="24"/>
        </w:rPr>
      </w:pPr>
      <w:r>
        <w:rPr>
          <w:spacing w:val="-3"/>
          <w:sz w:val="24"/>
        </w:rPr>
        <w:t>本次招标依法组建评标委员会。</w:t>
      </w:r>
    </w:p>
    <w:p>
      <w:pPr>
        <w:pStyle w:val="ListParagraph"/>
        <w:numPr>
          <w:ilvl w:val="1"/>
          <w:numId w:val="26"/>
        </w:numPr>
        <w:tabs>
          <w:tab w:val="left" w:pos="826"/>
        </w:tabs>
        <w:spacing w:before="160" w:after="0" w:line="364" w:lineRule="auto"/>
        <w:ind w:left="825" w:right="356" w:hanging="567"/>
        <w:jc w:val="left"/>
        <w:rPr>
          <w:sz w:val="24"/>
        </w:rPr>
      </w:pPr>
      <w:r>
        <w:rPr>
          <w:spacing w:val="-2"/>
          <w:sz w:val="24"/>
        </w:rPr>
        <w:t>评标委员会依法和根据招标文件的规定，进行投标文件的评审、得出评审结果，</w:t>
      </w:r>
      <w:r>
        <w:rPr>
          <w:spacing w:val="-2"/>
          <w:sz w:val="24"/>
        </w:rPr>
        <w:t>提交评审报告，并向招标人推荐中标候选人。</w:t>
      </w:r>
    </w:p>
    <w:p>
      <w:pPr>
        <w:pStyle w:val="BodyText"/>
        <w:spacing w:before="5"/>
        <w:rPr>
          <w:sz w:val="30"/>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1"/>
        </w:rPr>
        <w:t>评标的原则和评审方法</w:t>
      </w:r>
    </w:p>
    <w:p>
      <w:pPr>
        <w:pStyle w:val="ListParagraph"/>
        <w:numPr>
          <w:ilvl w:val="1"/>
          <w:numId w:val="26"/>
        </w:numPr>
        <w:tabs>
          <w:tab w:val="left" w:pos="826"/>
        </w:tabs>
        <w:spacing w:before="102" w:after="0" w:line="364" w:lineRule="auto"/>
        <w:ind w:left="825" w:right="356" w:hanging="567"/>
        <w:jc w:val="both"/>
        <w:rPr>
          <w:sz w:val="24"/>
        </w:rPr>
      </w:pPr>
      <w:r>
        <w:rPr>
          <w:spacing w:val="-2"/>
          <w:sz w:val="24"/>
        </w:rPr>
        <w:t>评审的基本原则：评标委员会将依据《中华人民共和国政府采购法》及国家和地方政府有关法规的规定，遵循“公开、公平、公正、择优、信用”的原则进行评</w:t>
      </w:r>
      <w:r>
        <w:rPr>
          <w:spacing w:val="-4"/>
          <w:sz w:val="24"/>
        </w:rPr>
        <w:t>审工作。</w:t>
      </w:r>
    </w:p>
    <w:p>
      <w:pPr>
        <w:pStyle w:val="ListParagraph"/>
        <w:numPr>
          <w:ilvl w:val="1"/>
          <w:numId w:val="26"/>
        </w:numPr>
        <w:tabs>
          <w:tab w:val="left" w:pos="826"/>
        </w:tabs>
        <w:spacing w:before="0" w:after="0" w:line="306" w:lineRule="exact"/>
        <w:ind w:left="825" w:right="0" w:hanging="568"/>
        <w:jc w:val="both"/>
        <w:rPr>
          <w:sz w:val="24"/>
        </w:rPr>
      </w:pPr>
      <w:r>
        <w:rPr>
          <w:spacing w:val="-3"/>
          <w:sz w:val="24"/>
        </w:rPr>
        <w:t>评审方法：本次招标的评审方法采用综合评分法。</w:t>
      </w:r>
    </w:p>
    <w:p>
      <w:pPr>
        <w:pStyle w:val="BodyText"/>
      </w:pPr>
    </w:p>
    <w:p>
      <w:pPr>
        <w:pStyle w:val="BodyText"/>
        <w:spacing w:before="12"/>
        <w:rPr>
          <w:sz w:val="18"/>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3"/>
        </w:rPr>
        <w:t>评审程序</w:t>
      </w:r>
    </w:p>
    <w:p>
      <w:pPr>
        <w:pStyle w:val="ListParagraph"/>
        <w:numPr>
          <w:ilvl w:val="1"/>
          <w:numId w:val="26"/>
        </w:numPr>
        <w:tabs>
          <w:tab w:val="left" w:pos="826"/>
        </w:tabs>
        <w:spacing w:before="101" w:after="0" w:line="240" w:lineRule="auto"/>
        <w:ind w:left="825" w:right="0" w:hanging="568"/>
        <w:jc w:val="both"/>
        <w:rPr>
          <w:sz w:val="24"/>
        </w:rPr>
      </w:pPr>
      <w:r>
        <w:rPr>
          <w:spacing w:val="-4"/>
          <w:sz w:val="24"/>
        </w:rPr>
        <w:t>符合性审查</w:t>
      </w:r>
    </w:p>
    <w:p>
      <w:pPr>
        <w:pStyle w:val="ListParagraph"/>
        <w:numPr>
          <w:ilvl w:val="0"/>
          <w:numId w:val="23"/>
        </w:numPr>
        <w:tabs>
          <w:tab w:val="left" w:pos="1698"/>
        </w:tabs>
        <w:spacing w:before="160" w:after="0" w:line="364" w:lineRule="auto"/>
        <w:ind w:left="1698" w:right="308" w:hanging="720"/>
        <w:jc w:val="both"/>
        <w:rPr>
          <w:sz w:val="24"/>
        </w:rPr>
      </w:pPr>
      <w:r>
        <w:rPr>
          <w:spacing w:val="-2"/>
          <w:sz w:val="24"/>
        </w:rPr>
        <w:t>技术符合性审查：评标委员会将审查各投标文件的内容是否有明显缺陷，</w:t>
      </w:r>
      <w:r>
        <w:rPr>
          <w:spacing w:val="-2"/>
          <w:sz w:val="24"/>
        </w:rPr>
        <w:t>各项技术指标是否实质响应了招标文件的要求，有无显著差异或保留，能</w:t>
      </w:r>
      <w:r>
        <w:rPr>
          <w:spacing w:val="-2"/>
          <w:sz w:val="24"/>
        </w:rPr>
        <w:t>否满足各技术方面的要求等。</w:t>
      </w:r>
    </w:p>
    <w:p>
      <w:pPr>
        <w:spacing w:after="0" w:line="364" w:lineRule="auto"/>
        <w:jc w:val="both"/>
        <w:rPr>
          <w:sz w:val="24"/>
        </w:rPr>
        <w:sectPr>
          <w:headerReference w:type="default" r:id="rId26"/>
          <w:footerReference w:type="default" r:id="rId27"/>
          <w:pgSz w:w="11910" w:h="16840"/>
          <w:pgMar w:top="1080" w:right="1060" w:bottom="1040" w:left="1160" w:header="700" w:footer="841"/>
          <w:pgNumType w:start="11"/>
          <w:cols w:space="708"/>
        </w:sectPr>
      </w:pPr>
    </w:p>
    <w:p>
      <w:pPr>
        <w:pStyle w:val="ListParagraph"/>
        <w:numPr>
          <w:ilvl w:val="0"/>
          <w:numId w:val="23"/>
        </w:numPr>
        <w:tabs>
          <w:tab w:val="left" w:pos="1698"/>
        </w:tabs>
        <w:spacing w:before="56" w:after="0" w:line="364" w:lineRule="auto"/>
        <w:ind w:left="1698" w:right="235" w:hanging="720"/>
        <w:jc w:val="left"/>
        <w:rPr>
          <w:sz w:val="24"/>
        </w:rPr>
      </w:pPr>
      <w:r>
        <w:rPr>
          <w:spacing w:val="-14"/>
          <w:sz w:val="24"/>
        </w:rPr>
        <w:t>商务符合性审查：评标委员会将对各投标文件是否完整、有效期是否满足、</w:t>
      </w:r>
      <w:r>
        <w:rPr>
          <w:spacing w:val="-2"/>
          <w:sz w:val="24"/>
        </w:rPr>
        <w:t>有关资格证明文件是否齐全有效、文件签署是否合格、是否提交了投标保</w:t>
      </w:r>
      <w:r>
        <w:rPr>
          <w:spacing w:val="-2"/>
          <w:sz w:val="24"/>
        </w:rPr>
        <w:t>证金等商务符合性进行审查。</w:t>
      </w:r>
    </w:p>
    <w:p>
      <w:pPr>
        <w:pStyle w:val="ListParagraph"/>
        <w:numPr>
          <w:ilvl w:val="0"/>
          <w:numId w:val="23"/>
        </w:numPr>
        <w:tabs>
          <w:tab w:val="left" w:pos="1698"/>
        </w:tabs>
        <w:spacing w:before="0" w:after="0" w:line="306" w:lineRule="exact"/>
        <w:ind w:left="1698" w:right="0" w:hanging="720"/>
        <w:jc w:val="left"/>
        <w:rPr>
          <w:sz w:val="24"/>
        </w:rPr>
      </w:pPr>
      <w:r>
        <w:rPr>
          <w:spacing w:val="-1"/>
          <w:sz w:val="24"/>
        </w:rPr>
        <w:t>投标文件出现下列情况时将被认定为无效投标：</w:t>
      </w:r>
    </w:p>
    <w:p>
      <w:pPr>
        <w:pStyle w:val="BodyText"/>
        <w:spacing w:before="7"/>
        <w:rPr>
          <w:sz w:val="18"/>
        </w:rPr>
      </w:pPr>
    </w:p>
    <w:p>
      <w:pPr>
        <w:pStyle w:val="ListParagraph"/>
        <w:numPr>
          <w:ilvl w:val="1"/>
          <w:numId w:val="23"/>
        </w:numPr>
        <w:tabs>
          <w:tab w:val="left" w:pos="1752"/>
        </w:tabs>
        <w:spacing w:before="0" w:after="0" w:line="240" w:lineRule="auto"/>
        <w:ind w:left="1752" w:right="0" w:hanging="360"/>
        <w:jc w:val="left"/>
        <w:rPr>
          <w:sz w:val="24"/>
        </w:rPr>
      </w:pPr>
      <w:r>
        <w:rPr>
          <w:spacing w:val="-1"/>
          <w:sz w:val="24"/>
        </w:rPr>
        <w:t>投标人未按规定提交投标保证金或金额不足的；</w:t>
      </w:r>
    </w:p>
    <w:p>
      <w:pPr>
        <w:pStyle w:val="ListParagraph"/>
        <w:numPr>
          <w:ilvl w:val="1"/>
          <w:numId w:val="23"/>
        </w:numPr>
        <w:tabs>
          <w:tab w:val="left" w:pos="1752"/>
        </w:tabs>
        <w:spacing w:before="161" w:after="0" w:line="240" w:lineRule="auto"/>
        <w:ind w:left="1752" w:right="0" w:hanging="360"/>
        <w:jc w:val="left"/>
        <w:rPr>
          <w:sz w:val="24"/>
        </w:rPr>
      </w:pPr>
      <w:r>
        <w:rPr>
          <w:spacing w:val="-1"/>
          <w:sz w:val="24"/>
        </w:rPr>
        <w:t>投标人不符合合格投标人的基本条件；</w:t>
      </w:r>
    </w:p>
    <w:p>
      <w:pPr>
        <w:pStyle w:val="ListParagraph"/>
        <w:numPr>
          <w:ilvl w:val="1"/>
          <w:numId w:val="23"/>
        </w:numPr>
        <w:tabs>
          <w:tab w:val="left" w:pos="1752"/>
        </w:tabs>
        <w:spacing w:before="160" w:after="0" w:line="240" w:lineRule="auto"/>
        <w:ind w:left="1752" w:right="0" w:hanging="360"/>
        <w:jc w:val="left"/>
        <w:rPr>
          <w:sz w:val="24"/>
        </w:rPr>
      </w:pPr>
      <w:r>
        <w:rPr>
          <w:spacing w:val="-1"/>
          <w:sz w:val="24"/>
        </w:rPr>
        <w:t>投标文件未按招标文件规定盖章或签署；</w:t>
      </w:r>
    </w:p>
    <w:p>
      <w:pPr>
        <w:pStyle w:val="ListParagraph"/>
        <w:numPr>
          <w:ilvl w:val="1"/>
          <w:numId w:val="23"/>
        </w:numPr>
        <w:tabs>
          <w:tab w:val="left" w:pos="1752"/>
        </w:tabs>
        <w:spacing w:before="161" w:after="0" w:line="240" w:lineRule="auto"/>
        <w:ind w:left="1752" w:right="0" w:hanging="360"/>
        <w:jc w:val="left"/>
        <w:rPr>
          <w:sz w:val="24"/>
        </w:rPr>
      </w:pPr>
      <w:r>
        <w:rPr>
          <w:spacing w:val="-1"/>
          <w:sz w:val="24"/>
        </w:rPr>
        <w:t>投标文件的技术指标没有实质响应招标文件要求的；</w:t>
      </w:r>
    </w:p>
    <w:p>
      <w:pPr>
        <w:pStyle w:val="ListParagraph"/>
        <w:numPr>
          <w:ilvl w:val="1"/>
          <w:numId w:val="23"/>
        </w:numPr>
        <w:tabs>
          <w:tab w:val="left" w:pos="1752"/>
        </w:tabs>
        <w:spacing w:before="160" w:after="0" w:line="240" w:lineRule="auto"/>
        <w:ind w:left="1752" w:right="0" w:hanging="360"/>
        <w:jc w:val="left"/>
        <w:rPr>
          <w:sz w:val="24"/>
        </w:rPr>
      </w:pPr>
      <w:r>
        <w:rPr>
          <w:spacing w:val="-1"/>
          <w:sz w:val="24"/>
        </w:rPr>
        <w:t>投标报价低于成本价或高于采购预算的；</w:t>
      </w:r>
    </w:p>
    <w:p>
      <w:pPr>
        <w:pStyle w:val="ListParagraph"/>
        <w:numPr>
          <w:ilvl w:val="1"/>
          <w:numId w:val="23"/>
        </w:numPr>
        <w:tabs>
          <w:tab w:val="left" w:pos="1752"/>
        </w:tabs>
        <w:spacing w:before="161" w:after="0" w:line="364" w:lineRule="auto"/>
        <w:ind w:left="1732" w:right="355" w:hanging="340"/>
        <w:jc w:val="left"/>
        <w:rPr>
          <w:sz w:val="24"/>
        </w:rPr>
      </w:pPr>
      <w:r>
        <w:rPr>
          <w:spacing w:val="-12"/>
          <w:sz w:val="24"/>
        </w:rPr>
        <w:t>单价与总价不相符，又不接受评标委员会修正的投标总价或投标价明显低</w:t>
      </w:r>
      <w:r>
        <w:rPr>
          <w:spacing w:val="-2"/>
          <w:sz w:val="24"/>
        </w:rPr>
        <w:t>于其他投标价而投标人不能合理说明的；</w:t>
      </w:r>
    </w:p>
    <w:p>
      <w:pPr>
        <w:pStyle w:val="ListParagraph"/>
        <w:numPr>
          <w:ilvl w:val="1"/>
          <w:numId w:val="23"/>
        </w:numPr>
        <w:tabs>
          <w:tab w:val="left" w:pos="1752"/>
        </w:tabs>
        <w:spacing w:before="1" w:after="0" w:line="240" w:lineRule="auto"/>
        <w:ind w:left="1752" w:right="0" w:hanging="360"/>
        <w:jc w:val="left"/>
        <w:rPr>
          <w:sz w:val="24"/>
        </w:rPr>
      </w:pPr>
      <w:r>
        <w:rPr>
          <w:spacing w:val="-2"/>
          <w:sz w:val="24"/>
        </w:rPr>
        <w:t>投标有效期不足的；</w:t>
      </w:r>
    </w:p>
    <w:p>
      <w:pPr>
        <w:pStyle w:val="ListParagraph"/>
        <w:numPr>
          <w:ilvl w:val="1"/>
          <w:numId w:val="23"/>
        </w:numPr>
        <w:tabs>
          <w:tab w:val="left" w:pos="1752"/>
        </w:tabs>
        <w:spacing w:before="160" w:after="0" w:line="240" w:lineRule="auto"/>
        <w:ind w:left="1752" w:right="0" w:hanging="360"/>
        <w:jc w:val="both"/>
        <w:rPr>
          <w:sz w:val="24"/>
        </w:rPr>
      </w:pPr>
      <w:r>
        <w:rPr>
          <w:spacing w:val="-1"/>
          <w:sz w:val="24"/>
        </w:rPr>
        <w:t>投标价不是固定价或者投标方案不是唯一的。</w:t>
      </w:r>
    </w:p>
    <w:p>
      <w:pPr>
        <w:pStyle w:val="ListParagraph"/>
        <w:numPr>
          <w:ilvl w:val="0"/>
          <w:numId w:val="23"/>
        </w:numPr>
        <w:tabs>
          <w:tab w:val="left" w:pos="1698"/>
        </w:tabs>
        <w:spacing w:before="82" w:after="0" w:line="364" w:lineRule="auto"/>
        <w:ind w:left="1698" w:right="355" w:hanging="720"/>
        <w:jc w:val="both"/>
        <w:rPr>
          <w:sz w:val="24"/>
        </w:rPr>
      </w:pPr>
      <w:r>
        <w:rPr>
          <w:spacing w:val="-2"/>
          <w:sz w:val="24"/>
        </w:rPr>
        <w:t>通过了评标委员会审查的投标为有效投标，并进入下一阶段的详细评价和</w:t>
      </w:r>
      <w:r>
        <w:rPr>
          <w:spacing w:val="-7"/>
          <w:sz w:val="24"/>
        </w:rPr>
        <w:t>比较。经评委审查，若某投标出现半数或以上的“不通过”，则该投标不</w:t>
      </w:r>
      <w:r>
        <w:rPr>
          <w:spacing w:val="-2"/>
          <w:sz w:val="24"/>
        </w:rPr>
        <w:t>能进入下一阶段的评审。</w:t>
      </w:r>
    </w:p>
    <w:p>
      <w:pPr>
        <w:pStyle w:val="ListParagraph"/>
        <w:numPr>
          <w:ilvl w:val="1"/>
          <w:numId w:val="26"/>
        </w:numPr>
        <w:tabs>
          <w:tab w:val="left" w:pos="826"/>
        </w:tabs>
        <w:spacing w:before="0" w:after="0" w:line="364" w:lineRule="auto"/>
        <w:ind w:left="825" w:right="355" w:hanging="567"/>
        <w:jc w:val="both"/>
        <w:rPr>
          <w:sz w:val="24"/>
        </w:rPr>
      </w:pPr>
      <w:r>
        <w:rPr>
          <w:spacing w:val="-2"/>
          <w:sz w:val="24"/>
        </w:rPr>
        <w:t>详细评审：评标委员会对通过符合性审查的投标文件进行详细评审。评标委员会对每一投标文件进行详细的技术、商务、价格评审。按照评审程序的规定和依据评分标准，各位评委就每个投标人的技术、商务状况及其对招标文件要求的响应情况进行评议和比较，评出其技术评分和商务评分。对各评委的评分去掉一个最高分和一个最低分，余下的得分的算术平均值即为该投标人的技术得分和商务得分。然后，根据招标文件规定评出价格得分，将技术得分、商务得分和价格得分</w:t>
      </w:r>
      <w:r>
        <w:rPr>
          <w:spacing w:val="-5"/>
          <w:sz w:val="24"/>
        </w:rPr>
        <w:t>相加得出综合得分，并按综合得分从高到低依次排名 (出现并列得分时，价低者优</w:t>
      </w:r>
      <w:r>
        <w:rPr>
          <w:spacing w:val="-2"/>
          <w:sz w:val="24"/>
        </w:rPr>
        <w:t>先)。最后，评标委员会将综合得分排名第一名的推荐为第一中标候选人、第二名</w:t>
      </w:r>
      <w:r>
        <w:rPr>
          <w:spacing w:val="-2"/>
          <w:sz w:val="24"/>
        </w:rPr>
        <w:t>的推荐为第二中标候选人。</w:t>
      </w:r>
    </w:p>
    <w:p>
      <w:pPr>
        <w:pStyle w:val="ListParagraph"/>
        <w:numPr>
          <w:ilvl w:val="0"/>
          <w:numId w:val="22"/>
        </w:numPr>
        <w:tabs>
          <w:tab w:val="left" w:pos="1698"/>
        </w:tabs>
        <w:spacing w:before="0" w:after="0" w:line="303" w:lineRule="exact"/>
        <w:ind w:left="1698" w:right="0" w:hanging="720"/>
        <w:jc w:val="both"/>
        <w:rPr>
          <w:sz w:val="24"/>
        </w:rPr>
      </w:pPr>
      <w:r>
        <w:rPr>
          <w:sz w:val="24"/>
        </w:rPr>
        <w:t>技术商务评分细则（70</w:t>
      </w:r>
      <w:r>
        <w:rPr>
          <w:spacing w:val="-30"/>
          <w:sz w:val="24"/>
        </w:rPr>
        <w:t xml:space="preserve"> 分</w:t>
      </w:r>
      <w:r>
        <w:rPr>
          <w:spacing w:val="-5"/>
          <w:sz w:val="24"/>
        </w:rPr>
        <w:t>）：</w:t>
      </w:r>
    </w:p>
    <w:p>
      <w:pPr>
        <w:pStyle w:val="BodyText"/>
        <w:spacing w:before="6"/>
        <w:rPr>
          <w:sz w:val="18"/>
        </w:rPr>
      </w:pPr>
    </w:p>
    <w:p>
      <w:pPr>
        <w:pStyle w:val="BodyText"/>
        <w:ind w:left="1696"/>
      </w:pPr>
      <w:r>
        <w:rPr>
          <w:spacing w:val="-1"/>
        </w:rPr>
        <w:t>技术商务评分将从以下几个方面进行：</w:t>
      </w:r>
    </w:p>
    <w:tbl>
      <w:tblPr>
        <w:tblStyle w:val="TableNormal0"/>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2"/>
        <w:gridCol w:w="1921"/>
        <w:gridCol w:w="6267"/>
      </w:tblGrid>
      <w:tr>
        <w:tblPrEx>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89"/>
          <w:jc w:val="left"/>
        </w:trPr>
        <w:tc>
          <w:tcPr>
            <w:tcW w:w="712" w:type="dxa"/>
          </w:tcPr>
          <w:p>
            <w:pPr>
              <w:pStyle w:val="TableParagraph"/>
              <w:spacing w:before="12"/>
              <w:rPr>
                <w:sz w:val="18"/>
              </w:rPr>
            </w:pPr>
          </w:p>
          <w:p>
            <w:pPr>
              <w:pStyle w:val="TableParagraph"/>
              <w:ind w:left="101" w:right="91"/>
              <w:jc w:val="center"/>
              <w:rPr>
                <w:sz w:val="24"/>
              </w:rPr>
            </w:pPr>
            <w:r>
              <w:rPr>
                <w:spacing w:val="-5"/>
                <w:sz w:val="24"/>
              </w:rPr>
              <w:t>序号</w:t>
            </w:r>
          </w:p>
        </w:tc>
        <w:tc>
          <w:tcPr>
            <w:tcW w:w="1921" w:type="dxa"/>
          </w:tcPr>
          <w:p>
            <w:pPr>
              <w:pStyle w:val="TableParagraph"/>
              <w:spacing w:before="12"/>
              <w:rPr>
                <w:sz w:val="18"/>
              </w:rPr>
            </w:pPr>
          </w:p>
          <w:p>
            <w:pPr>
              <w:pStyle w:val="TableParagraph"/>
              <w:ind w:left="480"/>
              <w:rPr>
                <w:sz w:val="24"/>
              </w:rPr>
            </w:pPr>
            <w:r>
              <w:rPr>
                <w:spacing w:val="-3"/>
                <w:sz w:val="24"/>
              </w:rPr>
              <w:t>评分内容</w:t>
            </w:r>
          </w:p>
        </w:tc>
        <w:tc>
          <w:tcPr>
            <w:tcW w:w="6267" w:type="dxa"/>
          </w:tcPr>
          <w:p>
            <w:pPr>
              <w:pStyle w:val="TableParagraph"/>
              <w:spacing w:before="12"/>
              <w:rPr>
                <w:sz w:val="18"/>
              </w:rPr>
            </w:pPr>
          </w:p>
          <w:p>
            <w:pPr>
              <w:pStyle w:val="TableParagraph"/>
              <w:ind w:left="147" w:right="138"/>
              <w:jc w:val="center"/>
              <w:rPr>
                <w:sz w:val="24"/>
              </w:rPr>
            </w:pPr>
            <w:r>
              <w:rPr>
                <w:spacing w:val="-3"/>
                <w:sz w:val="24"/>
              </w:rPr>
              <w:t>评分标准</w:t>
            </w:r>
          </w:p>
        </w:tc>
      </w:tr>
      <w:tr>
        <w:tblPrEx>
          <w:tblW w:w="0" w:type="auto"/>
          <w:jc w:val="left"/>
          <w:tblInd w:w="348" w:type="dxa"/>
          <w:tblLayout w:type="fixed"/>
          <w:tblCellMar>
            <w:top w:w="0" w:type="dxa"/>
            <w:left w:w="0" w:type="dxa"/>
            <w:bottom w:w="0" w:type="dxa"/>
            <w:right w:w="0" w:type="dxa"/>
          </w:tblCellMar>
          <w:tblLook w:val="01E0"/>
        </w:tblPrEx>
        <w:trPr>
          <w:trHeight w:val="502"/>
          <w:jc w:val="left"/>
        </w:trPr>
        <w:tc>
          <w:tcPr>
            <w:tcW w:w="8900" w:type="dxa"/>
            <w:gridSpan w:val="3"/>
          </w:tcPr>
          <w:p>
            <w:pPr>
              <w:pStyle w:val="TableParagraph"/>
              <w:spacing w:before="99"/>
              <w:ind w:left="108"/>
              <w:rPr>
                <w:sz w:val="24"/>
              </w:rPr>
            </w:pPr>
            <w:r>
              <w:rPr>
                <w:sz w:val="24"/>
              </w:rPr>
              <w:t>一、商务部分（</w:t>
            </w:r>
            <w:r>
              <w:rPr>
                <w:spacing w:val="-20"/>
                <w:sz w:val="24"/>
              </w:rPr>
              <w:t xml:space="preserve">满分 </w:t>
            </w:r>
            <w:r>
              <w:rPr>
                <w:sz w:val="24"/>
              </w:rPr>
              <w:t>20</w:t>
            </w:r>
            <w:r>
              <w:rPr>
                <w:spacing w:val="-30"/>
                <w:sz w:val="24"/>
              </w:rPr>
              <w:t xml:space="preserve"> 分</w:t>
            </w:r>
            <w:r>
              <w:rPr>
                <w:spacing w:val="-10"/>
                <w:sz w:val="24"/>
              </w:rPr>
              <w:t>）</w:t>
            </w:r>
          </w:p>
        </w:tc>
      </w:tr>
    </w:tbl>
    <w:p>
      <w:pPr>
        <w:sectPr>
          <w:headerReference w:type="default" r:id="rId28"/>
          <w:footerReference w:type="default" r:id="rId29"/>
          <w:pgSz w:w="11910" w:h="16840"/>
          <w:pgMar w:top="1080" w:right="1060" w:bottom="1040" w:left="1160" w:header="700" w:footer="841"/>
          <w:pgNumType w:start="12"/>
          <w:cols w:space="708"/>
        </w:sectPr>
      </w:pPr>
    </w:p>
    <w:tbl>
      <w:tblPr>
        <w:tblStyle w:val="TableNormal1"/>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2"/>
        <w:gridCol w:w="1921"/>
        <w:gridCol w:w="6267"/>
      </w:tblGrid>
      <w:tr>
        <w:tblPrEx>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3"/>
          <w:jc w:val="left"/>
        </w:trPr>
        <w:tc>
          <w:tcPr>
            <w:tcW w:w="712" w:type="dxa"/>
            <w:tcBorders>
              <w:bottom w:val="nil"/>
            </w:tcBorders>
          </w:tcPr>
          <w:p>
            <w:pPr>
              <w:pStyle w:val="TableParagraph"/>
              <w:spacing w:before="160"/>
              <w:ind w:left="10"/>
              <w:jc w:val="center"/>
              <w:rPr>
                <w:sz w:val="24"/>
              </w:rPr>
            </w:pPr>
            <w:r>
              <w:rPr>
                <w:sz w:val="24"/>
              </w:rPr>
              <w:t>1</w:t>
            </w:r>
          </w:p>
        </w:tc>
        <w:tc>
          <w:tcPr>
            <w:tcW w:w="1921" w:type="dxa"/>
            <w:tcBorders>
              <w:bottom w:val="nil"/>
            </w:tcBorders>
          </w:tcPr>
          <w:p>
            <w:pPr>
              <w:pStyle w:val="TableParagraph"/>
              <w:spacing w:before="4"/>
              <w:ind w:left="107"/>
              <w:rPr>
                <w:sz w:val="24"/>
              </w:rPr>
            </w:pPr>
            <w:r>
              <w:rPr>
                <w:spacing w:val="-2"/>
                <w:sz w:val="24"/>
              </w:rPr>
              <w:t>公司实力评比</w:t>
            </w:r>
          </w:p>
          <w:p>
            <w:pPr>
              <w:pStyle w:val="TableParagraph"/>
              <w:spacing w:before="4" w:line="288" w:lineRule="exact"/>
              <w:ind w:left="107"/>
              <w:rPr>
                <w:sz w:val="24"/>
              </w:rPr>
            </w:pPr>
            <w:r>
              <w:rPr>
                <w:sz w:val="24"/>
              </w:rPr>
              <w:t>（</w:t>
            </w:r>
            <w:r>
              <w:rPr>
                <w:spacing w:val="-20"/>
                <w:sz w:val="24"/>
              </w:rPr>
              <w:t xml:space="preserve">满分 </w:t>
            </w:r>
            <w:r>
              <w:rPr>
                <w:sz w:val="24"/>
              </w:rPr>
              <w:t>10</w:t>
            </w:r>
            <w:r>
              <w:rPr>
                <w:spacing w:val="-30"/>
                <w:sz w:val="24"/>
              </w:rPr>
              <w:t xml:space="preserve"> 分</w:t>
            </w:r>
            <w:r>
              <w:rPr>
                <w:spacing w:val="-10"/>
                <w:sz w:val="24"/>
              </w:rPr>
              <w:t>）</w:t>
            </w:r>
          </w:p>
        </w:tc>
        <w:tc>
          <w:tcPr>
            <w:tcW w:w="6267" w:type="dxa"/>
            <w:tcBorders>
              <w:bottom w:val="nil"/>
            </w:tcBorders>
          </w:tcPr>
          <w:p>
            <w:pPr>
              <w:pStyle w:val="TableParagraph"/>
              <w:spacing w:before="192"/>
              <w:ind w:left="147" w:right="138"/>
              <w:jc w:val="center"/>
              <w:rPr>
                <w:sz w:val="24"/>
              </w:rPr>
            </w:pPr>
            <w:r>
              <w:rPr>
                <w:spacing w:val="-10"/>
                <w:sz w:val="24"/>
              </w:rPr>
              <w:t xml:space="preserve">① 投标人获得计算机信息系统集成壹级资质，得 </w:t>
            </w:r>
            <w:r>
              <w:rPr>
                <w:spacing w:val="-2"/>
                <w:sz w:val="24"/>
              </w:rPr>
              <w:t>2</w:t>
            </w:r>
            <w:r>
              <w:rPr>
                <w:spacing w:val="-19"/>
                <w:sz w:val="24"/>
              </w:rPr>
              <w:t xml:space="preserve"> 分，没</w:t>
            </w:r>
          </w:p>
        </w:tc>
      </w:tr>
    </w:tbl>
    <w:p>
      <w:pPr>
        <w:spacing w:after="0"/>
        <w:jc w:val="center"/>
        <w:rPr>
          <w:sz w:val="24"/>
        </w:rPr>
        <w:sectPr>
          <w:headerReference w:type="default" r:id="rId30"/>
          <w:footerReference w:type="default" r:id="rId31"/>
          <w:type w:val="nextPage"/>
          <w:pgSz w:w="11910" w:h="16840"/>
          <w:pgMar w:top="1080" w:right="1060" w:bottom="1040" w:left="1160" w:header="700" w:footer="841"/>
          <w:pgNumType w:start="13"/>
          <w:cols w:space="708"/>
          <w:titlePg w:val="0"/>
        </w:sectPr>
      </w:pPr>
    </w:p>
    <w:p>
      <w:pPr>
        <w:pStyle w:val="BodyText"/>
        <w:spacing w:before="1"/>
        <w:rPr>
          <w:sz w:val="4"/>
        </w:rPr>
      </w:pPr>
    </w:p>
    <w:tbl>
      <w:tblPr>
        <w:tblStyle w:val="TableNormal2"/>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2"/>
        <w:gridCol w:w="1921"/>
        <w:gridCol w:w="6267"/>
      </w:tblGrid>
      <w:tr>
        <w:tblPrEx>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067"/>
          <w:jc w:val="left"/>
        </w:trPr>
        <w:tc>
          <w:tcPr>
            <w:tcW w:w="712" w:type="dxa"/>
          </w:tcPr>
          <w:p>
            <w:pPr>
              <w:pStyle w:val="TableParagraph"/>
              <w:rPr>
                <w:rFonts w:ascii="Times New Roman"/>
                <w:sz w:val="22"/>
              </w:rPr>
            </w:pPr>
          </w:p>
        </w:tc>
        <w:tc>
          <w:tcPr>
            <w:tcW w:w="1921" w:type="dxa"/>
          </w:tcPr>
          <w:p>
            <w:pPr>
              <w:pStyle w:val="TableParagraph"/>
              <w:rPr>
                <w:rFonts w:ascii="Times New Roman"/>
                <w:sz w:val="22"/>
              </w:rPr>
            </w:pPr>
          </w:p>
        </w:tc>
        <w:tc>
          <w:tcPr>
            <w:tcW w:w="6267" w:type="dxa"/>
          </w:tcPr>
          <w:p>
            <w:pPr>
              <w:pStyle w:val="TableParagraph"/>
              <w:spacing w:before="80"/>
              <w:ind w:left="467"/>
              <w:rPr>
                <w:sz w:val="24"/>
              </w:rPr>
            </w:pPr>
            <w:r>
              <w:rPr>
                <w:spacing w:val="-15"/>
                <w:sz w:val="24"/>
              </w:rPr>
              <w:t xml:space="preserve">有的得 </w:t>
            </w:r>
            <w:r>
              <w:rPr>
                <w:sz w:val="24"/>
              </w:rPr>
              <w:t>0</w:t>
            </w:r>
            <w:r>
              <w:rPr>
                <w:spacing w:val="-24"/>
                <w:sz w:val="24"/>
              </w:rPr>
              <w:t xml:space="preserve"> 分；</w:t>
            </w:r>
          </w:p>
          <w:p>
            <w:pPr>
              <w:pStyle w:val="TableParagraph"/>
              <w:spacing w:before="92"/>
              <w:ind w:left="107"/>
              <w:rPr>
                <w:sz w:val="24"/>
              </w:rPr>
            </w:pPr>
            <w:r>
              <w:rPr>
                <w:spacing w:val="-9"/>
                <w:sz w:val="24"/>
              </w:rPr>
              <w:t xml:space="preserve">② 投标人获得 </w:t>
            </w:r>
            <w:r>
              <w:rPr>
                <w:sz w:val="24"/>
              </w:rPr>
              <w:t>IT</w:t>
            </w:r>
            <w:r>
              <w:rPr>
                <w:spacing w:val="-17"/>
                <w:sz w:val="24"/>
              </w:rPr>
              <w:t xml:space="preserve"> 服务管理体系认证 </w:t>
            </w:r>
            <w:r>
              <w:rPr>
                <w:sz w:val="24"/>
              </w:rPr>
              <w:t>ISO 20000</w:t>
            </w:r>
            <w:r>
              <w:rPr>
                <w:spacing w:val="-47"/>
                <w:sz w:val="24"/>
              </w:rPr>
              <w:t xml:space="preserve"> 证书，得 </w:t>
            </w:r>
            <w:r>
              <w:rPr>
                <w:spacing w:val="-10"/>
                <w:sz w:val="24"/>
              </w:rPr>
              <w:t>2</w:t>
            </w:r>
          </w:p>
          <w:p>
            <w:pPr>
              <w:pStyle w:val="TableParagraph"/>
              <w:spacing w:before="93"/>
              <w:ind w:left="467"/>
              <w:rPr>
                <w:sz w:val="24"/>
              </w:rPr>
            </w:pPr>
            <w:r>
              <w:rPr>
                <w:spacing w:val="-9"/>
                <w:sz w:val="24"/>
              </w:rPr>
              <w:t xml:space="preserve">分，没有的得 </w:t>
            </w:r>
            <w:r>
              <w:rPr>
                <w:sz w:val="24"/>
              </w:rPr>
              <w:t>0</w:t>
            </w:r>
            <w:r>
              <w:rPr>
                <w:spacing w:val="-24"/>
                <w:sz w:val="24"/>
              </w:rPr>
              <w:t xml:space="preserve"> 分；</w:t>
            </w:r>
          </w:p>
          <w:p>
            <w:pPr>
              <w:pStyle w:val="TableParagraph"/>
              <w:spacing w:before="92" w:line="312" w:lineRule="auto"/>
              <w:ind w:left="467" w:right="156" w:hanging="360"/>
              <w:rPr>
                <w:sz w:val="24"/>
              </w:rPr>
            </w:pPr>
            <w:r>
              <w:rPr>
                <w:spacing w:val="-9"/>
                <w:sz w:val="24"/>
              </w:rPr>
              <w:t xml:space="preserve">③ 投标人获得信息安全管理体系认证 </w:t>
            </w:r>
            <w:r>
              <w:rPr>
                <w:sz w:val="24"/>
              </w:rPr>
              <w:t>ISO</w:t>
            </w:r>
            <w:r>
              <w:rPr>
                <w:spacing w:val="-12"/>
                <w:sz w:val="24"/>
              </w:rPr>
              <w:t xml:space="preserve"> </w:t>
            </w:r>
            <w:r>
              <w:rPr>
                <w:sz w:val="24"/>
              </w:rPr>
              <w:t>27001</w:t>
            </w:r>
            <w:r>
              <w:rPr>
                <w:spacing w:val="-39"/>
                <w:sz w:val="24"/>
              </w:rPr>
              <w:t xml:space="preserve"> 证书，得</w:t>
            </w:r>
            <w:r>
              <w:rPr>
                <w:sz w:val="24"/>
              </w:rPr>
              <w:t xml:space="preserve"> 2</w:t>
            </w:r>
            <w:r>
              <w:rPr>
                <w:spacing w:val="-6"/>
                <w:sz w:val="24"/>
              </w:rPr>
              <w:t xml:space="preserve"> 分，没有的得 </w:t>
            </w:r>
            <w:r>
              <w:rPr>
                <w:sz w:val="24"/>
              </w:rPr>
              <w:t>0</w:t>
            </w:r>
            <w:r>
              <w:rPr>
                <w:spacing w:val="-5"/>
                <w:sz w:val="24"/>
              </w:rPr>
              <w:t xml:space="preserve"> 分；</w:t>
            </w:r>
          </w:p>
          <w:p>
            <w:pPr>
              <w:pStyle w:val="TableParagraph"/>
              <w:spacing w:before="1"/>
              <w:ind w:left="107"/>
              <w:rPr>
                <w:sz w:val="24"/>
              </w:rPr>
            </w:pPr>
            <w:r>
              <w:rPr>
                <w:spacing w:val="-9"/>
                <w:sz w:val="24"/>
              </w:rPr>
              <w:t xml:space="preserve">④ 投标人获得 </w:t>
            </w:r>
            <w:r>
              <w:rPr>
                <w:sz w:val="24"/>
              </w:rPr>
              <w:t>CMMI-SVC-L3</w:t>
            </w:r>
            <w:r>
              <w:rPr>
                <w:spacing w:val="-32"/>
                <w:sz w:val="24"/>
              </w:rPr>
              <w:t xml:space="preserve"> 认证证书，得 </w:t>
            </w:r>
            <w:r>
              <w:rPr>
                <w:sz w:val="24"/>
              </w:rPr>
              <w:t>2</w:t>
            </w:r>
            <w:r>
              <w:rPr>
                <w:spacing w:val="-32"/>
                <w:sz w:val="24"/>
              </w:rPr>
              <w:t xml:space="preserve"> 分，没有的得 </w:t>
            </w:r>
            <w:r>
              <w:rPr>
                <w:spacing w:val="-10"/>
                <w:sz w:val="24"/>
              </w:rPr>
              <w:t>0</w:t>
            </w:r>
          </w:p>
          <w:p>
            <w:pPr>
              <w:pStyle w:val="TableParagraph"/>
              <w:spacing w:before="92"/>
              <w:ind w:left="467"/>
              <w:rPr>
                <w:sz w:val="24"/>
              </w:rPr>
            </w:pPr>
            <w:r>
              <w:rPr>
                <w:spacing w:val="-5"/>
                <w:sz w:val="24"/>
              </w:rPr>
              <w:t>分；</w:t>
            </w:r>
          </w:p>
          <w:p>
            <w:pPr>
              <w:pStyle w:val="TableParagraph"/>
              <w:spacing w:before="93" w:line="312" w:lineRule="auto"/>
              <w:ind w:left="467" w:right="96" w:hanging="360"/>
              <w:rPr>
                <w:sz w:val="24"/>
              </w:rPr>
            </w:pPr>
            <w:r>
              <w:rPr>
                <w:spacing w:val="-12"/>
                <w:sz w:val="24"/>
              </w:rPr>
              <w:t xml:space="preserve">⑤ 投标人获得企业信用 </w:t>
            </w:r>
            <w:r>
              <w:rPr>
                <w:spacing w:val="-2"/>
                <w:sz w:val="24"/>
              </w:rPr>
              <w:t>AAA</w:t>
            </w:r>
            <w:r>
              <w:rPr>
                <w:spacing w:val="-15"/>
                <w:sz w:val="24"/>
              </w:rPr>
              <w:t xml:space="preserve"> 等级认证证书，得 </w:t>
            </w:r>
            <w:r>
              <w:rPr>
                <w:spacing w:val="-2"/>
                <w:sz w:val="24"/>
              </w:rPr>
              <w:t>2</w:t>
            </w:r>
            <w:r>
              <w:rPr>
                <w:spacing w:val="-14"/>
                <w:sz w:val="24"/>
              </w:rPr>
              <w:t xml:space="preserve"> 分，没有</w:t>
            </w:r>
            <w:r>
              <w:rPr>
                <w:spacing w:val="-8"/>
                <w:sz w:val="24"/>
              </w:rPr>
              <w:t xml:space="preserve">的得 </w:t>
            </w:r>
            <w:r>
              <w:rPr>
                <w:sz w:val="24"/>
              </w:rPr>
              <w:t>0</w:t>
            </w:r>
            <w:r>
              <w:rPr>
                <w:spacing w:val="-8"/>
                <w:sz w:val="24"/>
              </w:rPr>
              <w:t xml:space="preserve"> 分。</w:t>
            </w:r>
          </w:p>
          <w:p>
            <w:pPr>
              <w:pStyle w:val="TableParagraph"/>
              <w:spacing w:before="2"/>
              <w:ind w:left="107"/>
              <w:rPr>
                <w:sz w:val="24"/>
              </w:rPr>
            </w:pPr>
            <w:r>
              <w:rPr>
                <w:sz w:val="24"/>
              </w:rPr>
              <w:t>（需提供上述相关证明材料复印件加盖公章，原件备查</w:t>
            </w:r>
            <w:r>
              <w:rPr>
                <w:spacing w:val="-10"/>
                <w:sz w:val="24"/>
              </w:rPr>
              <w:t>）</w:t>
            </w:r>
          </w:p>
        </w:tc>
      </w:tr>
      <w:tr>
        <w:tblPrEx>
          <w:tblW w:w="0" w:type="auto"/>
          <w:jc w:val="left"/>
          <w:tblInd w:w="348" w:type="dxa"/>
          <w:tblLayout w:type="fixed"/>
          <w:tblCellMar>
            <w:top w:w="0" w:type="dxa"/>
            <w:left w:w="0" w:type="dxa"/>
            <w:bottom w:w="0" w:type="dxa"/>
            <w:right w:w="0" w:type="dxa"/>
          </w:tblCellMar>
          <w:tblLook w:val="01E0"/>
        </w:tblPrEx>
        <w:trPr>
          <w:trHeight w:val="1025"/>
          <w:jc w:val="left"/>
        </w:trPr>
        <w:tc>
          <w:tcPr>
            <w:tcW w:w="712" w:type="dxa"/>
          </w:tcPr>
          <w:p>
            <w:pPr>
              <w:pStyle w:val="TableParagraph"/>
              <w:spacing w:before="1"/>
              <w:rPr>
                <w:sz w:val="28"/>
              </w:rPr>
            </w:pPr>
          </w:p>
          <w:p>
            <w:pPr>
              <w:pStyle w:val="TableParagraph"/>
              <w:spacing w:before="1"/>
              <w:ind w:left="295"/>
              <w:rPr>
                <w:sz w:val="24"/>
              </w:rPr>
            </w:pPr>
            <w:r>
              <w:rPr>
                <w:sz w:val="24"/>
              </w:rPr>
              <w:t>2</w:t>
            </w:r>
          </w:p>
        </w:tc>
        <w:tc>
          <w:tcPr>
            <w:tcW w:w="1921" w:type="dxa"/>
          </w:tcPr>
          <w:p>
            <w:pPr>
              <w:pStyle w:val="TableParagraph"/>
              <w:spacing w:before="204" w:line="242" w:lineRule="auto"/>
              <w:ind w:left="107" w:right="-29"/>
              <w:rPr>
                <w:sz w:val="24"/>
              </w:rPr>
            </w:pPr>
            <w:r>
              <w:rPr>
                <w:spacing w:val="-2"/>
                <w:sz w:val="24"/>
              </w:rPr>
              <w:t>投标人财务状况</w:t>
            </w:r>
            <w:r>
              <w:rPr>
                <w:spacing w:val="-49"/>
                <w:sz w:val="24"/>
              </w:rPr>
              <w:t>评比</w:t>
            </w:r>
            <w:r>
              <w:rPr>
                <w:spacing w:val="-2"/>
                <w:sz w:val="24"/>
              </w:rPr>
              <w:t>（</w:t>
            </w:r>
            <w:r>
              <w:rPr>
                <w:spacing w:val="-22"/>
                <w:sz w:val="24"/>
              </w:rPr>
              <w:t xml:space="preserve">满分 </w:t>
            </w:r>
            <w:r>
              <w:rPr>
                <w:spacing w:val="-2"/>
                <w:sz w:val="24"/>
              </w:rPr>
              <w:t>2</w:t>
            </w:r>
            <w:r>
              <w:rPr>
                <w:spacing w:val="-31"/>
                <w:sz w:val="24"/>
              </w:rPr>
              <w:t xml:space="preserve"> 分</w:t>
            </w:r>
            <w:r>
              <w:rPr>
                <w:spacing w:val="-2"/>
                <w:sz w:val="24"/>
              </w:rPr>
              <w:t>）</w:t>
            </w:r>
          </w:p>
        </w:tc>
        <w:tc>
          <w:tcPr>
            <w:tcW w:w="6267" w:type="dxa"/>
          </w:tcPr>
          <w:p>
            <w:pPr>
              <w:pStyle w:val="TableParagraph"/>
              <w:spacing w:before="48" w:line="242" w:lineRule="auto"/>
              <w:ind w:left="107" w:right="96"/>
              <w:jc w:val="both"/>
              <w:rPr>
                <w:sz w:val="24"/>
              </w:rPr>
            </w:pPr>
            <w:r>
              <w:rPr>
                <w:spacing w:val="-13"/>
                <w:sz w:val="24"/>
              </w:rPr>
              <w:t xml:space="preserve">近两年公司财务状况连续两年都盈利的，得 </w:t>
            </w:r>
            <w:r>
              <w:rPr>
                <w:spacing w:val="-8"/>
                <w:sz w:val="24"/>
              </w:rPr>
              <w:t>2</w:t>
            </w:r>
            <w:r>
              <w:rPr>
                <w:spacing w:val="-13"/>
                <w:sz w:val="24"/>
              </w:rPr>
              <w:t xml:space="preserve"> 分,只有 </w:t>
            </w:r>
            <w:r>
              <w:rPr>
                <w:spacing w:val="-8"/>
                <w:sz w:val="24"/>
              </w:rPr>
              <w:t>1</w:t>
            </w:r>
            <w:r>
              <w:rPr>
                <w:spacing w:val="-14"/>
                <w:sz w:val="24"/>
              </w:rPr>
              <w:t xml:space="preserve"> 年</w:t>
            </w:r>
            <w:r>
              <w:rPr>
                <w:spacing w:val="-9"/>
                <w:sz w:val="24"/>
              </w:rPr>
              <w:t xml:space="preserve">盈利的得 </w:t>
            </w:r>
            <w:r>
              <w:rPr>
                <w:spacing w:val="-4"/>
                <w:sz w:val="24"/>
              </w:rPr>
              <w:t>1</w:t>
            </w:r>
            <w:r>
              <w:rPr>
                <w:spacing w:val="-11"/>
                <w:sz w:val="24"/>
              </w:rPr>
              <w:t xml:space="preserve"> 分,连续两年都不盈利的得 </w:t>
            </w:r>
            <w:r>
              <w:rPr>
                <w:spacing w:val="-4"/>
                <w:sz w:val="24"/>
              </w:rPr>
              <w:t>0</w:t>
            </w:r>
            <w:r>
              <w:rPr>
                <w:spacing w:val="-50"/>
                <w:sz w:val="24"/>
              </w:rPr>
              <w:t xml:space="preserve"> 分。</w:t>
            </w:r>
            <w:r>
              <w:rPr>
                <w:spacing w:val="-4"/>
                <w:sz w:val="24"/>
              </w:rPr>
              <w:t>（以会计师事</w:t>
            </w:r>
            <w:r>
              <w:rPr>
                <w:spacing w:val="-2"/>
                <w:sz w:val="24"/>
              </w:rPr>
              <w:t>务所审计的财务报表复印件为准，原件备查）</w:t>
            </w:r>
          </w:p>
        </w:tc>
      </w:tr>
      <w:tr>
        <w:tblPrEx>
          <w:tblW w:w="0" w:type="auto"/>
          <w:jc w:val="left"/>
          <w:tblInd w:w="348" w:type="dxa"/>
          <w:tblLayout w:type="fixed"/>
          <w:tblCellMar>
            <w:top w:w="0" w:type="dxa"/>
            <w:left w:w="0" w:type="dxa"/>
            <w:bottom w:w="0" w:type="dxa"/>
            <w:right w:w="0" w:type="dxa"/>
          </w:tblCellMar>
          <w:tblLook w:val="01E0"/>
        </w:tblPrEx>
        <w:trPr>
          <w:trHeight w:val="935"/>
          <w:jc w:val="left"/>
        </w:trPr>
        <w:tc>
          <w:tcPr>
            <w:tcW w:w="712" w:type="dxa"/>
          </w:tcPr>
          <w:p>
            <w:pPr>
              <w:pStyle w:val="TableParagraph"/>
              <w:spacing w:before="8"/>
              <w:rPr>
                <w:sz w:val="24"/>
              </w:rPr>
            </w:pPr>
          </w:p>
          <w:p>
            <w:pPr>
              <w:pStyle w:val="TableParagraph"/>
              <w:ind w:left="295"/>
              <w:rPr>
                <w:sz w:val="24"/>
              </w:rPr>
            </w:pPr>
            <w:r>
              <w:rPr>
                <w:sz w:val="24"/>
              </w:rPr>
              <w:t>3</w:t>
            </w:r>
          </w:p>
        </w:tc>
        <w:tc>
          <w:tcPr>
            <w:tcW w:w="1921" w:type="dxa"/>
          </w:tcPr>
          <w:p>
            <w:pPr>
              <w:pStyle w:val="TableParagraph"/>
              <w:spacing w:before="160" w:line="242" w:lineRule="auto"/>
              <w:ind w:left="107" w:right="122"/>
              <w:rPr>
                <w:sz w:val="24"/>
              </w:rPr>
            </w:pPr>
            <w:r>
              <w:rPr>
                <w:spacing w:val="-2"/>
                <w:sz w:val="24"/>
              </w:rPr>
              <w:t>投标人同类项目</w:t>
            </w:r>
            <w:r>
              <w:rPr>
                <w:sz w:val="24"/>
              </w:rPr>
              <w:t>经验（</w:t>
            </w:r>
            <w:r>
              <w:rPr>
                <w:spacing w:val="-20"/>
                <w:sz w:val="24"/>
              </w:rPr>
              <w:t xml:space="preserve">满分 </w:t>
            </w:r>
            <w:r>
              <w:rPr>
                <w:sz w:val="24"/>
              </w:rPr>
              <w:t>5</w:t>
            </w:r>
            <w:r>
              <w:rPr>
                <w:spacing w:val="-35"/>
                <w:sz w:val="24"/>
              </w:rPr>
              <w:t xml:space="preserve"> 分</w:t>
            </w:r>
          </w:p>
        </w:tc>
        <w:tc>
          <w:tcPr>
            <w:tcW w:w="6267" w:type="dxa"/>
          </w:tcPr>
          <w:p>
            <w:pPr>
              <w:pStyle w:val="TableParagraph"/>
              <w:spacing w:before="4"/>
              <w:ind w:left="107" w:right="-29"/>
              <w:rPr>
                <w:sz w:val="24"/>
              </w:rPr>
            </w:pPr>
            <w:r>
              <w:rPr>
                <w:sz w:val="24"/>
              </w:rPr>
              <w:t>2011</w:t>
            </w:r>
            <w:r>
              <w:rPr>
                <w:spacing w:val="-18"/>
                <w:sz w:val="24"/>
              </w:rPr>
              <w:t xml:space="preserve"> 年以来具有 </w:t>
            </w:r>
            <w:r>
              <w:rPr>
                <w:sz w:val="24"/>
              </w:rPr>
              <w:t>1000</w:t>
            </w:r>
            <w:r>
              <w:rPr>
                <w:spacing w:val="-9"/>
                <w:sz w:val="24"/>
              </w:rPr>
              <w:t xml:space="preserve"> 万或以上系统集成项目经验的，每</w:t>
            </w:r>
          </w:p>
          <w:p>
            <w:pPr>
              <w:pStyle w:val="TableParagraph"/>
              <w:spacing w:line="310" w:lineRule="atLeast"/>
              <w:ind w:left="107" w:right="-29"/>
              <w:rPr>
                <w:sz w:val="24"/>
              </w:rPr>
            </w:pPr>
            <w:r>
              <w:rPr>
                <w:spacing w:val="-16"/>
                <w:sz w:val="24"/>
              </w:rPr>
              <w:t xml:space="preserve">个项目得 </w:t>
            </w:r>
            <w:r>
              <w:rPr>
                <w:sz w:val="24"/>
              </w:rPr>
              <w:t>1</w:t>
            </w:r>
            <w:r>
              <w:rPr>
                <w:spacing w:val="-32"/>
                <w:sz w:val="24"/>
              </w:rPr>
              <w:t xml:space="preserve"> 分，满分</w:t>
            </w:r>
            <w:r>
              <w:rPr>
                <w:sz w:val="24"/>
              </w:rPr>
              <w:t>5</w:t>
            </w:r>
            <w:r>
              <w:rPr>
                <w:spacing w:val="-66"/>
                <w:sz w:val="24"/>
              </w:rPr>
              <w:t xml:space="preserve"> 分。</w:t>
            </w:r>
            <w:r>
              <w:rPr>
                <w:sz w:val="24"/>
              </w:rPr>
              <w:t>（提供项目合同复印件加盖公章，</w:t>
            </w:r>
            <w:r>
              <w:rPr>
                <w:spacing w:val="-2"/>
                <w:sz w:val="24"/>
              </w:rPr>
              <w:t>原件备查）</w:t>
            </w:r>
          </w:p>
        </w:tc>
      </w:tr>
      <w:tr>
        <w:tblPrEx>
          <w:tblW w:w="0" w:type="auto"/>
          <w:jc w:val="left"/>
          <w:tblInd w:w="348" w:type="dxa"/>
          <w:tblLayout w:type="fixed"/>
          <w:tblCellMar>
            <w:top w:w="0" w:type="dxa"/>
            <w:left w:w="0" w:type="dxa"/>
            <w:bottom w:w="0" w:type="dxa"/>
            <w:right w:w="0" w:type="dxa"/>
          </w:tblCellMar>
          <w:tblLook w:val="01E0"/>
        </w:tblPrEx>
        <w:trPr>
          <w:trHeight w:val="2847"/>
          <w:jc w:val="left"/>
        </w:trPr>
        <w:tc>
          <w:tcPr>
            <w:tcW w:w="712" w:type="dxa"/>
          </w:tcPr>
          <w:p>
            <w:pPr>
              <w:pStyle w:val="TableParagraph"/>
              <w:rPr>
                <w:sz w:val="24"/>
              </w:rPr>
            </w:pPr>
          </w:p>
          <w:p>
            <w:pPr>
              <w:pStyle w:val="TableParagraph"/>
              <w:rPr>
                <w:sz w:val="24"/>
              </w:rPr>
            </w:pPr>
          </w:p>
          <w:p>
            <w:pPr>
              <w:pStyle w:val="TableParagraph"/>
              <w:rPr>
                <w:sz w:val="24"/>
              </w:rPr>
            </w:pPr>
          </w:p>
          <w:p>
            <w:pPr>
              <w:pStyle w:val="TableParagraph"/>
              <w:spacing w:before="3"/>
              <w:rPr>
                <w:sz w:val="27"/>
              </w:rPr>
            </w:pPr>
          </w:p>
          <w:p>
            <w:pPr>
              <w:pStyle w:val="TableParagraph"/>
              <w:ind w:left="295"/>
              <w:rPr>
                <w:sz w:val="24"/>
              </w:rPr>
            </w:pPr>
            <w:r>
              <w:rPr>
                <w:sz w:val="24"/>
              </w:rPr>
              <w:t>4</w:t>
            </w:r>
          </w:p>
        </w:tc>
        <w:tc>
          <w:tcPr>
            <w:tcW w:w="1921" w:type="dxa"/>
          </w:tcPr>
          <w:p>
            <w:pPr>
              <w:pStyle w:val="TableParagraph"/>
              <w:rPr>
                <w:sz w:val="24"/>
              </w:rPr>
            </w:pPr>
          </w:p>
          <w:p>
            <w:pPr>
              <w:pStyle w:val="TableParagraph"/>
              <w:rPr>
                <w:sz w:val="24"/>
              </w:rPr>
            </w:pPr>
          </w:p>
          <w:p>
            <w:pPr>
              <w:pStyle w:val="TableParagraph"/>
              <w:rPr>
                <w:sz w:val="26"/>
              </w:rPr>
            </w:pPr>
          </w:p>
          <w:p>
            <w:pPr>
              <w:pStyle w:val="TableParagraph"/>
              <w:spacing w:line="235" w:lineRule="auto"/>
              <w:ind w:left="107" w:right="96"/>
              <w:jc w:val="both"/>
              <w:rPr>
                <w:sz w:val="24"/>
              </w:rPr>
            </w:pPr>
            <w:r>
              <w:rPr>
                <w:spacing w:val="-2"/>
                <w:sz w:val="24"/>
              </w:rPr>
              <w:t>拟投入本项目人</w:t>
            </w:r>
            <w:r>
              <w:rPr>
                <w:sz w:val="24"/>
              </w:rPr>
              <w:t>员情况（</w:t>
            </w:r>
            <w:r>
              <w:rPr>
                <w:spacing w:val="-5"/>
                <w:sz w:val="24"/>
              </w:rPr>
              <w:t xml:space="preserve">满分 </w:t>
            </w:r>
            <w:r>
              <w:rPr>
                <w:sz w:val="24"/>
              </w:rPr>
              <w:t>3</w:t>
            </w:r>
            <w:r>
              <w:rPr>
                <w:spacing w:val="-6"/>
                <w:sz w:val="24"/>
              </w:rPr>
              <w:t>分）</w:t>
            </w:r>
          </w:p>
        </w:tc>
        <w:tc>
          <w:tcPr>
            <w:tcW w:w="6267" w:type="dxa"/>
          </w:tcPr>
          <w:p>
            <w:pPr>
              <w:pStyle w:val="TableParagraph"/>
              <w:spacing w:before="4"/>
              <w:ind w:left="107"/>
              <w:rPr>
                <w:sz w:val="24"/>
              </w:rPr>
            </w:pPr>
            <w:r>
              <w:rPr>
                <w:spacing w:val="-1"/>
                <w:sz w:val="24"/>
              </w:rPr>
              <w:t>根据投标人拟投入本项目技术团队中具有以下人才的：</w:t>
            </w:r>
          </w:p>
          <w:p>
            <w:pPr>
              <w:pStyle w:val="TableParagraph"/>
              <w:spacing w:before="80" w:line="312" w:lineRule="auto"/>
              <w:ind w:left="467" w:right="96" w:hanging="360"/>
              <w:rPr>
                <w:sz w:val="24"/>
              </w:rPr>
            </w:pPr>
            <w:r>
              <w:rPr>
                <w:sz w:val="24"/>
              </w:rPr>
              <w:t>① 具有工信部信息系统集成高级项目经理证书的，每个</w:t>
            </w:r>
            <w:r>
              <w:rPr>
                <w:spacing w:val="-11"/>
                <w:sz w:val="24"/>
              </w:rPr>
              <w:t xml:space="preserve">得 </w:t>
            </w:r>
            <w:r>
              <w:rPr>
                <w:sz w:val="24"/>
              </w:rPr>
              <w:t>1</w:t>
            </w:r>
            <w:r>
              <w:rPr>
                <w:spacing w:val="-8"/>
                <w:sz w:val="24"/>
              </w:rPr>
              <w:t xml:space="preserve"> 分，最高 </w:t>
            </w:r>
            <w:r>
              <w:rPr>
                <w:sz w:val="24"/>
              </w:rPr>
              <w:t>2</w:t>
            </w:r>
            <w:r>
              <w:rPr>
                <w:spacing w:val="-8"/>
                <w:sz w:val="24"/>
              </w:rPr>
              <w:t xml:space="preserve"> 分；</w:t>
            </w:r>
          </w:p>
          <w:p>
            <w:pPr>
              <w:pStyle w:val="TableParagraph"/>
              <w:spacing w:before="1"/>
              <w:ind w:left="107"/>
              <w:rPr>
                <w:sz w:val="24"/>
              </w:rPr>
            </w:pPr>
            <w:r>
              <w:rPr>
                <w:spacing w:val="-2"/>
                <w:sz w:val="24"/>
              </w:rPr>
              <w:t xml:space="preserve">② 具有工信部信息系统集成项目经理资格的,每个得 </w:t>
            </w:r>
            <w:r>
              <w:rPr>
                <w:spacing w:val="-5"/>
                <w:sz w:val="24"/>
              </w:rPr>
              <w:t>0.5</w:t>
            </w:r>
          </w:p>
          <w:p>
            <w:pPr>
              <w:pStyle w:val="TableParagraph"/>
              <w:spacing w:before="92"/>
              <w:ind w:left="467"/>
              <w:rPr>
                <w:sz w:val="24"/>
              </w:rPr>
            </w:pPr>
            <w:r>
              <w:rPr>
                <w:spacing w:val="-12"/>
                <w:sz w:val="24"/>
              </w:rPr>
              <w:t xml:space="preserve">分，最高 </w:t>
            </w:r>
            <w:r>
              <w:rPr>
                <w:sz w:val="24"/>
              </w:rPr>
              <w:t>1</w:t>
            </w:r>
            <w:r>
              <w:rPr>
                <w:spacing w:val="-24"/>
                <w:sz w:val="24"/>
              </w:rPr>
              <w:t xml:space="preserve"> 分；</w:t>
            </w:r>
          </w:p>
          <w:p>
            <w:pPr>
              <w:pStyle w:val="TableParagraph"/>
              <w:spacing w:line="310" w:lineRule="atLeast"/>
              <w:ind w:left="107" w:right="96"/>
              <w:jc w:val="both"/>
              <w:rPr>
                <w:sz w:val="24"/>
              </w:rPr>
            </w:pPr>
            <w:r>
              <w:rPr>
                <w:spacing w:val="-2"/>
                <w:sz w:val="24"/>
              </w:rPr>
              <w:t>（以上人员须提供资格/职称证书复印件和社会保障部门</w:t>
            </w:r>
            <w:r>
              <w:rPr>
                <w:spacing w:val="-2"/>
                <w:sz w:val="24"/>
              </w:rPr>
              <w:t>出具的最近半年以来在本单位连续缴纳社会养老保险的有</w:t>
            </w:r>
            <w:r>
              <w:rPr>
                <w:spacing w:val="-33"/>
                <w:sz w:val="24"/>
              </w:rPr>
              <w:t>效凭证。</w:t>
            </w:r>
            <w:r>
              <w:rPr>
                <w:spacing w:val="-4"/>
                <w:sz w:val="24"/>
              </w:rPr>
              <w:t>）</w:t>
            </w:r>
          </w:p>
        </w:tc>
      </w:tr>
      <w:tr>
        <w:tblPrEx>
          <w:tblW w:w="0" w:type="auto"/>
          <w:jc w:val="left"/>
          <w:tblInd w:w="348" w:type="dxa"/>
          <w:tblLayout w:type="fixed"/>
          <w:tblCellMar>
            <w:top w:w="0" w:type="dxa"/>
            <w:left w:w="0" w:type="dxa"/>
            <w:bottom w:w="0" w:type="dxa"/>
            <w:right w:w="0" w:type="dxa"/>
          </w:tblCellMar>
          <w:tblLook w:val="01E0"/>
        </w:tblPrEx>
        <w:trPr>
          <w:trHeight w:val="502"/>
          <w:jc w:val="left"/>
        </w:trPr>
        <w:tc>
          <w:tcPr>
            <w:tcW w:w="8900" w:type="dxa"/>
            <w:gridSpan w:val="3"/>
          </w:tcPr>
          <w:p>
            <w:pPr>
              <w:pStyle w:val="TableParagraph"/>
              <w:spacing w:before="99"/>
              <w:ind w:left="108"/>
              <w:rPr>
                <w:sz w:val="24"/>
              </w:rPr>
            </w:pPr>
            <w:r>
              <w:rPr>
                <w:sz w:val="24"/>
              </w:rPr>
              <w:t>二、技术部分（</w:t>
            </w:r>
            <w:r>
              <w:rPr>
                <w:spacing w:val="-20"/>
                <w:sz w:val="24"/>
              </w:rPr>
              <w:t xml:space="preserve">满分 </w:t>
            </w:r>
            <w:r>
              <w:rPr>
                <w:sz w:val="24"/>
              </w:rPr>
              <w:t>50</w:t>
            </w:r>
            <w:r>
              <w:rPr>
                <w:spacing w:val="-30"/>
                <w:sz w:val="24"/>
              </w:rPr>
              <w:t xml:space="preserve"> 分</w:t>
            </w:r>
            <w:r>
              <w:rPr>
                <w:spacing w:val="-10"/>
                <w:sz w:val="24"/>
              </w:rPr>
              <w:t>）</w:t>
            </w:r>
          </w:p>
        </w:tc>
      </w:tr>
      <w:tr>
        <w:tblPrEx>
          <w:tblW w:w="0" w:type="auto"/>
          <w:jc w:val="left"/>
          <w:tblInd w:w="348" w:type="dxa"/>
          <w:tblLayout w:type="fixed"/>
          <w:tblCellMar>
            <w:top w:w="0" w:type="dxa"/>
            <w:left w:w="0" w:type="dxa"/>
            <w:bottom w:w="0" w:type="dxa"/>
            <w:right w:w="0" w:type="dxa"/>
          </w:tblCellMar>
          <w:tblLook w:val="01E0"/>
        </w:tblPrEx>
        <w:trPr>
          <w:trHeight w:val="1403"/>
          <w:jc w:val="left"/>
        </w:trPr>
        <w:tc>
          <w:tcPr>
            <w:tcW w:w="712" w:type="dxa"/>
          </w:tcPr>
          <w:p>
            <w:pPr>
              <w:pStyle w:val="TableParagraph"/>
              <w:rPr>
                <w:sz w:val="24"/>
              </w:rPr>
            </w:pPr>
          </w:p>
          <w:p>
            <w:pPr>
              <w:pStyle w:val="TableParagraph"/>
              <w:spacing w:before="12"/>
              <w:rPr>
                <w:sz w:val="18"/>
              </w:rPr>
            </w:pPr>
          </w:p>
          <w:p>
            <w:pPr>
              <w:pStyle w:val="TableParagraph"/>
              <w:ind w:left="299"/>
              <w:rPr>
                <w:sz w:val="24"/>
              </w:rPr>
            </w:pPr>
            <w:r>
              <w:rPr>
                <w:sz w:val="24"/>
              </w:rPr>
              <w:t>1</w:t>
            </w:r>
          </w:p>
        </w:tc>
        <w:tc>
          <w:tcPr>
            <w:tcW w:w="1921" w:type="dxa"/>
          </w:tcPr>
          <w:p>
            <w:pPr>
              <w:pStyle w:val="TableParagraph"/>
              <w:spacing w:before="8"/>
              <w:rPr>
                <w:sz w:val="24"/>
              </w:rPr>
            </w:pPr>
          </w:p>
          <w:p>
            <w:pPr>
              <w:pStyle w:val="TableParagraph"/>
              <w:spacing w:line="364" w:lineRule="auto"/>
              <w:ind w:left="107" w:right="-29"/>
              <w:rPr>
                <w:sz w:val="24"/>
              </w:rPr>
            </w:pPr>
            <w:r>
              <w:rPr>
                <w:spacing w:val="-2"/>
                <w:sz w:val="24"/>
              </w:rPr>
              <w:t>方案总体规划和</w:t>
            </w:r>
            <w:r>
              <w:rPr>
                <w:spacing w:val="-49"/>
                <w:sz w:val="24"/>
              </w:rPr>
              <w:t>设计</w:t>
            </w:r>
            <w:r>
              <w:rPr>
                <w:spacing w:val="-2"/>
                <w:sz w:val="24"/>
              </w:rPr>
              <w:t>（</w:t>
            </w:r>
            <w:r>
              <w:rPr>
                <w:spacing w:val="-22"/>
                <w:sz w:val="24"/>
              </w:rPr>
              <w:t xml:space="preserve">满分 </w:t>
            </w:r>
            <w:r>
              <w:rPr>
                <w:spacing w:val="-2"/>
                <w:sz w:val="24"/>
              </w:rPr>
              <w:t>5</w:t>
            </w:r>
            <w:r>
              <w:rPr>
                <w:spacing w:val="-31"/>
                <w:sz w:val="24"/>
              </w:rPr>
              <w:t xml:space="preserve"> 分</w:t>
            </w:r>
            <w:r>
              <w:rPr>
                <w:spacing w:val="-2"/>
                <w:sz w:val="24"/>
              </w:rPr>
              <w:t>）</w:t>
            </w:r>
          </w:p>
        </w:tc>
        <w:tc>
          <w:tcPr>
            <w:tcW w:w="6267" w:type="dxa"/>
          </w:tcPr>
          <w:p>
            <w:pPr>
              <w:pStyle w:val="TableParagraph"/>
              <w:spacing w:before="82" w:line="364" w:lineRule="auto"/>
              <w:ind w:left="107" w:right="-29"/>
              <w:rPr>
                <w:sz w:val="24"/>
              </w:rPr>
            </w:pPr>
            <w:r>
              <w:rPr>
                <w:spacing w:val="-4"/>
                <w:sz w:val="24"/>
              </w:rPr>
              <w:t>对技术方案总体规划和设计的合理性、可行性、细致程度、</w:t>
            </w:r>
            <w:r>
              <w:rPr>
                <w:spacing w:val="-2"/>
                <w:sz w:val="24"/>
              </w:rPr>
              <w:t>和用户要求的匹配程度进行对比评价,优：[5,4]分；良：</w:t>
            </w:r>
          </w:p>
          <w:p>
            <w:pPr>
              <w:pStyle w:val="TableParagraph"/>
              <w:spacing w:before="1"/>
              <w:ind w:left="107"/>
              <w:rPr>
                <w:sz w:val="24"/>
              </w:rPr>
            </w:pPr>
            <w:r>
              <w:rPr>
                <w:sz w:val="24"/>
              </w:rPr>
              <w:t>[3,2]分；差：[1,0]</w:t>
            </w:r>
            <w:r>
              <w:rPr>
                <w:spacing w:val="-5"/>
                <w:sz w:val="24"/>
              </w:rPr>
              <w:t>分。</w:t>
            </w:r>
          </w:p>
        </w:tc>
      </w:tr>
      <w:tr>
        <w:tblPrEx>
          <w:tblW w:w="0" w:type="auto"/>
          <w:jc w:val="left"/>
          <w:tblInd w:w="348" w:type="dxa"/>
          <w:tblLayout w:type="fixed"/>
          <w:tblCellMar>
            <w:top w:w="0" w:type="dxa"/>
            <w:left w:w="0" w:type="dxa"/>
            <w:bottom w:w="0" w:type="dxa"/>
            <w:right w:w="0" w:type="dxa"/>
          </w:tblCellMar>
          <w:tblLook w:val="01E0"/>
        </w:tblPrEx>
        <w:trPr>
          <w:trHeight w:val="1200"/>
          <w:jc w:val="left"/>
        </w:trPr>
        <w:tc>
          <w:tcPr>
            <w:tcW w:w="712"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08"/>
              <w:ind w:left="17"/>
              <w:jc w:val="center"/>
              <w:rPr>
                <w:sz w:val="24"/>
              </w:rPr>
            </w:pPr>
            <w:r>
              <w:rPr>
                <w:sz w:val="24"/>
              </w:rPr>
              <w:t>2</w:t>
            </w:r>
          </w:p>
        </w:tc>
        <w:tc>
          <w:tcPr>
            <w:tcW w:w="1921" w:type="dxa"/>
            <w:vMerge w:val="restart"/>
          </w:tcPr>
          <w:p>
            <w:pPr>
              <w:pStyle w:val="TableParagraph"/>
              <w:rPr>
                <w:sz w:val="24"/>
              </w:rPr>
            </w:pPr>
          </w:p>
          <w:p>
            <w:pPr>
              <w:pStyle w:val="TableParagraph"/>
              <w:rPr>
                <w:sz w:val="24"/>
              </w:rPr>
            </w:pPr>
          </w:p>
          <w:p>
            <w:pPr>
              <w:pStyle w:val="TableParagraph"/>
              <w:spacing w:before="11"/>
              <w:rPr>
                <w:sz w:val="19"/>
              </w:rPr>
            </w:pPr>
          </w:p>
          <w:p>
            <w:pPr>
              <w:pStyle w:val="TableParagraph"/>
              <w:spacing w:line="312" w:lineRule="auto"/>
              <w:ind w:left="107" w:right="96"/>
              <w:jc w:val="both"/>
              <w:rPr>
                <w:sz w:val="24"/>
              </w:rPr>
            </w:pPr>
            <w:r>
              <w:rPr>
                <w:spacing w:val="-2"/>
                <w:sz w:val="24"/>
              </w:rPr>
              <w:t>实施、验收、售</w:t>
            </w:r>
            <w:r>
              <w:rPr>
                <w:spacing w:val="-2"/>
                <w:sz w:val="24"/>
              </w:rPr>
              <w:t>后服务及培训计</w:t>
            </w:r>
            <w:r>
              <w:rPr>
                <w:sz w:val="24"/>
              </w:rPr>
              <w:t>划情况（</w:t>
            </w:r>
            <w:r>
              <w:rPr>
                <w:spacing w:val="-5"/>
                <w:sz w:val="24"/>
              </w:rPr>
              <w:t xml:space="preserve">满分 </w:t>
            </w:r>
            <w:r>
              <w:rPr>
                <w:sz w:val="24"/>
              </w:rPr>
              <w:t>8</w:t>
            </w:r>
            <w:r>
              <w:rPr>
                <w:spacing w:val="-6"/>
                <w:sz w:val="24"/>
              </w:rPr>
              <w:t>分）</w:t>
            </w:r>
          </w:p>
        </w:tc>
        <w:tc>
          <w:tcPr>
            <w:tcW w:w="6267" w:type="dxa"/>
          </w:tcPr>
          <w:p>
            <w:pPr>
              <w:pStyle w:val="TableParagraph"/>
              <w:spacing w:before="80" w:line="312" w:lineRule="auto"/>
              <w:ind w:left="107" w:right="-29"/>
              <w:rPr>
                <w:sz w:val="24"/>
              </w:rPr>
            </w:pPr>
            <w:r>
              <w:rPr>
                <w:spacing w:val="-4"/>
                <w:sz w:val="24"/>
              </w:rPr>
              <w:t>对投标人提出的实施计划的科学性、可操作性、是否详细、</w:t>
            </w:r>
            <w:r>
              <w:rPr>
                <w:spacing w:val="-2"/>
                <w:sz w:val="24"/>
              </w:rPr>
              <w:t>实施周期等方面进行综合评价，横向比对打分。</w:t>
            </w:r>
          </w:p>
          <w:p>
            <w:pPr>
              <w:pStyle w:val="TableParagraph"/>
              <w:spacing w:line="300" w:lineRule="exact"/>
              <w:ind w:left="107"/>
              <w:rPr>
                <w:sz w:val="24"/>
              </w:rPr>
            </w:pPr>
            <w:r>
              <w:rPr>
                <w:sz w:val="24"/>
              </w:rPr>
              <w:t>优：[2]分；良：[1]分；差：[0]</w:t>
            </w:r>
            <w:r>
              <w:rPr>
                <w:spacing w:val="-5"/>
                <w:sz w:val="24"/>
              </w:rPr>
              <w:t>分。</w:t>
            </w:r>
          </w:p>
        </w:tc>
      </w:tr>
      <w:tr>
        <w:tblPrEx>
          <w:tblW w:w="0" w:type="auto"/>
          <w:jc w:val="left"/>
          <w:tblInd w:w="348" w:type="dxa"/>
          <w:tblLayout w:type="fixed"/>
          <w:tblCellMar>
            <w:top w:w="0" w:type="dxa"/>
            <w:left w:w="0" w:type="dxa"/>
            <w:bottom w:w="0" w:type="dxa"/>
            <w:right w:w="0" w:type="dxa"/>
          </w:tblCellMar>
          <w:tblLook w:val="01E0"/>
        </w:tblPrEx>
        <w:trPr>
          <w:trHeight w:val="1024"/>
          <w:jc w:val="left"/>
        </w:trPr>
        <w:tc>
          <w:tcPr>
            <w:tcW w:w="712" w:type="dxa"/>
            <w:vMerge/>
            <w:tcBorders>
              <w:top w:val="nil"/>
            </w:tcBorders>
          </w:tcPr>
          <w:p>
            <w:pPr>
              <w:rPr>
                <w:sz w:val="2"/>
                <w:szCs w:val="2"/>
              </w:rPr>
            </w:pPr>
          </w:p>
        </w:tc>
        <w:tc>
          <w:tcPr>
            <w:tcW w:w="1921" w:type="dxa"/>
            <w:vMerge/>
            <w:tcBorders>
              <w:top w:val="nil"/>
            </w:tcBorders>
          </w:tcPr>
          <w:p>
            <w:pPr>
              <w:rPr>
                <w:sz w:val="2"/>
                <w:szCs w:val="2"/>
              </w:rPr>
            </w:pPr>
          </w:p>
        </w:tc>
        <w:tc>
          <w:tcPr>
            <w:tcW w:w="6267" w:type="dxa"/>
          </w:tcPr>
          <w:p>
            <w:pPr>
              <w:pStyle w:val="TableParagraph"/>
              <w:spacing w:before="4" w:line="242" w:lineRule="auto"/>
              <w:ind w:left="107" w:right="96"/>
              <w:rPr>
                <w:sz w:val="24"/>
              </w:rPr>
            </w:pPr>
            <w:r>
              <w:rPr>
                <w:spacing w:val="-2"/>
                <w:sz w:val="24"/>
              </w:rPr>
              <w:t>对投标人提出的验收计划、资料文档计划提供情况等进行</w:t>
            </w:r>
            <w:r>
              <w:rPr>
                <w:spacing w:val="-2"/>
                <w:sz w:val="24"/>
              </w:rPr>
              <w:t>综合评价，横向比对打分。</w:t>
            </w:r>
          </w:p>
          <w:p>
            <w:pPr>
              <w:pStyle w:val="TableParagraph"/>
              <w:spacing w:before="79" w:line="300" w:lineRule="exact"/>
              <w:ind w:left="107"/>
              <w:rPr>
                <w:sz w:val="24"/>
              </w:rPr>
            </w:pPr>
            <w:r>
              <w:rPr>
                <w:sz w:val="24"/>
              </w:rPr>
              <w:t>优：[2]分；良：[1]分；差：[0]</w:t>
            </w:r>
            <w:r>
              <w:rPr>
                <w:spacing w:val="-5"/>
                <w:sz w:val="24"/>
              </w:rPr>
              <w:t>分。</w:t>
            </w:r>
          </w:p>
        </w:tc>
      </w:tr>
      <w:tr>
        <w:tblPrEx>
          <w:tblW w:w="0" w:type="auto"/>
          <w:jc w:val="left"/>
          <w:tblInd w:w="348" w:type="dxa"/>
          <w:tblLayout w:type="fixed"/>
          <w:tblCellMar>
            <w:top w:w="0" w:type="dxa"/>
            <w:left w:w="0" w:type="dxa"/>
            <w:bottom w:w="0" w:type="dxa"/>
            <w:right w:w="0" w:type="dxa"/>
          </w:tblCellMar>
          <w:tblLook w:val="01E0"/>
        </w:tblPrEx>
        <w:trPr>
          <w:trHeight w:val="935"/>
          <w:jc w:val="left"/>
        </w:trPr>
        <w:tc>
          <w:tcPr>
            <w:tcW w:w="712" w:type="dxa"/>
            <w:vMerge/>
            <w:tcBorders>
              <w:top w:val="nil"/>
            </w:tcBorders>
          </w:tcPr>
          <w:p>
            <w:pPr>
              <w:rPr>
                <w:sz w:val="2"/>
                <w:szCs w:val="2"/>
              </w:rPr>
            </w:pPr>
          </w:p>
        </w:tc>
        <w:tc>
          <w:tcPr>
            <w:tcW w:w="1921" w:type="dxa"/>
            <w:vMerge/>
            <w:tcBorders>
              <w:top w:val="nil"/>
            </w:tcBorders>
          </w:tcPr>
          <w:p>
            <w:pPr>
              <w:rPr>
                <w:sz w:val="2"/>
                <w:szCs w:val="2"/>
              </w:rPr>
            </w:pPr>
          </w:p>
        </w:tc>
        <w:tc>
          <w:tcPr>
            <w:tcW w:w="6267" w:type="dxa"/>
          </w:tcPr>
          <w:p>
            <w:pPr>
              <w:pStyle w:val="TableParagraph"/>
              <w:spacing w:before="4" w:line="242" w:lineRule="auto"/>
              <w:ind w:left="107" w:right="96"/>
              <w:rPr>
                <w:sz w:val="24"/>
              </w:rPr>
            </w:pPr>
            <w:r>
              <w:rPr>
                <w:spacing w:val="-2"/>
                <w:sz w:val="24"/>
              </w:rPr>
              <w:t>根据投标人的售后服务承诺、应急措施、保修期等进行综</w:t>
            </w:r>
            <w:r>
              <w:rPr>
                <w:spacing w:val="-2"/>
                <w:sz w:val="24"/>
              </w:rPr>
              <w:t>合评价，横向比对打分。</w:t>
            </w:r>
          </w:p>
          <w:p>
            <w:pPr>
              <w:pStyle w:val="TableParagraph"/>
              <w:spacing w:before="3" w:line="288" w:lineRule="exact"/>
              <w:ind w:left="107"/>
              <w:rPr>
                <w:sz w:val="24"/>
              </w:rPr>
            </w:pPr>
            <w:r>
              <w:rPr>
                <w:sz w:val="24"/>
              </w:rPr>
              <w:t>优：[2]分；良：[1]分；差：[0]</w:t>
            </w:r>
            <w:r>
              <w:rPr>
                <w:spacing w:val="-5"/>
                <w:sz w:val="24"/>
              </w:rPr>
              <w:t>分。</w:t>
            </w:r>
          </w:p>
        </w:tc>
      </w:tr>
    </w:tbl>
    <w:p>
      <w:pPr>
        <w:spacing w:after="0" w:line="288" w:lineRule="exact"/>
        <w:rPr>
          <w:sz w:val="24"/>
        </w:rPr>
        <w:sectPr>
          <w:headerReference w:type="default" r:id="rId32"/>
          <w:footerReference w:type="default" r:id="rId33"/>
          <w:pgSz w:w="11910" w:h="16840"/>
          <w:pgMar w:top="1080" w:right="1060" w:bottom="1040" w:left="1160" w:header="700" w:footer="841"/>
          <w:pgNumType w:start="14"/>
          <w:cols w:space="708"/>
        </w:sectPr>
      </w:pPr>
    </w:p>
    <w:p>
      <w:pPr>
        <w:pStyle w:val="BodyText"/>
        <w:spacing w:before="1"/>
        <w:rPr>
          <w:sz w:val="4"/>
        </w:rPr>
      </w:pPr>
    </w:p>
    <w:tbl>
      <w:tblPr>
        <w:tblStyle w:val="TableNormal3"/>
        <w:tblW w:w="0" w:type="auto"/>
        <w:jc w:val="lef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5"/>
        <w:gridCol w:w="1921"/>
        <w:gridCol w:w="6267"/>
      </w:tblGrid>
      <w:tr>
        <w:tblPrEx>
          <w:tblW w:w="0" w:type="auto"/>
          <w:jc w:val="lef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024"/>
          <w:jc w:val="left"/>
        </w:trPr>
        <w:tc>
          <w:tcPr>
            <w:tcW w:w="705" w:type="dxa"/>
          </w:tcPr>
          <w:p>
            <w:pPr>
              <w:pStyle w:val="TableParagraph"/>
              <w:rPr>
                <w:rFonts w:ascii="Times New Roman"/>
                <w:sz w:val="22"/>
              </w:rPr>
            </w:pPr>
          </w:p>
        </w:tc>
        <w:tc>
          <w:tcPr>
            <w:tcW w:w="1921" w:type="dxa"/>
          </w:tcPr>
          <w:p>
            <w:pPr>
              <w:pStyle w:val="TableParagraph"/>
              <w:rPr>
                <w:rFonts w:ascii="Times New Roman"/>
                <w:sz w:val="22"/>
              </w:rPr>
            </w:pPr>
          </w:p>
        </w:tc>
        <w:tc>
          <w:tcPr>
            <w:tcW w:w="6267" w:type="dxa"/>
          </w:tcPr>
          <w:p>
            <w:pPr>
              <w:pStyle w:val="TableParagraph"/>
              <w:spacing w:before="4" w:line="242" w:lineRule="auto"/>
              <w:ind w:left="107" w:right="96"/>
              <w:rPr>
                <w:sz w:val="24"/>
              </w:rPr>
            </w:pPr>
            <w:r>
              <w:rPr>
                <w:spacing w:val="-2"/>
                <w:sz w:val="24"/>
              </w:rPr>
              <w:t>对投标人的培训计划的内容、质量等进行综合评价，横向</w:t>
            </w:r>
            <w:r>
              <w:rPr>
                <w:spacing w:val="-2"/>
                <w:sz w:val="24"/>
              </w:rPr>
              <w:t>比对打分。</w:t>
            </w:r>
          </w:p>
          <w:p>
            <w:pPr>
              <w:pStyle w:val="TableParagraph"/>
              <w:spacing w:before="79" w:line="300" w:lineRule="exact"/>
              <w:ind w:left="107"/>
              <w:rPr>
                <w:sz w:val="24"/>
              </w:rPr>
            </w:pPr>
            <w:r>
              <w:rPr>
                <w:sz w:val="24"/>
              </w:rPr>
              <w:t>优：[2]分；良：[1]分；差：[0]</w:t>
            </w:r>
            <w:r>
              <w:rPr>
                <w:spacing w:val="-5"/>
                <w:sz w:val="24"/>
              </w:rPr>
              <w:t>分。</w:t>
            </w:r>
          </w:p>
        </w:tc>
      </w:tr>
      <w:tr>
        <w:tblPrEx>
          <w:tblW w:w="0" w:type="auto"/>
          <w:jc w:val="left"/>
          <w:tblInd w:w="355" w:type="dxa"/>
          <w:tblLayout w:type="fixed"/>
          <w:tblCellMar>
            <w:top w:w="0" w:type="dxa"/>
            <w:left w:w="0" w:type="dxa"/>
            <w:bottom w:w="0" w:type="dxa"/>
            <w:right w:w="0" w:type="dxa"/>
          </w:tblCellMar>
          <w:tblLook w:val="01E0"/>
        </w:tblPrEx>
        <w:trPr>
          <w:trHeight w:val="3939"/>
          <w:jc w:val="left"/>
        </w:trPr>
        <w:tc>
          <w:tcPr>
            <w:tcW w:w="705"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1"/>
              <w:rPr>
                <w:sz w:val="21"/>
              </w:rPr>
            </w:pPr>
          </w:p>
          <w:p>
            <w:pPr>
              <w:pStyle w:val="TableParagraph"/>
              <w:ind w:left="10"/>
              <w:jc w:val="center"/>
              <w:rPr>
                <w:sz w:val="24"/>
              </w:rPr>
            </w:pPr>
            <w:r>
              <w:rPr>
                <w:sz w:val="24"/>
              </w:rPr>
              <w:t>3</w:t>
            </w:r>
          </w:p>
        </w:tc>
        <w:tc>
          <w:tcPr>
            <w:tcW w:w="192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8"/>
              <w:rPr>
                <w:sz w:val="27"/>
              </w:rPr>
            </w:pPr>
          </w:p>
          <w:p>
            <w:pPr>
              <w:pStyle w:val="TableParagraph"/>
              <w:spacing w:line="364" w:lineRule="auto"/>
              <w:ind w:left="107" w:right="2"/>
              <w:rPr>
                <w:sz w:val="24"/>
              </w:rPr>
            </w:pPr>
            <w:r>
              <w:rPr>
                <w:spacing w:val="-2"/>
                <w:sz w:val="24"/>
              </w:rPr>
              <w:t>技术需求响应情</w:t>
            </w:r>
            <w:r>
              <w:rPr>
                <w:sz w:val="24"/>
              </w:rPr>
              <w:t>况（</w:t>
            </w:r>
            <w:r>
              <w:rPr>
                <w:spacing w:val="-20"/>
                <w:sz w:val="24"/>
              </w:rPr>
              <w:t xml:space="preserve">满分 </w:t>
            </w:r>
            <w:r>
              <w:rPr>
                <w:sz w:val="24"/>
              </w:rPr>
              <w:t>30</w:t>
            </w:r>
            <w:r>
              <w:rPr>
                <w:spacing w:val="-30"/>
                <w:sz w:val="24"/>
              </w:rPr>
              <w:t xml:space="preserve"> 分</w:t>
            </w:r>
            <w:r>
              <w:rPr>
                <w:spacing w:val="-10"/>
                <w:sz w:val="24"/>
              </w:rPr>
              <w:t>）</w:t>
            </w:r>
          </w:p>
        </w:tc>
        <w:tc>
          <w:tcPr>
            <w:tcW w:w="6267" w:type="dxa"/>
          </w:tcPr>
          <w:p>
            <w:pPr>
              <w:pStyle w:val="TableParagraph"/>
              <w:spacing w:before="80" w:line="312" w:lineRule="auto"/>
              <w:ind w:left="107" w:right="96"/>
              <w:jc w:val="both"/>
              <w:rPr>
                <w:sz w:val="24"/>
              </w:rPr>
            </w:pPr>
            <w:r>
              <w:rPr>
                <w:spacing w:val="-2"/>
                <w:sz w:val="24"/>
              </w:rPr>
              <w:t>根据用户需求书中的非★号设备技术指标要求进行评分，</w:t>
            </w:r>
            <w:r>
              <w:rPr>
                <w:spacing w:val="-6"/>
                <w:sz w:val="24"/>
              </w:rPr>
              <w:t xml:space="preserve">全部满足或优于招标要求得满分 </w:t>
            </w:r>
            <w:r>
              <w:rPr>
                <w:spacing w:val="-4"/>
                <w:sz w:val="24"/>
              </w:rPr>
              <w:t>30</w:t>
            </w:r>
            <w:r>
              <w:rPr>
                <w:spacing w:val="-14"/>
                <w:sz w:val="24"/>
              </w:rPr>
              <w:t xml:space="preserve"> 分，打▲号技术条款每</w:t>
            </w:r>
            <w:r>
              <w:rPr>
                <w:spacing w:val="-4"/>
                <w:sz w:val="24"/>
              </w:rPr>
              <w:t xml:space="preserve">有一项负偏离或者无响应的扣 </w:t>
            </w:r>
            <w:r>
              <w:rPr>
                <w:spacing w:val="-2"/>
                <w:sz w:val="24"/>
              </w:rPr>
              <w:t>2</w:t>
            </w:r>
            <w:r>
              <w:rPr>
                <w:spacing w:val="-7"/>
                <w:sz w:val="24"/>
              </w:rPr>
              <w:t xml:space="preserve"> 分，其他技术条款每有一</w:t>
            </w:r>
            <w:r>
              <w:rPr>
                <w:spacing w:val="-2"/>
                <w:sz w:val="24"/>
              </w:rPr>
              <w:t xml:space="preserve">项负偏离或者无响应的扣 </w:t>
            </w:r>
            <w:r>
              <w:rPr>
                <w:sz w:val="24"/>
              </w:rPr>
              <w:t>1</w:t>
            </w:r>
            <w:r>
              <w:rPr>
                <w:spacing w:val="-7"/>
                <w:sz w:val="24"/>
              </w:rPr>
              <w:t xml:space="preserve"> 分，本项最低得 </w:t>
            </w:r>
            <w:r>
              <w:rPr>
                <w:sz w:val="24"/>
              </w:rPr>
              <w:t>0</w:t>
            </w:r>
            <w:r>
              <w:rPr>
                <w:spacing w:val="-8"/>
                <w:sz w:val="24"/>
              </w:rPr>
              <w:t xml:space="preserve"> 分。</w:t>
            </w:r>
          </w:p>
          <w:p>
            <w:pPr>
              <w:pStyle w:val="TableParagraph"/>
              <w:spacing w:before="3" w:line="364" w:lineRule="auto"/>
              <w:ind w:left="107" w:right="96"/>
              <w:jc w:val="both"/>
              <w:rPr>
                <w:sz w:val="24"/>
              </w:rPr>
            </w:pPr>
            <w:r>
              <w:rPr>
                <w:spacing w:val="-2"/>
                <w:sz w:val="24"/>
              </w:rPr>
              <w:t>（投标人须在投标文件中提供所投产品的原厂家彩页或技</w:t>
            </w:r>
            <w:r>
              <w:rPr>
                <w:spacing w:val="-2"/>
                <w:sz w:val="24"/>
              </w:rPr>
              <w:t>术白皮书、或原厂商的公开网址链接及参数截图（加盖投</w:t>
            </w:r>
            <w:r>
              <w:rPr>
                <w:spacing w:val="-2"/>
                <w:sz w:val="24"/>
              </w:rPr>
              <w:t>标人公章）或投标产品技术参数响应说明表（加盖厂家公</w:t>
            </w:r>
            <w:r>
              <w:rPr>
                <w:spacing w:val="-2"/>
                <w:sz w:val="24"/>
              </w:rPr>
              <w:t>章</w:t>
            </w:r>
            <w:r>
              <w:rPr>
                <w:spacing w:val="-78"/>
                <w:sz w:val="24"/>
              </w:rPr>
              <w:t>）</w:t>
            </w:r>
            <w:r>
              <w:rPr>
                <w:spacing w:val="-11"/>
                <w:sz w:val="24"/>
              </w:rPr>
              <w:t>，只响应满足而不提供上述证明资料的，将视为技术参</w:t>
            </w:r>
          </w:p>
          <w:p>
            <w:pPr>
              <w:pStyle w:val="TableParagraph"/>
              <w:spacing w:before="2"/>
              <w:ind w:left="107"/>
              <w:jc w:val="both"/>
              <w:rPr>
                <w:sz w:val="24"/>
              </w:rPr>
            </w:pPr>
            <w:r>
              <w:rPr>
                <w:spacing w:val="-6"/>
                <w:sz w:val="24"/>
              </w:rPr>
              <w:t xml:space="preserve">数不满足，该项评分得 </w:t>
            </w:r>
            <w:r>
              <w:rPr>
                <w:sz w:val="24"/>
              </w:rPr>
              <w:t>0</w:t>
            </w:r>
            <w:r>
              <w:rPr>
                <w:spacing w:val="-60"/>
                <w:sz w:val="24"/>
              </w:rPr>
              <w:t xml:space="preserve"> 分。</w:t>
            </w:r>
            <w:r>
              <w:rPr>
                <w:spacing w:val="-10"/>
                <w:sz w:val="24"/>
              </w:rPr>
              <w:t>）</w:t>
            </w:r>
          </w:p>
        </w:tc>
      </w:tr>
      <w:tr>
        <w:tblPrEx>
          <w:tblW w:w="0" w:type="auto"/>
          <w:jc w:val="left"/>
          <w:tblInd w:w="355" w:type="dxa"/>
          <w:tblLayout w:type="fixed"/>
          <w:tblCellMar>
            <w:top w:w="0" w:type="dxa"/>
            <w:left w:w="0" w:type="dxa"/>
            <w:bottom w:w="0" w:type="dxa"/>
            <w:right w:w="0" w:type="dxa"/>
          </w:tblCellMar>
          <w:tblLook w:val="01E0"/>
        </w:tblPrEx>
        <w:trPr>
          <w:trHeight w:val="1403"/>
          <w:jc w:val="left"/>
        </w:trPr>
        <w:tc>
          <w:tcPr>
            <w:tcW w:w="705" w:type="dxa"/>
          </w:tcPr>
          <w:p>
            <w:pPr>
              <w:pStyle w:val="TableParagraph"/>
              <w:rPr>
                <w:sz w:val="24"/>
              </w:rPr>
            </w:pPr>
          </w:p>
          <w:p>
            <w:pPr>
              <w:pStyle w:val="TableParagraph"/>
              <w:spacing w:before="12"/>
              <w:rPr>
                <w:sz w:val="18"/>
              </w:rPr>
            </w:pPr>
          </w:p>
          <w:p>
            <w:pPr>
              <w:pStyle w:val="TableParagraph"/>
              <w:ind w:left="10"/>
              <w:jc w:val="center"/>
              <w:rPr>
                <w:sz w:val="24"/>
              </w:rPr>
            </w:pPr>
            <w:r>
              <w:rPr>
                <w:sz w:val="24"/>
              </w:rPr>
              <w:t>4</w:t>
            </w:r>
          </w:p>
        </w:tc>
        <w:tc>
          <w:tcPr>
            <w:tcW w:w="1921" w:type="dxa"/>
          </w:tcPr>
          <w:p>
            <w:pPr>
              <w:pStyle w:val="TableParagraph"/>
              <w:spacing w:before="8"/>
              <w:rPr>
                <w:sz w:val="24"/>
              </w:rPr>
            </w:pPr>
          </w:p>
          <w:p>
            <w:pPr>
              <w:pStyle w:val="TableParagraph"/>
              <w:ind w:left="107"/>
              <w:rPr>
                <w:sz w:val="24"/>
              </w:rPr>
            </w:pPr>
            <w:r>
              <w:rPr>
                <w:sz w:val="24"/>
              </w:rPr>
              <w:t>应用实例（</w:t>
            </w:r>
            <w:r>
              <w:rPr>
                <w:spacing w:val="-5"/>
                <w:sz w:val="24"/>
              </w:rPr>
              <w:t>满分</w:t>
            </w:r>
          </w:p>
          <w:p>
            <w:pPr>
              <w:pStyle w:val="TableParagraph"/>
              <w:spacing w:before="161"/>
              <w:ind w:left="107"/>
              <w:rPr>
                <w:sz w:val="24"/>
              </w:rPr>
            </w:pPr>
            <w:r>
              <w:rPr>
                <w:sz w:val="24"/>
              </w:rPr>
              <w:t>5</w:t>
            </w:r>
            <w:r>
              <w:rPr>
                <w:spacing w:val="-30"/>
                <w:sz w:val="24"/>
              </w:rPr>
              <w:t xml:space="preserve"> 分</w:t>
            </w:r>
            <w:r>
              <w:rPr>
                <w:spacing w:val="-10"/>
                <w:sz w:val="24"/>
              </w:rPr>
              <w:t>）</w:t>
            </w:r>
          </w:p>
        </w:tc>
        <w:tc>
          <w:tcPr>
            <w:tcW w:w="6267" w:type="dxa"/>
          </w:tcPr>
          <w:p>
            <w:pPr>
              <w:pStyle w:val="TableParagraph"/>
              <w:spacing w:before="82" w:line="364" w:lineRule="auto"/>
              <w:ind w:left="107" w:right="96"/>
              <w:rPr>
                <w:sz w:val="24"/>
              </w:rPr>
            </w:pPr>
            <w:r>
              <w:rPr>
                <w:spacing w:val="-2"/>
                <w:sz w:val="24"/>
              </w:rPr>
              <w:t>所投数据中心核心交换机型号在国内有广泛应用实例（需</w:t>
            </w:r>
            <w:r>
              <w:rPr>
                <w:spacing w:val="-2"/>
                <w:sz w:val="24"/>
              </w:rPr>
              <w:t>提供用户使用报告或合同复印件证明，原件备查</w:t>
            </w:r>
            <w:r>
              <w:rPr>
                <w:spacing w:val="-78"/>
                <w:sz w:val="24"/>
              </w:rPr>
              <w:t>）</w:t>
            </w:r>
            <w:r>
              <w:rPr>
                <w:spacing w:val="-24"/>
                <w:sz w:val="24"/>
              </w:rPr>
              <w:t>，每个得</w:t>
            </w:r>
          </w:p>
          <w:p>
            <w:pPr>
              <w:pStyle w:val="TableParagraph"/>
              <w:spacing w:before="1"/>
              <w:ind w:left="107"/>
              <w:rPr>
                <w:sz w:val="24"/>
              </w:rPr>
            </w:pPr>
            <w:r>
              <w:rPr>
                <w:sz w:val="24"/>
              </w:rPr>
              <w:t>1</w:t>
            </w:r>
            <w:r>
              <w:rPr>
                <w:spacing w:val="-20"/>
                <w:sz w:val="24"/>
              </w:rPr>
              <w:t xml:space="preserve"> 分，满分 </w:t>
            </w:r>
            <w:r>
              <w:rPr>
                <w:sz w:val="24"/>
              </w:rPr>
              <w:t>5</w:t>
            </w:r>
            <w:r>
              <w:rPr>
                <w:spacing w:val="-24"/>
                <w:sz w:val="24"/>
              </w:rPr>
              <w:t xml:space="preserve"> 分。</w:t>
            </w:r>
          </w:p>
        </w:tc>
      </w:tr>
      <w:tr>
        <w:tblPrEx>
          <w:tblW w:w="0" w:type="auto"/>
          <w:jc w:val="left"/>
          <w:tblInd w:w="355" w:type="dxa"/>
          <w:tblLayout w:type="fixed"/>
          <w:tblCellMar>
            <w:top w:w="0" w:type="dxa"/>
            <w:left w:w="0" w:type="dxa"/>
            <w:bottom w:w="0" w:type="dxa"/>
            <w:right w:w="0" w:type="dxa"/>
          </w:tblCellMar>
          <w:tblLook w:val="01E0"/>
        </w:tblPrEx>
        <w:trPr>
          <w:trHeight w:val="1403"/>
          <w:jc w:val="left"/>
        </w:trPr>
        <w:tc>
          <w:tcPr>
            <w:tcW w:w="705" w:type="dxa"/>
          </w:tcPr>
          <w:p>
            <w:pPr>
              <w:pStyle w:val="TableParagraph"/>
              <w:rPr>
                <w:sz w:val="24"/>
              </w:rPr>
            </w:pPr>
          </w:p>
          <w:p>
            <w:pPr>
              <w:pStyle w:val="TableParagraph"/>
              <w:spacing w:before="12"/>
              <w:rPr>
                <w:sz w:val="18"/>
              </w:rPr>
            </w:pPr>
          </w:p>
          <w:p>
            <w:pPr>
              <w:pStyle w:val="TableParagraph"/>
              <w:ind w:left="10"/>
              <w:jc w:val="center"/>
              <w:rPr>
                <w:sz w:val="24"/>
              </w:rPr>
            </w:pPr>
            <w:r>
              <w:rPr>
                <w:sz w:val="24"/>
              </w:rPr>
              <w:t>5</w:t>
            </w:r>
          </w:p>
        </w:tc>
        <w:tc>
          <w:tcPr>
            <w:tcW w:w="1921" w:type="dxa"/>
          </w:tcPr>
          <w:p>
            <w:pPr>
              <w:pStyle w:val="TableParagraph"/>
              <w:spacing w:before="8"/>
              <w:rPr>
                <w:sz w:val="24"/>
              </w:rPr>
            </w:pPr>
          </w:p>
          <w:p>
            <w:pPr>
              <w:pStyle w:val="TableParagraph"/>
              <w:spacing w:line="364" w:lineRule="auto"/>
              <w:ind w:left="107" w:right="122"/>
              <w:rPr>
                <w:sz w:val="24"/>
              </w:rPr>
            </w:pPr>
            <w:r>
              <w:rPr>
                <w:spacing w:val="-2"/>
                <w:sz w:val="24"/>
              </w:rPr>
              <w:t>售后服务优势(</w:t>
            </w:r>
            <w:r>
              <w:rPr>
                <w:spacing w:val="-2"/>
                <w:sz w:val="24"/>
              </w:rPr>
              <w:t>2</w:t>
            </w:r>
            <w:r>
              <w:rPr>
                <w:spacing w:val="-6"/>
                <w:sz w:val="24"/>
              </w:rPr>
              <w:t>分)</w:t>
            </w:r>
          </w:p>
        </w:tc>
        <w:tc>
          <w:tcPr>
            <w:tcW w:w="6267" w:type="dxa"/>
          </w:tcPr>
          <w:p>
            <w:pPr>
              <w:pStyle w:val="TableParagraph"/>
              <w:spacing w:before="82" w:line="364" w:lineRule="auto"/>
              <w:ind w:left="107" w:right="148"/>
              <w:rPr>
                <w:sz w:val="24"/>
              </w:rPr>
            </w:pPr>
            <w:r>
              <w:rPr>
                <w:spacing w:val="-5"/>
                <w:sz w:val="24"/>
              </w:rPr>
              <w:t xml:space="preserve">投标人在珠江三角洲地区设有售后服务点的得 </w:t>
            </w:r>
            <w:r>
              <w:rPr>
                <w:spacing w:val="-2"/>
                <w:sz w:val="24"/>
              </w:rPr>
              <w:t>2</w:t>
            </w:r>
            <w:r>
              <w:rPr>
                <w:spacing w:val="-14"/>
                <w:sz w:val="24"/>
              </w:rPr>
              <w:t xml:space="preserve"> 分，在广</w:t>
            </w:r>
            <w:r>
              <w:rPr>
                <w:spacing w:val="-4"/>
                <w:sz w:val="24"/>
              </w:rPr>
              <w:t xml:space="preserve">东省内其他地区设有售后服务点的得 </w:t>
            </w:r>
            <w:r>
              <w:rPr>
                <w:sz w:val="24"/>
              </w:rPr>
              <w:t>1</w:t>
            </w:r>
            <w:r>
              <w:rPr>
                <w:spacing w:val="-9"/>
                <w:sz w:val="24"/>
              </w:rPr>
              <w:t xml:space="preserve"> 分，在其他地区的</w:t>
            </w:r>
          </w:p>
          <w:p>
            <w:pPr>
              <w:pStyle w:val="TableParagraph"/>
              <w:spacing w:before="1"/>
              <w:ind w:left="107"/>
              <w:rPr>
                <w:sz w:val="24"/>
              </w:rPr>
            </w:pPr>
            <w:r>
              <w:rPr>
                <w:spacing w:val="-30"/>
                <w:sz w:val="24"/>
              </w:rPr>
              <w:t xml:space="preserve">得 </w:t>
            </w:r>
            <w:r>
              <w:rPr>
                <w:sz w:val="24"/>
              </w:rPr>
              <w:t>0.5</w:t>
            </w:r>
            <w:r>
              <w:rPr>
                <w:spacing w:val="-60"/>
                <w:sz w:val="24"/>
              </w:rPr>
              <w:t xml:space="preserve"> 分。</w:t>
            </w:r>
            <w:r>
              <w:rPr>
                <w:sz w:val="24"/>
              </w:rPr>
              <w:t>（须提供相关证明材料</w:t>
            </w:r>
            <w:r>
              <w:rPr>
                <w:spacing w:val="-10"/>
                <w:sz w:val="24"/>
              </w:rPr>
              <w:t>）</w:t>
            </w:r>
          </w:p>
        </w:tc>
      </w:tr>
    </w:tbl>
    <w:p>
      <w:pPr>
        <w:pStyle w:val="BodyText"/>
        <w:rPr>
          <w:sz w:val="20"/>
        </w:rPr>
      </w:pPr>
    </w:p>
    <w:p>
      <w:pPr>
        <w:pStyle w:val="BodyText"/>
        <w:rPr>
          <w:sz w:val="17"/>
        </w:rPr>
      </w:pPr>
    </w:p>
    <w:p>
      <w:pPr>
        <w:pStyle w:val="ListParagraph"/>
        <w:numPr>
          <w:ilvl w:val="1"/>
          <w:numId w:val="26"/>
        </w:numPr>
        <w:tabs>
          <w:tab w:val="left" w:pos="826"/>
        </w:tabs>
        <w:spacing w:before="1" w:after="0" w:line="364" w:lineRule="auto"/>
        <w:ind w:left="825" w:right="356" w:hanging="567"/>
        <w:jc w:val="left"/>
        <w:rPr>
          <w:sz w:val="24"/>
        </w:rPr>
      </w:pPr>
      <w:r>
        <w:rPr>
          <w:spacing w:val="-2"/>
          <w:sz w:val="24"/>
        </w:rPr>
        <w:t>价格的核准：评委先对入围投标人的投标报价进行复核，看其是否有计算上的错</w:t>
      </w:r>
      <w:r>
        <w:rPr>
          <w:spacing w:val="-2"/>
          <w:sz w:val="24"/>
        </w:rPr>
        <w:t>误或供货范围上的错误，修正错误的原则如下：</w:t>
      </w:r>
    </w:p>
    <w:p>
      <w:pPr>
        <w:pStyle w:val="ListParagraph"/>
        <w:numPr>
          <w:ilvl w:val="0"/>
          <w:numId w:val="21"/>
        </w:numPr>
        <w:tabs>
          <w:tab w:val="left" w:pos="1698"/>
        </w:tabs>
        <w:spacing w:before="0" w:after="0" w:line="364" w:lineRule="auto"/>
        <w:ind w:left="1698" w:right="355" w:hanging="720"/>
        <w:jc w:val="left"/>
        <w:rPr>
          <w:sz w:val="24"/>
        </w:rPr>
      </w:pPr>
      <w:r>
        <w:rPr>
          <w:spacing w:val="-2"/>
          <w:sz w:val="24"/>
        </w:rPr>
        <w:t>如果用数字表示的金额和用文字表示的金额不一致，应以文字表示的金额</w:t>
      </w:r>
      <w:r>
        <w:rPr>
          <w:spacing w:val="-4"/>
          <w:sz w:val="24"/>
        </w:rPr>
        <w:t>为准；</w:t>
      </w:r>
    </w:p>
    <w:p>
      <w:pPr>
        <w:pStyle w:val="ListParagraph"/>
        <w:numPr>
          <w:ilvl w:val="0"/>
          <w:numId w:val="21"/>
        </w:numPr>
        <w:tabs>
          <w:tab w:val="left" w:pos="1698"/>
        </w:tabs>
        <w:spacing w:before="0" w:after="0" w:line="306" w:lineRule="exact"/>
        <w:ind w:left="1698" w:right="0" w:hanging="720"/>
        <w:jc w:val="left"/>
        <w:rPr>
          <w:sz w:val="24"/>
        </w:rPr>
      </w:pPr>
      <w:r>
        <w:rPr>
          <w:spacing w:val="-1"/>
          <w:sz w:val="24"/>
        </w:rPr>
        <w:t>当单价和数量的乘积与总价不一致时，以单价为准，并修正总价；</w:t>
      </w:r>
    </w:p>
    <w:p>
      <w:pPr>
        <w:pStyle w:val="ListParagraph"/>
        <w:numPr>
          <w:ilvl w:val="0"/>
          <w:numId w:val="21"/>
        </w:numPr>
        <w:tabs>
          <w:tab w:val="left" w:pos="1698"/>
        </w:tabs>
        <w:spacing w:before="158" w:after="0" w:line="240" w:lineRule="auto"/>
        <w:ind w:left="1698" w:right="0" w:hanging="720"/>
        <w:jc w:val="left"/>
        <w:rPr>
          <w:sz w:val="24"/>
        </w:rPr>
      </w:pPr>
      <w:r>
        <w:rPr>
          <w:spacing w:val="-1"/>
          <w:sz w:val="24"/>
        </w:rPr>
        <w:t>单价金额小数点有明显错位的，以总价为准，并修改单价；</w:t>
      </w:r>
    </w:p>
    <w:p>
      <w:pPr>
        <w:pStyle w:val="ListParagraph"/>
        <w:numPr>
          <w:ilvl w:val="0"/>
          <w:numId w:val="21"/>
        </w:numPr>
        <w:tabs>
          <w:tab w:val="left" w:pos="1698"/>
        </w:tabs>
        <w:spacing w:before="159" w:after="0" w:line="364" w:lineRule="auto"/>
        <w:ind w:left="1698" w:right="355" w:hanging="720"/>
        <w:jc w:val="left"/>
        <w:rPr>
          <w:sz w:val="24"/>
        </w:rPr>
      </w:pPr>
      <w:r>
        <w:rPr>
          <w:spacing w:val="-2"/>
          <w:sz w:val="24"/>
        </w:rPr>
        <w:t>需要投标人提供的服务和专用工具、备品、配件所需的费用，如果是另外</w:t>
      </w:r>
      <w:r>
        <w:rPr>
          <w:spacing w:val="-2"/>
          <w:sz w:val="24"/>
        </w:rPr>
        <w:t>单独报价的话，评分时应计入投标报价。</w:t>
      </w:r>
    </w:p>
    <w:p>
      <w:pPr>
        <w:pStyle w:val="ListParagraph"/>
        <w:numPr>
          <w:ilvl w:val="0"/>
          <w:numId w:val="21"/>
        </w:numPr>
        <w:tabs>
          <w:tab w:val="left" w:pos="1698"/>
        </w:tabs>
        <w:spacing w:before="0" w:after="0" w:line="306" w:lineRule="exact"/>
        <w:ind w:left="1698" w:right="0" w:hanging="720"/>
        <w:jc w:val="left"/>
        <w:rPr>
          <w:sz w:val="24"/>
        </w:rPr>
      </w:pPr>
      <w:r>
        <w:rPr>
          <w:spacing w:val="-1"/>
          <w:sz w:val="24"/>
        </w:rPr>
        <w:t>评标委员会依据招标文件认为应该调整的价格：</w:t>
      </w:r>
    </w:p>
    <w:p>
      <w:pPr>
        <w:pStyle w:val="BodyText"/>
        <w:spacing w:before="160" w:line="364" w:lineRule="auto"/>
        <w:ind w:left="978" w:right="355" w:firstLine="480"/>
        <w:jc w:val="both"/>
      </w:pPr>
      <w:r>
        <w:rPr>
          <w:spacing w:val="-2"/>
        </w:rPr>
        <w:t>如有一个关键功能不满足或报价有漏项，采用通过初步评审的投标人中该项</w:t>
      </w:r>
      <w:r>
        <w:rPr>
          <w:spacing w:val="-2"/>
        </w:rPr>
        <w:t>报价最高的价格计入总报价后进行评分，但此价格不作为中标价格。若该投标人</w:t>
      </w:r>
      <w:r>
        <w:rPr>
          <w:spacing w:val="-2"/>
        </w:rPr>
        <w:t>中标，合同价以其原报价为标准，但仍需按本项目要求提供货物或服务。</w:t>
      </w:r>
    </w:p>
    <w:p>
      <w:pPr>
        <w:pStyle w:val="ListParagraph"/>
        <w:numPr>
          <w:ilvl w:val="1"/>
          <w:numId w:val="26"/>
        </w:numPr>
        <w:tabs>
          <w:tab w:val="left" w:pos="826"/>
        </w:tabs>
        <w:spacing w:before="0" w:after="0" w:line="306" w:lineRule="exact"/>
        <w:ind w:left="825" w:right="0" w:hanging="568"/>
        <w:jc w:val="both"/>
        <w:rPr>
          <w:sz w:val="24"/>
        </w:rPr>
      </w:pPr>
      <w:r>
        <w:rPr>
          <w:spacing w:val="-1"/>
          <w:sz w:val="24"/>
        </w:rPr>
        <w:t>按上述修正错误的方法调整后的投标报价，对投标人具有约束力。如果投标人不</w:t>
      </w:r>
    </w:p>
    <w:p>
      <w:pPr>
        <w:spacing w:after="0" w:line="306" w:lineRule="exact"/>
        <w:jc w:val="both"/>
        <w:rPr>
          <w:sz w:val="24"/>
        </w:rPr>
        <w:sectPr>
          <w:headerReference w:type="default" r:id="rId34"/>
          <w:footerReference w:type="default" r:id="rId35"/>
          <w:pgSz w:w="11910" w:h="16840"/>
          <w:pgMar w:top="1080" w:right="1060" w:bottom="1040" w:left="1160" w:header="700" w:footer="841"/>
          <w:pgNumType w:start="15"/>
          <w:cols w:space="708"/>
        </w:sectPr>
      </w:pPr>
    </w:p>
    <w:p>
      <w:pPr>
        <w:pStyle w:val="BodyText"/>
        <w:spacing w:before="56"/>
        <w:ind w:left="339" w:right="455"/>
        <w:jc w:val="center"/>
      </w:pPr>
      <w:r>
        <w:rPr>
          <w:spacing w:val="-1"/>
        </w:rPr>
        <w:t>接受修正后的价格，则其投标将被视为无效投标，其投标保证金将被没收。</w:t>
      </w:r>
    </w:p>
    <w:p>
      <w:pPr>
        <w:pStyle w:val="ListParagraph"/>
        <w:numPr>
          <w:ilvl w:val="1"/>
          <w:numId w:val="26"/>
        </w:numPr>
        <w:tabs>
          <w:tab w:val="left" w:pos="826"/>
        </w:tabs>
        <w:spacing w:before="159" w:after="0" w:line="364" w:lineRule="auto"/>
        <w:ind w:left="825" w:right="355" w:hanging="567"/>
        <w:jc w:val="both"/>
        <w:rPr>
          <w:sz w:val="24"/>
        </w:rPr>
      </w:pPr>
      <w:r>
        <w:rPr>
          <w:spacing w:val="-5"/>
          <w:sz w:val="24"/>
        </w:rPr>
        <w:t xml:space="preserve">价格评分：价格得分满分为 </w:t>
      </w:r>
      <w:r>
        <w:rPr>
          <w:spacing w:val="-4"/>
          <w:sz w:val="24"/>
        </w:rPr>
        <w:t>30</w:t>
      </w:r>
      <w:r>
        <w:rPr>
          <w:spacing w:val="-7"/>
          <w:sz w:val="24"/>
        </w:rPr>
        <w:t xml:space="preserve"> 分，价格得分计算方式如下：将评标委员会修正后</w:t>
      </w:r>
      <w:r>
        <w:rPr>
          <w:sz w:val="24"/>
        </w:rPr>
        <w:t>的所有有效投标的投标价格, 取满足招标文件要求且投标价格最低的投标报价为</w:t>
      </w:r>
      <w:r>
        <w:rPr>
          <w:spacing w:val="-2"/>
          <w:sz w:val="24"/>
        </w:rPr>
        <w:t>评标基准价，其价格分为满分。其他投标人的价格分统一按下列公式进行计算：投标报价得分=(评标基准价/投标报价)×价格权值(30%)×100，算出所有合格投</w:t>
      </w:r>
      <w:r>
        <w:rPr>
          <w:spacing w:val="-2"/>
          <w:sz w:val="24"/>
        </w:rPr>
        <w:t>标人的价格得分。</w:t>
      </w:r>
    </w:p>
    <w:p>
      <w:pPr>
        <w:pStyle w:val="ListParagraph"/>
        <w:numPr>
          <w:ilvl w:val="1"/>
          <w:numId w:val="26"/>
        </w:numPr>
        <w:tabs>
          <w:tab w:val="left" w:pos="826"/>
        </w:tabs>
        <w:spacing w:before="0" w:after="0" w:line="305" w:lineRule="exact"/>
        <w:ind w:left="825" w:right="0" w:hanging="568"/>
        <w:jc w:val="both"/>
        <w:rPr>
          <w:sz w:val="24"/>
        </w:rPr>
      </w:pPr>
      <w:r>
        <w:rPr>
          <w:spacing w:val="-3"/>
          <w:sz w:val="24"/>
        </w:rPr>
        <w:t>评分统计结果的验算：评分统计的结果数据须经评委验算及确认。</w:t>
      </w:r>
    </w:p>
    <w:p>
      <w:pPr>
        <w:pStyle w:val="BodyText"/>
      </w:pPr>
    </w:p>
    <w:p>
      <w:pPr>
        <w:pStyle w:val="BodyText"/>
        <w:rPr>
          <w:sz w:val="19"/>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1"/>
        </w:rPr>
        <w:t>投标文件的修正和澄清</w:t>
      </w:r>
    </w:p>
    <w:p>
      <w:pPr>
        <w:pStyle w:val="ListParagraph"/>
        <w:numPr>
          <w:ilvl w:val="1"/>
          <w:numId w:val="26"/>
        </w:numPr>
        <w:tabs>
          <w:tab w:val="left" w:pos="826"/>
        </w:tabs>
        <w:spacing w:before="101" w:after="0" w:line="364" w:lineRule="auto"/>
        <w:ind w:left="825" w:right="356" w:hanging="567"/>
        <w:jc w:val="both"/>
        <w:rPr>
          <w:sz w:val="24"/>
        </w:rPr>
      </w:pPr>
      <w:r>
        <w:rPr>
          <w:spacing w:val="-2"/>
          <w:sz w:val="24"/>
        </w:rPr>
        <w:t>为有助于对投标文件的审核、评价和比较，评标委员会可分别要求投标人对其投标文件进行澄清，有关澄清的要求和答复先以口头形式进行，最终要以书面形式</w:t>
      </w:r>
      <w:r>
        <w:rPr>
          <w:spacing w:val="-2"/>
          <w:sz w:val="24"/>
        </w:rPr>
        <w:t>确认，但不得寻求、提供或允许对投标价格或实质性内容做任何更改。</w:t>
      </w:r>
    </w:p>
    <w:p>
      <w:pPr>
        <w:pStyle w:val="ListParagraph"/>
        <w:numPr>
          <w:ilvl w:val="1"/>
          <w:numId w:val="26"/>
        </w:numPr>
        <w:tabs>
          <w:tab w:val="left" w:pos="826"/>
        </w:tabs>
        <w:spacing w:before="0" w:after="0" w:line="364" w:lineRule="auto"/>
        <w:ind w:left="825" w:right="356" w:hanging="567"/>
        <w:jc w:val="both"/>
        <w:rPr>
          <w:sz w:val="24"/>
        </w:rPr>
      </w:pPr>
      <w:r>
        <w:rPr>
          <w:spacing w:val="-2"/>
          <w:sz w:val="24"/>
        </w:rPr>
        <w:t>评标委员会和招标人在评审过程中认为有必要将对投标人进行实地核查，并在必</w:t>
      </w:r>
      <w:r>
        <w:rPr>
          <w:spacing w:val="-2"/>
          <w:sz w:val="24"/>
        </w:rPr>
        <w:t>要时核对投标文件中相关材料的原件。</w:t>
      </w:r>
    </w:p>
    <w:p>
      <w:pPr>
        <w:pStyle w:val="BodyText"/>
        <w:spacing w:before="4"/>
        <w:rPr>
          <w:sz w:val="30"/>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3"/>
        </w:rPr>
        <w:t>评标结果</w:t>
      </w:r>
    </w:p>
    <w:p>
      <w:pPr>
        <w:pStyle w:val="ListParagraph"/>
        <w:numPr>
          <w:ilvl w:val="1"/>
          <w:numId w:val="26"/>
        </w:numPr>
        <w:tabs>
          <w:tab w:val="left" w:pos="826"/>
        </w:tabs>
        <w:spacing w:before="102" w:after="0" w:line="364" w:lineRule="auto"/>
        <w:ind w:left="825" w:right="356" w:hanging="567"/>
        <w:jc w:val="both"/>
        <w:rPr>
          <w:sz w:val="24"/>
        </w:rPr>
      </w:pPr>
      <w:r>
        <w:rPr>
          <w:spacing w:val="-2"/>
          <w:sz w:val="24"/>
        </w:rPr>
        <w:t>评标委员会将得出的评审结果，按顺序推荐综合得分第一名的投标人为第一中标</w:t>
      </w:r>
      <w:r>
        <w:rPr>
          <w:spacing w:val="-2"/>
          <w:sz w:val="24"/>
        </w:rPr>
        <w:t>候选人，得分第二名的投标人为第二中标候选人。</w:t>
      </w:r>
    </w:p>
    <w:p>
      <w:pPr>
        <w:pStyle w:val="BodyText"/>
        <w:spacing w:before="5"/>
        <w:rPr>
          <w:sz w:val="30"/>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2"/>
        </w:rPr>
        <w:t>确定中标人</w:t>
      </w:r>
    </w:p>
    <w:p>
      <w:pPr>
        <w:pStyle w:val="ListParagraph"/>
        <w:numPr>
          <w:ilvl w:val="1"/>
          <w:numId w:val="26"/>
        </w:numPr>
        <w:tabs>
          <w:tab w:val="left" w:pos="826"/>
        </w:tabs>
        <w:spacing w:before="102" w:after="0" w:line="240" w:lineRule="auto"/>
        <w:ind w:left="825" w:right="0" w:hanging="568"/>
        <w:jc w:val="both"/>
        <w:rPr>
          <w:sz w:val="24"/>
        </w:rPr>
      </w:pPr>
      <w:r>
        <w:rPr>
          <w:spacing w:val="-3"/>
          <w:sz w:val="24"/>
        </w:rPr>
        <w:t>招标人将根据评标结果，确定中标人。</w:t>
      </w:r>
    </w:p>
    <w:p>
      <w:pPr>
        <w:pStyle w:val="ListParagraph"/>
        <w:numPr>
          <w:ilvl w:val="1"/>
          <w:numId w:val="26"/>
        </w:numPr>
        <w:tabs>
          <w:tab w:val="left" w:pos="826"/>
        </w:tabs>
        <w:spacing w:before="159" w:after="0" w:line="364" w:lineRule="auto"/>
        <w:ind w:left="825" w:right="356" w:hanging="567"/>
        <w:jc w:val="both"/>
        <w:rPr>
          <w:sz w:val="24"/>
        </w:rPr>
      </w:pPr>
      <w:r>
        <w:rPr>
          <w:spacing w:val="-2"/>
          <w:sz w:val="24"/>
        </w:rPr>
        <w:t>如果中标人有以下情况的，招标人可以取消该中标人的中标资格并将合同授予另一中标候选人，或者依法重新招标及采取其它采购方式。招标人对受影响的投标</w:t>
      </w:r>
      <w:r>
        <w:rPr>
          <w:spacing w:val="-2"/>
          <w:sz w:val="24"/>
        </w:rPr>
        <w:t>人不承担任何责任。</w:t>
      </w:r>
    </w:p>
    <w:p>
      <w:pPr>
        <w:pStyle w:val="ListParagraph"/>
        <w:numPr>
          <w:ilvl w:val="0"/>
          <w:numId w:val="24"/>
        </w:numPr>
        <w:tabs>
          <w:tab w:val="left" w:pos="1698"/>
        </w:tabs>
        <w:spacing w:before="0" w:after="0" w:line="306" w:lineRule="exact"/>
        <w:ind w:left="1698" w:right="0" w:hanging="720"/>
        <w:jc w:val="both"/>
        <w:rPr>
          <w:sz w:val="24"/>
        </w:rPr>
      </w:pPr>
      <w:r>
        <w:rPr>
          <w:spacing w:val="-1"/>
          <w:sz w:val="24"/>
        </w:rPr>
        <w:t>未能按照招标文件要求及投标文件的承诺签订合同；</w:t>
      </w:r>
    </w:p>
    <w:p>
      <w:pPr>
        <w:pStyle w:val="ListParagraph"/>
        <w:numPr>
          <w:ilvl w:val="0"/>
          <w:numId w:val="24"/>
        </w:numPr>
        <w:tabs>
          <w:tab w:val="left" w:pos="1698"/>
        </w:tabs>
        <w:spacing w:before="159" w:after="0" w:line="240" w:lineRule="auto"/>
        <w:ind w:left="1698" w:right="0" w:hanging="720"/>
        <w:jc w:val="both"/>
        <w:rPr>
          <w:sz w:val="24"/>
        </w:rPr>
      </w:pPr>
      <w:r>
        <w:rPr>
          <w:spacing w:val="-1"/>
          <w:sz w:val="24"/>
        </w:rPr>
        <w:t>中标人的投标文件与事实不符。</w:t>
      </w:r>
    </w:p>
    <w:p>
      <w:pPr>
        <w:pStyle w:val="BodyText"/>
      </w:pPr>
    </w:p>
    <w:p>
      <w:pPr>
        <w:pStyle w:val="BodyText"/>
        <w:spacing w:before="1"/>
        <w:rPr>
          <w:sz w:val="17"/>
        </w:rPr>
      </w:pPr>
    </w:p>
    <w:p>
      <w:pPr>
        <w:pStyle w:val="Heading1"/>
      </w:pPr>
      <w:bookmarkStart w:id="7" w:name="_TOC_250023"/>
      <w:r>
        <w:t>（六）</w:t>
      </w:r>
      <w:bookmarkEnd w:id="7"/>
      <w:r>
        <w:rPr>
          <w:spacing w:val="-2"/>
        </w:rPr>
        <w:t>签订供货协议</w:t>
      </w:r>
    </w:p>
    <w:p>
      <w:pPr>
        <w:pStyle w:val="Heading4"/>
        <w:numPr>
          <w:ilvl w:val="0"/>
          <w:numId w:val="26"/>
        </w:numPr>
        <w:tabs>
          <w:tab w:val="left" w:pos="684"/>
        </w:tabs>
        <w:spacing w:before="57" w:after="0" w:line="240" w:lineRule="auto"/>
        <w:ind w:left="683" w:right="0" w:hanging="426"/>
        <w:jc w:val="left"/>
        <w:rPr>
          <w:rFonts w:ascii="微软雅黑" w:eastAsia="微软雅黑"/>
        </w:rPr>
      </w:pPr>
      <w:r>
        <w:rPr>
          <w:rFonts w:ascii="微软雅黑" w:eastAsia="微软雅黑"/>
          <w:spacing w:val="-2"/>
        </w:rPr>
        <w:t>中标通知书</w:t>
      </w:r>
    </w:p>
    <w:p>
      <w:pPr>
        <w:pStyle w:val="ListParagraph"/>
        <w:numPr>
          <w:ilvl w:val="1"/>
          <w:numId w:val="26"/>
        </w:numPr>
        <w:tabs>
          <w:tab w:val="left" w:pos="826"/>
        </w:tabs>
        <w:spacing w:before="102" w:after="0" w:line="364" w:lineRule="auto"/>
        <w:ind w:left="825" w:right="356" w:hanging="567"/>
        <w:jc w:val="both"/>
        <w:rPr>
          <w:sz w:val="24"/>
        </w:rPr>
      </w:pPr>
      <w:r>
        <w:rPr>
          <w:spacing w:val="-3"/>
          <w:sz w:val="24"/>
          <w:u w:val="single"/>
        </w:rPr>
        <w:t xml:space="preserve">中标结果公示结束后 </w:t>
      </w:r>
      <w:r>
        <w:rPr>
          <w:sz w:val="24"/>
          <w:u w:val="single"/>
        </w:rPr>
        <w:t>3</w:t>
      </w:r>
      <w:r>
        <w:rPr>
          <w:spacing w:val="-6"/>
          <w:sz w:val="24"/>
          <w:u w:val="single"/>
        </w:rPr>
        <w:t xml:space="preserve"> 个工作日内，中标单位必须提交营业执照、税务登记证、</w:t>
      </w:r>
      <w:r>
        <w:rPr>
          <w:spacing w:val="40"/>
          <w:sz w:val="24"/>
          <w:u w:val="single"/>
        </w:rPr>
        <w:t xml:space="preserve"> </w:t>
      </w:r>
      <w:r>
        <w:rPr>
          <w:spacing w:val="-2"/>
          <w:sz w:val="24"/>
          <w:u w:val="single"/>
        </w:rPr>
        <w:t>组织机构代码证、法定代表人（及其委托代理人）身份证和相关资质证明文件、</w:t>
      </w:r>
    </w:p>
    <w:p>
      <w:pPr>
        <w:spacing w:after="0" w:line="364" w:lineRule="auto"/>
        <w:jc w:val="both"/>
        <w:rPr>
          <w:sz w:val="24"/>
        </w:rPr>
        <w:sectPr>
          <w:headerReference w:type="default" r:id="rId36"/>
          <w:footerReference w:type="default" r:id="rId37"/>
          <w:pgSz w:w="11910" w:h="16840"/>
          <w:pgMar w:top="1080" w:right="1060" w:bottom="1040" w:left="1160" w:header="700" w:footer="841"/>
          <w:pgNumType w:start="16"/>
          <w:cols w:space="708"/>
        </w:sectPr>
      </w:pPr>
    </w:p>
    <w:p>
      <w:pPr>
        <w:pStyle w:val="BodyText"/>
        <w:spacing w:before="56" w:line="364" w:lineRule="auto"/>
        <w:ind w:left="825" w:right="356"/>
        <w:jc w:val="both"/>
      </w:pPr>
      <w:r>
        <w:rPr>
          <w:spacing w:val="-2"/>
          <w:u w:val="single"/>
        </w:rPr>
        <w:t>业绩合同等主要证明文件原件到采购代理机构进行核对（如投标人授权其分支机</w:t>
      </w:r>
      <w:r>
        <w:rPr>
          <w:spacing w:val="40"/>
          <w:u w:val="single"/>
        </w:rPr>
        <w:t xml:space="preserve"> </w:t>
      </w:r>
      <w:r>
        <w:rPr>
          <w:spacing w:val="-2"/>
          <w:u w:val="single"/>
        </w:rPr>
        <w:t>构进行项目实施或提供售后服务的，需提供投标人与分支机构关系的法律证明材</w:t>
      </w:r>
      <w:r>
        <w:rPr>
          <w:spacing w:val="-2"/>
          <w:u w:val="single"/>
        </w:rPr>
        <w:t>料</w:t>
      </w:r>
      <w:r>
        <w:rPr>
          <w:spacing w:val="-120"/>
          <w:u w:val="single"/>
        </w:rPr>
        <w:t>）</w:t>
      </w:r>
      <w:r>
        <w:rPr>
          <w:spacing w:val="-2"/>
          <w:u w:val="single"/>
        </w:rPr>
        <w:t>，经核对无误后才能发出中标通知书。</w:t>
      </w:r>
    </w:p>
    <w:p>
      <w:pPr>
        <w:pStyle w:val="ListParagraph"/>
        <w:numPr>
          <w:ilvl w:val="1"/>
          <w:numId w:val="26"/>
        </w:numPr>
        <w:tabs>
          <w:tab w:val="left" w:pos="826"/>
        </w:tabs>
        <w:spacing w:before="0" w:after="0" w:line="364" w:lineRule="auto"/>
        <w:ind w:left="825" w:right="355" w:hanging="567"/>
        <w:jc w:val="both"/>
        <w:rPr>
          <w:sz w:val="24"/>
        </w:rPr>
      </w:pPr>
      <w:r>
        <w:rPr>
          <w:spacing w:val="-6"/>
          <w:sz w:val="24"/>
        </w:rPr>
        <w:t>评标结束后，采购代理机构将向中标人以书面形式发出《中标通知书》；中标人收</w:t>
      </w:r>
      <w:r>
        <w:rPr>
          <w:spacing w:val="-2"/>
          <w:sz w:val="24"/>
        </w:rPr>
        <w:t>到《中标通知书》后书面向采购代理机构确认。</w:t>
      </w:r>
    </w:p>
    <w:p>
      <w:pPr>
        <w:pStyle w:val="ListParagraph"/>
        <w:numPr>
          <w:ilvl w:val="1"/>
          <w:numId w:val="26"/>
        </w:numPr>
        <w:tabs>
          <w:tab w:val="left" w:pos="826"/>
        </w:tabs>
        <w:spacing w:before="0" w:after="0" w:line="306" w:lineRule="exact"/>
        <w:ind w:left="825" w:right="0" w:hanging="568"/>
        <w:jc w:val="both"/>
        <w:rPr>
          <w:sz w:val="24"/>
        </w:rPr>
      </w:pPr>
      <w:r>
        <w:rPr>
          <w:spacing w:val="-3"/>
          <w:sz w:val="24"/>
        </w:rPr>
        <w:t>《中标通知书》将作为签订供货合同的依据。</w:t>
      </w:r>
    </w:p>
    <w:p>
      <w:pPr>
        <w:pStyle w:val="ListParagraph"/>
        <w:numPr>
          <w:ilvl w:val="1"/>
          <w:numId w:val="26"/>
        </w:numPr>
        <w:tabs>
          <w:tab w:val="left" w:pos="826"/>
        </w:tabs>
        <w:spacing w:before="158" w:after="0" w:line="364" w:lineRule="auto"/>
        <w:ind w:left="825" w:right="355" w:hanging="567"/>
        <w:jc w:val="both"/>
        <w:rPr>
          <w:sz w:val="24"/>
        </w:rPr>
      </w:pPr>
      <w:r>
        <w:rPr>
          <w:spacing w:val="-5"/>
          <w:sz w:val="24"/>
          <w:u w:val="single"/>
        </w:rPr>
        <w:t xml:space="preserve">中标人如在中标结果公示结束后 </w:t>
      </w:r>
      <w:r>
        <w:rPr>
          <w:spacing w:val="-4"/>
          <w:sz w:val="24"/>
          <w:u w:val="single"/>
        </w:rPr>
        <w:t>15</w:t>
      </w:r>
      <w:r>
        <w:rPr>
          <w:spacing w:val="-7"/>
          <w:sz w:val="24"/>
          <w:u w:val="single"/>
        </w:rPr>
        <w:t xml:space="preserve"> 天内不按规定领取《中标通知书》的，则作自</w:t>
      </w:r>
      <w:r>
        <w:rPr>
          <w:spacing w:val="16440"/>
          <w:sz w:val="24"/>
          <w:u w:val="single"/>
        </w:rPr>
        <w:t xml:space="preserve"> </w:t>
      </w:r>
      <w:r>
        <w:rPr>
          <w:spacing w:val="-2"/>
          <w:sz w:val="24"/>
          <w:u w:val="single"/>
        </w:rPr>
        <w:t>动放弃中标资格处理。</w:t>
      </w:r>
    </w:p>
    <w:p>
      <w:pPr>
        <w:pStyle w:val="BodyText"/>
        <w:rPr>
          <w:sz w:val="20"/>
        </w:rPr>
      </w:pPr>
    </w:p>
    <w:p>
      <w:pPr>
        <w:pStyle w:val="Heading4"/>
        <w:numPr>
          <w:ilvl w:val="0"/>
          <w:numId w:val="26"/>
        </w:numPr>
        <w:tabs>
          <w:tab w:val="left" w:pos="684"/>
        </w:tabs>
        <w:spacing w:before="134" w:after="0" w:line="240" w:lineRule="auto"/>
        <w:ind w:left="683" w:right="0" w:hanging="426"/>
        <w:jc w:val="left"/>
        <w:rPr>
          <w:rFonts w:ascii="微软雅黑" w:eastAsia="微软雅黑"/>
        </w:rPr>
      </w:pPr>
      <w:r>
        <w:rPr>
          <w:rFonts w:ascii="微软雅黑" w:eastAsia="微软雅黑"/>
          <w:spacing w:val="-2"/>
        </w:rPr>
        <w:t>履约保证金</w:t>
      </w:r>
    </w:p>
    <w:p>
      <w:pPr>
        <w:pStyle w:val="ListParagraph"/>
        <w:numPr>
          <w:ilvl w:val="1"/>
          <w:numId w:val="26"/>
        </w:numPr>
        <w:tabs>
          <w:tab w:val="left" w:pos="826"/>
        </w:tabs>
        <w:spacing w:before="101" w:after="0" w:line="364" w:lineRule="auto"/>
        <w:ind w:left="825" w:right="356" w:hanging="567"/>
        <w:jc w:val="both"/>
        <w:rPr>
          <w:sz w:val="24"/>
        </w:rPr>
      </w:pPr>
      <w:r>
        <w:rPr>
          <w:spacing w:val="-2"/>
          <w:sz w:val="24"/>
        </w:rPr>
        <w:t>履约保证金用于保证中标人按投标承诺和采购合同条款的要求供货和提供售后服</w:t>
      </w:r>
      <w:r>
        <w:rPr>
          <w:spacing w:val="-5"/>
          <w:sz w:val="24"/>
        </w:rPr>
        <w:t xml:space="preserve">务。中标通知书发出后，中标人向东莞市会计核算中心交纳中标价 </w:t>
      </w:r>
      <w:r>
        <w:rPr>
          <w:spacing w:val="-4"/>
          <w:sz w:val="24"/>
        </w:rPr>
        <w:t>5％的履约保证</w:t>
      </w:r>
      <w:r>
        <w:rPr>
          <w:spacing w:val="-6"/>
          <w:sz w:val="24"/>
        </w:rPr>
        <w:t>金。</w:t>
      </w:r>
    </w:p>
    <w:p>
      <w:pPr>
        <w:pStyle w:val="ListParagraph"/>
        <w:numPr>
          <w:ilvl w:val="1"/>
          <w:numId w:val="26"/>
        </w:numPr>
        <w:tabs>
          <w:tab w:val="left" w:pos="826"/>
        </w:tabs>
        <w:spacing w:before="0" w:after="0" w:line="364" w:lineRule="auto"/>
        <w:ind w:left="825" w:right="356" w:hanging="567"/>
        <w:jc w:val="both"/>
        <w:rPr>
          <w:sz w:val="24"/>
        </w:rPr>
      </w:pPr>
      <w:r>
        <w:rPr>
          <w:spacing w:val="-2"/>
          <w:sz w:val="24"/>
        </w:rPr>
        <w:t>中标人收到《中标通知书》后十天内，提交一式四份的履约保证金汇款单复印件</w:t>
      </w:r>
      <w:r>
        <w:rPr>
          <w:sz w:val="24"/>
        </w:rPr>
        <w:t>加盖公章（A4</w:t>
      </w:r>
      <w:r>
        <w:rPr>
          <w:spacing w:val="-11"/>
          <w:sz w:val="24"/>
        </w:rPr>
        <w:t xml:space="preserve"> 纸规格</w:t>
      </w:r>
      <w:r>
        <w:rPr>
          <w:spacing w:val="-120"/>
          <w:sz w:val="24"/>
        </w:rPr>
        <w:t>）</w:t>
      </w:r>
      <w:r>
        <w:rPr>
          <w:sz w:val="24"/>
        </w:rPr>
        <w:t>，送到采购代理机构。</w:t>
      </w:r>
    </w:p>
    <w:p>
      <w:pPr>
        <w:pStyle w:val="ListParagraph"/>
        <w:numPr>
          <w:ilvl w:val="1"/>
          <w:numId w:val="26"/>
        </w:numPr>
        <w:tabs>
          <w:tab w:val="left" w:pos="826"/>
        </w:tabs>
        <w:spacing w:before="0" w:after="0" w:line="306" w:lineRule="exact"/>
        <w:ind w:left="825" w:right="0" w:hanging="568"/>
        <w:jc w:val="both"/>
        <w:rPr>
          <w:sz w:val="24"/>
        </w:rPr>
      </w:pPr>
      <w:r>
        <w:rPr>
          <w:spacing w:val="-3"/>
          <w:sz w:val="24"/>
        </w:rPr>
        <w:t>履约保证金的提交方式及银行帐号另行通知。</w:t>
      </w:r>
    </w:p>
    <w:p>
      <w:pPr>
        <w:pStyle w:val="ListParagraph"/>
        <w:numPr>
          <w:ilvl w:val="1"/>
          <w:numId w:val="26"/>
        </w:numPr>
        <w:tabs>
          <w:tab w:val="left" w:pos="826"/>
        </w:tabs>
        <w:spacing w:before="158" w:after="0" w:line="364" w:lineRule="auto"/>
        <w:ind w:left="825" w:right="355" w:hanging="567"/>
        <w:jc w:val="both"/>
        <w:rPr>
          <w:sz w:val="24"/>
        </w:rPr>
      </w:pPr>
      <w:r>
        <w:rPr>
          <w:spacing w:val="-8"/>
          <w:sz w:val="24"/>
        </w:rPr>
        <w:t>该项目验收合格后，中标人把《退履约保证金申请》、验收报告原件、中标通知书</w:t>
      </w:r>
      <w:r>
        <w:rPr>
          <w:spacing w:val="-2"/>
          <w:sz w:val="24"/>
        </w:rPr>
        <w:t>复印件和履约保证金汇款凭证复印件（加盖公章）送交招标人，向招标人提出退</w:t>
      </w:r>
      <w:r>
        <w:rPr>
          <w:spacing w:val="-2"/>
          <w:sz w:val="24"/>
        </w:rPr>
        <w:t>回履约保证金的申请。</w:t>
      </w:r>
    </w:p>
    <w:p>
      <w:pPr>
        <w:pStyle w:val="BodyText"/>
        <w:spacing w:before="5"/>
        <w:rPr>
          <w:sz w:val="30"/>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2"/>
        </w:rPr>
        <w:t>签订供货合同</w:t>
      </w:r>
    </w:p>
    <w:p>
      <w:pPr>
        <w:pStyle w:val="ListParagraph"/>
        <w:numPr>
          <w:ilvl w:val="1"/>
          <w:numId w:val="26"/>
        </w:numPr>
        <w:tabs>
          <w:tab w:val="left" w:pos="826"/>
        </w:tabs>
        <w:spacing w:before="101" w:after="0" w:line="364" w:lineRule="auto"/>
        <w:ind w:left="825" w:right="356" w:hanging="567"/>
        <w:jc w:val="both"/>
        <w:rPr>
          <w:sz w:val="24"/>
        </w:rPr>
      </w:pPr>
      <w:r>
        <w:rPr>
          <w:spacing w:val="-2"/>
          <w:sz w:val="24"/>
        </w:rPr>
        <w:t>中标人在收到《中标通知书》后，应按照《中标通知书》的要求，派遣其授权代</w:t>
      </w:r>
      <w:r>
        <w:rPr>
          <w:spacing w:val="-2"/>
          <w:sz w:val="24"/>
        </w:rPr>
        <w:t>表与招标人签署供货合同。</w:t>
      </w:r>
    </w:p>
    <w:p>
      <w:pPr>
        <w:pStyle w:val="BodyText"/>
        <w:spacing w:before="7"/>
        <w:rPr>
          <w:sz w:val="28"/>
        </w:rPr>
      </w:pPr>
    </w:p>
    <w:p>
      <w:pPr>
        <w:pStyle w:val="Heading1"/>
      </w:pPr>
      <w:bookmarkStart w:id="8" w:name="_TOC_250022"/>
      <w:r>
        <w:t>（七）</w:t>
      </w:r>
      <w:bookmarkEnd w:id="8"/>
      <w:r>
        <w:rPr>
          <w:spacing w:val="-4"/>
        </w:rPr>
        <w:t>服务费</w:t>
      </w:r>
    </w:p>
    <w:p>
      <w:pPr>
        <w:pStyle w:val="Heading4"/>
        <w:numPr>
          <w:ilvl w:val="0"/>
          <w:numId w:val="26"/>
        </w:numPr>
        <w:tabs>
          <w:tab w:val="left" w:pos="684"/>
        </w:tabs>
        <w:spacing w:before="57" w:after="0" w:line="240" w:lineRule="auto"/>
        <w:ind w:left="683" w:right="0" w:hanging="426"/>
        <w:jc w:val="left"/>
        <w:rPr>
          <w:rFonts w:ascii="微软雅黑" w:eastAsia="微软雅黑"/>
        </w:rPr>
      </w:pPr>
      <w:r>
        <w:rPr>
          <w:rFonts w:ascii="微软雅黑" w:eastAsia="微软雅黑"/>
          <w:spacing w:val="-4"/>
        </w:rPr>
        <w:t>服务费</w:t>
      </w:r>
    </w:p>
    <w:p>
      <w:pPr>
        <w:pStyle w:val="ListParagraph"/>
        <w:numPr>
          <w:ilvl w:val="1"/>
          <w:numId w:val="26"/>
        </w:numPr>
        <w:tabs>
          <w:tab w:val="left" w:pos="826"/>
        </w:tabs>
        <w:spacing w:before="101" w:after="0" w:line="364" w:lineRule="auto"/>
        <w:ind w:left="825" w:right="356" w:hanging="567"/>
        <w:jc w:val="both"/>
        <w:rPr>
          <w:sz w:val="24"/>
        </w:rPr>
      </w:pPr>
      <w:r>
        <w:rPr>
          <w:spacing w:val="-2"/>
          <w:sz w:val="24"/>
        </w:rPr>
        <w:t>中标人应在领取《中标通知书》原件的同时向招标代理机构一次性支付招标代理</w:t>
      </w:r>
      <w:r>
        <w:rPr>
          <w:spacing w:val="-2"/>
          <w:sz w:val="24"/>
        </w:rPr>
        <w:t>服务费，收费标准按《采购代理服务收费标准》执行。</w:t>
      </w:r>
    </w:p>
    <w:p>
      <w:pPr>
        <w:pStyle w:val="ListParagraph"/>
        <w:numPr>
          <w:ilvl w:val="1"/>
          <w:numId w:val="26"/>
        </w:numPr>
        <w:tabs>
          <w:tab w:val="left" w:pos="826"/>
        </w:tabs>
        <w:spacing w:before="0" w:after="0" w:line="364" w:lineRule="auto"/>
        <w:ind w:left="825" w:right="355" w:hanging="567"/>
        <w:jc w:val="both"/>
        <w:rPr>
          <w:sz w:val="24"/>
        </w:rPr>
      </w:pPr>
      <w:r>
        <w:rPr>
          <w:spacing w:val="-2"/>
          <w:sz w:val="24"/>
        </w:rPr>
        <w:t>收费标准按国家计委“计价格[2002]1980</w:t>
      </w:r>
      <w:r>
        <w:rPr>
          <w:spacing w:val="-10"/>
          <w:sz w:val="24"/>
        </w:rPr>
        <w:t xml:space="preserve"> 号文” 和发改办价格</w:t>
      </w:r>
      <w:r>
        <w:rPr>
          <w:spacing w:val="-2"/>
          <w:sz w:val="24"/>
        </w:rPr>
        <w:t>[2003]857</w:t>
      </w:r>
      <w:r>
        <w:rPr>
          <w:spacing w:val="-9"/>
          <w:sz w:val="24"/>
        </w:rPr>
        <w:t xml:space="preserve"> 号文的</w:t>
      </w:r>
      <w:r>
        <w:rPr>
          <w:spacing w:val="-2"/>
          <w:sz w:val="24"/>
        </w:rPr>
        <w:t>规定标准执行，按差额定率累进法计算收取，收费标准如下表所列：</w:t>
      </w:r>
    </w:p>
    <w:p>
      <w:pPr>
        <w:spacing w:after="0" w:line="364" w:lineRule="auto"/>
        <w:jc w:val="both"/>
        <w:rPr>
          <w:sz w:val="24"/>
        </w:rPr>
        <w:sectPr>
          <w:headerReference w:type="default" r:id="rId38"/>
          <w:footerReference w:type="default" r:id="rId39"/>
          <w:pgSz w:w="11910" w:h="16840"/>
          <w:pgMar w:top="1080" w:right="1060" w:bottom="1040" w:left="1160" w:header="700" w:footer="841"/>
          <w:pgNumType w:start="17"/>
          <w:cols w:space="708"/>
        </w:sectPr>
      </w:pPr>
    </w:p>
    <w:p>
      <w:pPr>
        <w:pStyle w:val="Heading4"/>
        <w:spacing w:line="422" w:lineRule="exact"/>
        <w:ind w:left="355" w:right="453" w:firstLine="0"/>
        <w:jc w:val="center"/>
        <w:rPr>
          <w:rFonts w:ascii="微软雅黑" w:eastAsia="微软雅黑"/>
        </w:rPr>
      </w:pPr>
      <w:r>
        <w:pict>
          <v:group id="_x0000_s1028" style="width:127.2pt;height:78.8pt;margin-top:31.3pt;margin-left:79.82pt;mso-position-horizontal-relative:page;position:absolute;z-index:-251657216" coordorigin="1596,626" coordsize="2544,1576">
            <v:line id="_x0000_s1029" style="position:absolute" from="3618,701" to="3619,701" stroked="t" strokecolor="black" strokeweight="0.75pt">
              <v:stroke dashstyle="solid"/>
            </v:line>
            <v:line id="_x0000_s1030" style="position:absolute" from="1604,634" to="4118,2195" stroked="t" strokecolor="black" strokeweight="0.75pt">
              <v:stroke dashstyle="solid"/>
            </v:line>
            <v:line id="_x0000_s1031" style="position:absolute" from="2678,635" to="4133,2182" stroked="t" strokecolor="black" strokeweight="0.75pt">
              <v:stroke dashstyle="solid"/>
            </v:line>
          </v:group>
        </w:pict>
      </w:r>
      <w:r>
        <w:rPr>
          <w:rFonts w:ascii="微软雅黑" w:eastAsia="微软雅黑"/>
          <w:spacing w:val="-1"/>
        </w:rPr>
        <w:t>招标代理服务收费标准</w:t>
      </w:r>
    </w:p>
    <w:p>
      <w:pPr>
        <w:pStyle w:val="BodyText"/>
        <w:spacing w:before="1"/>
        <w:rPr>
          <w:rFonts w:ascii="微软雅黑"/>
          <w:b/>
          <w:sz w:val="12"/>
        </w:rPr>
      </w:pPr>
    </w:p>
    <w:tbl>
      <w:tblPr>
        <w:tblStyle w:val="TableNormal4"/>
        <w:tblW w:w="0" w:type="auto"/>
        <w:jc w:val="left"/>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5"/>
        <w:gridCol w:w="1875"/>
        <w:gridCol w:w="1940"/>
        <w:gridCol w:w="1812"/>
      </w:tblGrid>
      <w:tr>
        <w:tblPrEx>
          <w:tblW w:w="0" w:type="auto"/>
          <w:jc w:val="left"/>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496"/>
          <w:jc w:val="left"/>
        </w:trPr>
        <w:tc>
          <w:tcPr>
            <w:tcW w:w="2485" w:type="dxa"/>
          </w:tcPr>
          <w:p>
            <w:pPr>
              <w:pStyle w:val="TableParagraph"/>
              <w:spacing w:before="4" w:line="463" w:lineRule="auto"/>
              <w:ind w:left="1002" w:right="150" w:firstLine="360"/>
              <w:rPr>
                <w:sz w:val="24"/>
              </w:rPr>
            </w:pPr>
            <w:r>
              <w:rPr>
                <w:spacing w:val="-4"/>
                <w:sz w:val="24"/>
              </w:rPr>
              <w:t>服务类型</w:t>
            </w:r>
            <w:r>
              <w:rPr>
                <w:spacing w:val="-6"/>
                <w:sz w:val="24"/>
              </w:rPr>
              <w:t>费率</w:t>
            </w:r>
          </w:p>
          <w:p>
            <w:pPr>
              <w:pStyle w:val="TableParagraph"/>
              <w:spacing w:line="285" w:lineRule="exact"/>
              <w:ind w:left="5"/>
              <w:rPr>
                <w:sz w:val="24"/>
              </w:rPr>
            </w:pPr>
            <w:r>
              <w:rPr>
                <w:sz w:val="24"/>
              </w:rPr>
              <w:t>中标金额（万元</w:t>
            </w:r>
            <w:r>
              <w:rPr>
                <w:spacing w:val="-10"/>
                <w:sz w:val="24"/>
              </w:rPr>
              <w:t>）</w:t>
            </w:r>
          </w:p>
        </w:tc>
        <w:tc>
          <w:tcPr>
            <w:tcW w:w="1875" w:type="dxa"/>
          </w:tcPr>
          <w:p>
            <w:pPr>
              <w:pStyle w:val="TableParagraph"/>
              <w:spacing w:before="6"/>
              <w:rPr>
                <w:rFonts w:ascii="微软雅黑"/>
                <w:b/>
                <w:sz w:val="32"/>
              </w:rPr>
            </w:pPr>
          </w:p>
          <w:p>
            <w:pPr>
              <w:pStyle w:val="TableParagraph"/>
              <w:ind w:left="443" w:right="433"/>
              <w:jc w:val="center"/>
              <w:rPr>
                <w:sz w:val="24"/>
              </w:rPr>
            </w:pPr>
            <w:r>
              <w:rPr>
                <w:spacing w:val="-3"/>
                <w:sz w:val="24"/>
              </w:rPr>
              <w:t>货物招标</w:t>
            </w:r>
          </w:p>
        </w:tc>
        <w:tc>
          <w:tcPr>
            <w:tcW w:w="1940" w:type="dxa"/>
          </w:tcPr>
          <w:p>
            <w:pPr>
              <w:pStyle w:val="TableParagraph"/>
              <w:spacing w:before="6"/>
              <w:rPr>
                <w:rFonts w:ascii="微软雅黑"/>
                <w:b/>
                <w:sz w:val="32"/>
              </w:rPr>
            </w:pPr>
          </w:p>
          <w:p>
            <w:pPr>
              <w:pStyle w:val="TableParagraph"/>
              <w:ind w:left="476" w:right="466"/>
              <w:jc w:val="center"/>
              <w:rPr>
                <w:sz w:val="24"/>
              </w:rPr>
            </w:pPr>
            <w:r>
              <w:rPr>
                <w:spacing w:val="-3"/>
                <w:sz w:val="24"/>
              </w:rPr>
              <w:t>服务招标</w:t>
            </w:r>
          </w:p>
        </w:tc>
        <w:tc>
          <w:tcPr>
            <w:tcW w:w="1812" w:type="dxa"/>
          </w:tcPr>
          <w:p>
            <w:pPr>
              <w:pStyle w:val="TableParagraph"/>
              <w:spacing w:before="6"/>
              <w:rPr>
                <w:rFonts w:ascii="微软雅黑"/>
                <w:b/>
                <w:sz w:val="32"/>
              </w:rPr>
            </w:pPr>
          </w:p>
          <w:p>
            <w:pPr>
              <w:pStyle w:val="TableParagraph"/>
              <w:ind w:left="412" w:right="402"/>
              <w:jc w:val="center"/>
              <w:rPr>
                <w:sz w:val="24"/>
              </w:rPr>
            </w:pPr>
            <w:r>
              <w:rPr>
                <w:spacing w:val="-3"/>
                <w:sz w:val="24"/>
              </w:rPr>
              <w:t>工程招标</w:t>
            </w:r>
          </w:p>
        </w:tc>
      </w:tr>
      <w:tr>
        <w:tblPrEx>
          <w:tblW w:w="0" w:type="auto"/>
          <w:jc w:val="left"/>
          <w:tblInd w:w="478" w:type="dxa"/>
          <w:tblLayout w:type="fixed"/>
          <w:tblCellMar>
            <w:top w:w="0" w:type="dxa"/>
            <w:left w:w="0" w:type="dxa"/>
            <w:bottom w:w="0" w:type="dxa"/>
            <w:right w:w="0" w:type="dxa"/>
          </w:tblCellMar>
          <w:tblLook w:val="01E0"/>
        </w:tblPrEx>
        <w:trPr>
          <w:trHeight w:val="425"/>
          <w:jc w:val="left"/>
        </w:trPr>
        <w:tc>
          <w:tcPr>
            <w:tcW w:w="2485" w:type="dxa"/>
          </w:tcPr>
          <w:p>
            <w:pPr>
              <w:pStyle w:val="TableParagraph"/>
              <w:spacing w:before="60"/>
              <w:ind w:left="508" w:right="498"/>
              <w:jc w:val="center"/>
              <w:rPr>
                <w:sz w:val="24"/>
              </w:rPr>
            </w:pPr>
            <w:r>
              <w:rPr>
                <w:sz w:val="24"/>
              </w:rPr>
              <w:t>100</w:t>
            </w:r>
            <w:r>
              <w:rPr>
                <w:spacing w:val="-24"/>
                <w:sz w:val="24"/>
              </w:rPr>
              <w:t xml:space="preserve"> 以下</w:t>
            </w:r>
          </w:p>
        </w:tc>
        <w:tc>
          <w:tcPr>
            <w:tcW w:w="1875" w:type="dxa"/>
          </w:tcPr>
          <w:p>
            <w:pPr>
              <w:pStyle w:val="TableParagraph"/>
              <w:spacing w:before="60"/>
              <w:ind w:left="443" w:right="433"/>
              <w:jc w:val="center"/>
              <w:rPr>
                <w:sz w:val="24"/>
              </w:rPr>
            </w:pPr>
            <w:r>
              <w:rPr>
                <w:spacing w:val="-4"/>
                <w:sz w:val="24"/>
              </w:rPr>
              <w:t>1.5%</w:t>
            </w:r>
          </w:p>
        </w:tc>
        <w:tc>
          <w:tcPr>
            <w:tcW w:w="1940" w:type="dxa"/>
          </w:tcPr>
          <w:p>
            <w:pPr>
              <w:pStyle w:val="TableParagraph"/>
              <w:spacing w:before="60"/>
              <w:ind w:left="476" w:right="466"/>
              <w:jc w:val="center"/>
              <w:rPr>
                <w:sz w:val="24"/>
              </w:rPr>
            </w:pPr>
            <w:r>
              <w:rPr>
                <w:spacing w:val="-4"/>
                <w:sz w:val="24"/>
              </w:rPr>
              <w:t>1.5%</w:t>
            </w:r>
          </w:p>
        </w:tc>
        <w:tc>
          <w:tcPr>
            <w:tcW w:w="1812" w:type="dxa"/>
          </w:tcPr>
          <w:p>
            <w:pPr>
              <w:pStyle w:val="TableParagraph"/>
              <w:spacing w:before="60"/>
              <w:ind w:left="411" w:right="402"/>
              <w:jc w:val="center"/>
              <w:rPr>
                <w:sz w:val="24"/>
              </w:rPr>
            </w:pPr>
            <w:r>
              <w:rPr>
                <w:spacing w:val="-4"/>
                <w:sz w:val="24"/>
              </w:rPr>
              <w:t>1.0%</w:t>
            </w:r>
          </w:p>
        </w:tc>
      </w:tr>
      <w:tr>
        <w:tblPrEx>
          <w:tblW w:w="0" w:type="auto"/>
          <w:jc w:val="left"/>
          <w:tblInd w:w="478" w:type="dxa"/>
          <w:tblLayout w:type="fixed"/>
          <w:tblCellMar>
            <w:top w:w="0" w:type="dxa"/>
            <w:left w:w="0" w:type="dxa"/>
            <w:bottom w:w="0" w:type="dxa"/>
            <w:right w:w="0" w:type="dxa"/>
          </w:tblCellMar>
          <w:tblLook w:val="01E0"/>
        </w:tblPrEx>
        <w:trPr>
          <w:trHeight w:val="425"/>
          <w:jc w:val="left"/>
        </w:trPr>
        <w:tc>
          <w:tcPr>
            <w:tcW w:w="2485" w:type="dxa"/>
          </w:tcPr>
          <w:p>
            <w:pPr>
              <w:pStyle w:val="TableParagraph"/>
              <w:spacing w:before="60"/>
              <w:ind w:left="508" w:right="498"/>
              <w:jc w:val="center"/>
              <w:rPr>
                <w:sz w:val="24"/>
              </w:rPr>
            </w:pPr>
            <w:r>
              <w:rPr>
                <w:sz w:val="24"/>
              </w:rPr>
              <w:t>100-</w:t>
            </w:r>
            <w:r>
              <w:rPr>
                <w:spacing w:val="-5"/>
                <w:sz w:val="24"/>
              </w:rPr>
              <w:t>500</w:t>
            </w:r>
          </w:p>
        </w:tc>
        <w:tc>
          <w:tcPr>
            <w:tcW w:w="1875" w:type="dxa"/>
          </w:tcPr>
          <w:p>
            <w:pPr>
              <w:pStyle w:val="TableParagraph"/>
              <w:spacing w:before="60"/>
              <w:ind w:left="443" w:right="433"/>
              <w:jc w:val="center"/>
              <w:rPr>
                <w:sz w:val="24"/>
              </w:rPr>
            </w:pPr>
            <w:r>
              <w:rPr>
                <w:spacing w:val="-4"/>
                <w:sz w:val="24"/>
              </w:rPr>
              <w:t>1.1%</w:t>
            </w:r>
          </w:p>
        </w:tc>
        <w:tc>
          <w:tcPr>
            <w:tcW w:w="1940" w:type="dxa"/>
          </w:tcPr>
          <w:p>
            <w:pPr>
              <w:pStyle w:val="TableParagraph"/>
              <w:spacing w:before="60"/>
              <w:ind w:left="476" w:right="466"/>
              <w:jc w:val="center"/>
              <w:rPr>
                <w:sz w:val="24"/>
              </w:rPr>
            </w:pPr>
            <w:r>
              <w:rPr>
                <w:spacing w:val="-4"/>
                <w:sz w:val="24"/>
              </w:rPr>
              <w:t>0.8%</w:t>
            </w:r>
          </w:p>
        </w:tc>
        <w:tc>
          <w:tcPr>
            <w:tcW w:w="1812" w:type="dxa"/>
          </w:tcPr>
          <w:p>
            <w:pPr>
              <w:pStyle w:val="TableParagraph"/>
              <w:spacing w:before="60"/>
              <w:ind w:left="411" w:right="402"/>
              <w:jc w:val="center"/>
              <w:rPr>
                <w:sz w:val="24"/>
              </w:rPr>
            </w:pPr>
            <w:r>
              <w:rPr>
                <w:spacing w:val="-4"/>
                <w:sz w:val="24"/>
              </w:rPr>
              <w:t>0.7%</w:t>
            </w:r>
          </w:p>
        </w:tc>
      </w:tr>
      <w:tr>
        <w:tblPrEx>
          <w:tblW w:w="0" w:type="auto"/>
          <w:jc w:val="left"/>
          <w:tblInd w:w="478" w:type="dxa"/>
          <w:tblLayout w:type="fixed"/>
          <w:tblCellMar>
            <w:top w:w="0" w:type="dxa"/>
            <w:left w:w="0" w:type="dxa"/>
            <w:bottom w:w="0" w:type="dxa"/>
            <w:right w:w="0" w:type="dxa"/>
          </w:tblCellMar>
          <w:tblLook w:val="01E0"/>
        </w:tblPrEx>
        <w:trPr>
          <w:trHeight w:val="425"/>
          <w:jc w:val="left"/>
        </w:trPr>
        <w:tc>
          <w:tcPr>
            <w:tcW w:w="2485" w:type="dxa"/>
          </w:tcPr>
          <w:p>
            <w:pPr>
              <w:pStyle w:val="TableParagraph"/>
              <w:spacing w:before="60"/>
              <w:ind w:left="508" w:right="498"/>
              <w:jc w:val="center"/>
              <w:rPr>
                <w:sz w:val="24"/>
              </w:rPr>
            </w:pPr>
            <w:r>
              <w:rPr>
                <w:sz w:val="24"/>
              </w:rPr>
              <w:t>500-</w:t>
            </w:r>
            <w:r>
              <w:rPr>
                <w:spacing w:val="-4"/>
                <w:sz w:val="24"/>
              </w:rPr>
              <w:t>1000</w:t>
            </w:r>
          </w:p>
        </w:tc>
        <w:tc>
          <w:tcPr>
            <w:tcW w:w="1875" w:type="dxa"/>
          </w:tcPr>
          <w:p>
            <w:pPr>
              <w:pStyle w:val="TableParagraph"/>
              <w:spacing w:before="60"/>
              <w:ind w:left="443" w:right="433"/>
              <w:jc w:val="center"/>
              <w:rPr>
                <w:sz w:val="24"/>
              </w:rPr>
            </w:pPr>
            <w:r>
              <w:rPr>
                <w:spacing w:val="-4"/>
                <w:sz w:val="24"/>
              </w:rPr>
              <w:t>0.8%</w:t>
            </w:r>
          </w:p>
        </w:tc>
        <w:tc>
          <w:tcPr>
            <w:tcW w:w="1940" w:type="dxa"/>
          </w:tcPr>
          <w:p>
            <w:pPr>
              <w:pStyle w:val="TableParagraph"/>
              <w:spacing w:before="60"/>
              <w:ind w:left="476" w:right="466"/>
              <w:jc w:val="center"/>
              <w:rPr>
                <w:sz w:val="24"/>
              </w:rPr>
            </w:pPr>
            <w:r>
              <w:rPr>
                <w:spacing w:val="-2"/>
                <w:sz w:val="24"/>
              </w:rPr>
              <w:t>0.45%</w:t>
            </w:r>
          </w:p>
        </w:tc>
        <w:tc>
          <w:tcPr>
            <w:tcW w:w="1812" w:type="dxa"/>
          </w:tcPr>
          <w:p>
            <w:pPr>
              <w:pStyle w:val="TableParagraph"/>
              <w:spacing w:before="60"/>
              <w:ind w:left="411" w:right="402"/>
              <w:jc w:val="center"/>
              <w:rPr>
                <w:sz w:val="24"/>
              </w:rPr>
            </w:pPr>
            <w:r>
              <w:rPr>
                <w:spacing w:val="-2"/>
                <w:sz w:val="24"/>
              </w:rPr>
              <w:t>0.55%</w:t>
            </w:r>
          </w:p>
        </w:tc>
      </w:tr>
      <w:tr>
        <w:tblPrEx>
          <w:tblW w:w="0" w:type="auto"/>
          <w:jc w:val="left"/>
          <w:tblInd w:w="478" w:type="dxa"/>
          <w:tblLayout w:type="fixed"/>
          <w:tblCellMar>
            <w:top w:w="0" w:type="dxa"/>
            <w:left w:w="0" w:type="dxa"/>
            <w:bottom w:w="0" w:type="dxa"/>
            <w:right w:w="0" w:type="dxa"/>
          </w:tblCellMar>
          <w:tblLook w:val="01E0"/>
        </w:tblPrEx>
        <w:trPr>
          <w:trHeight w:val="425"/>
          <w:jc w:val="left"/>
        </w:trPr>
        <w:tc>
          <w:tcPr>
            <w:tcW w:w="2485" w:type="dxa"/>
          </w:tcPr>
          <w:p>
            <w:pPr>
              <w:pStyle w:val="TableParagraph"/>
              <w:spacing w:before="60"/>
              <w:ind w:left="508" w:right="498"/>
              <w:jc w:val="center"/>
              <w:rPr>
                <w:sz w:val="24"/>
              </w:rPr>
            </w:pPr>
            <w:r>
              <w:rPr>
                <w:sz w:val="24"/>
              </w:rPr>
              <w:t>1000-</w:t>
            </w:r>
            <w:r>
              <w:rPr>
                <w:spacing w:val="-4"/>
                <w:sz w:val="24"/>
              </w:rPr>
              <w:t>5000</w:t>
            </w:r>
          </w:p>
        </w:tc>
        <w:tc>
          <w:tcPr>
            <w:tcW w:w="1875" w:type="dxa"/>
          </w:tcPr>
          <w:p>
            <w:pPr>
              <w:pStyle w:val="TableParagraph"/>
              <w:spacing w:before="60"/>
              <w:ind w:left="443" w:right="433"/>
              <w:jc w:val="center"/>
              <w:rPr>
                <w:sz w:val="24"/>
              </w:rPr>
            </w:pPr>
            <w:r>
              <w:rPr>
                <w:spacing w:val="-4"/>
                <w:sz w:val="24"/>
              </w:rPr>
              <w:t>0.5%</w:t>
            </w:r>
          </w:p>
        </w:tc>
        <w:tc>
          <w:tcPr>
            <w:tcW w:w="1940" w:type="dxa"/>
          </w:tcPr>
          <w:p>
            <w:pPr>
              <w:pStyle w:val="TableParagraph"/>
              <w:spacing w:before="60"/>
              <w:ind w:left="476" w:right="466"/>
              <w:jc w:val="center"/>
              <w:rPr>
                <w:sz w:val="24"/>
              </w:rPr>
            </w:pPr>
            <w:r>
              <w:rPr>
                <w:spacing w:val="-2"/>
                <w:sz w:val="24"/>
              </w:rPr>
              <w:t>0.25%</w:t>
            </w:r>
          </w:p>
        </w:tc>
        <w:tc>
          <w:tcPr>
            <w:tcW w:w="1812" w:type="dxa"/>
          </w:tcPr>
          <w:p>
            <w:pPr>
              <w:pStyle w:val="TableParagraph"/>
              <w:spacing w:before="60"/>
              <w:ind w:left="411" w:right="402"/>
              <w:jc w:val="center"/>
              <w:rPr>
                <w:sz w:val="24"/>
              </w:rPr>
            </w:pPr>
            <w:r>
              <w:rPr>
                <w:spacing w:val="-2"/>
                <w:sz w:val="24"/>
              </w:rPr>
              <w:t>0.35%</w:t>
            </w:r>
          </w:p>
        </w:tc>
      </w:tr>
      <w:tr>
        <w:tblPrEx>
          <w:tblW w:w="0" w:type="auto"/>
          <w:jc w:val="left"/>
          <w:tblInd w:w="478" w:type="dxa"/>
          <w:tblLayout w:type="fixed"/>
          <w:tblCellMar>
            <w:top w:w="0" w:type="dxa"/>
            <w:left w:w="0" w:type="dxa"/>
            <w:bottom w:w="0" w:type="dxa"/>
            <w:right w:w="0" w:type="dxa"/>
          </w:tblCellMar>
          <w:tblLook w:val="01E0"/>
        </w:tblPrEx>
        <w:trPr>
          <w:trHeight w:val="425"/>
          <w:jc w:val="left"/>
        </w:trPr>
        <w:tc>
          <w:tcPr>
            <w:tcW w:w="2485" w:type="dxa"/>
          </w:tcPr>
          <w:p>
            <w:pPr>
              <w:pStyle w:val="TableParagraph"/>
              <w:spacing w:before="60"/>
              <w:ind w:left="508" w:right="498"/>
              <w:jc w:val="center"/>
              <w:rPr>
                <w:sz w:val="24"/>
              </w:rPr>
            </w:pPr>
            <w:r>
              <w:rPr>
                <w:sz w:val="24"/>
              </w:rPr>
              <w:t>5000-</w:t>
            </w:r>
            <w:r>
              <w:rPr>
                <w:spacing w:val="-2"/>
                <w:sz w:val="24"/>
              </w:rPr>
              <w:t>10000</w:t>
            </w:r>
          </w:p>
        </w:tc>
        <w:tc>
          <w:tcPr>
            <w:tcW w:w="1875" w:type="dxa"/>
          </w:tcPr>
          <w:p>
            <w:pPr>
              <w:pStyle w:val="TableParagraph"/>
              <w:spacing w:before="60"/>
              <w:ind w:left="443" w:right="433"/>
              <w:jc w:val="center"/>
              <w:rPr>
                <w:sz w:val="24"/>
              </w:rPr>
            </w:pPr>
            <w:r>
              <w:rPr>
                <w:spacing w:val="-2"/>
                <w:sz w:val="24"/>
              </w:rPr>
              <w:t>0.25%</w:t>
            </w:r>
          </w:p>
        </w:tc>
        <w:tc>
          <w:tcPr>
            <w:tcW w:w="1940" w:type="dxa"/>
          </w:tcPr>
          <w:p>
            <w:pPr>
              <w:pStyle w:val="TableParagraph"/>
              <w:spacing w:before="60"/>
              <w:ind w:left="476" w:right="466"/>
              <w:jc w:val="center"/>
              <w:rPr>
                <w:sz w:val="24"/>
              </w:rPr>
            </w:pPr>
            <w:r>
              <w:rPr>
                <w:spacing w:val="-4"/>
                <w:sz w:val="24"/>
              </w:rPr>
              <w:t>0.1%</w:t>
            </w:r>
          </w:p>
        </w:tc>
        <w:tc>
          <w:tcPr>
            <w:tcW w:w="1812" w:type="dxa"/>
          </w:tcPr>
          <w:p>
            <w:pPr>
              <w:pStyle w:val="TableParagraph"/>
              <w:spacing w:before="60"/>
              <w:ind w:left="411" w:right="402"/>
              <w:jc w:val="center"/>
              <w:rPr>
                <w:sz w:val="24"/>
              </w:rPr>
            </w:pPr>
            <w:r>
              <w:rPr>
                <w:spacing w:val="-4"/>
                <w:sz w:val="24"/>
              </w:rPr>
              <w:t>0.2%</w:t>
            </w:r>
          </w:p>
        </w:tc>
      </w:tr>
      <w:tr>
        <w:tblPrEx>
          <w:tblW w:w="0" w:type="auto"/>
          <w:jc w:val="left"/>
          <w:tblInd w:w="478" w:type="dxa"/>
          <w:tblLayout w:type="fixed"/>
          <w:tblCellMar>
            <w:top w:w="0" w:type="dxa"/>
            <w:left w:w="0" w:type="dxa"/>
            <w:bottom w:w="0" w:type="dxa"/>
            <w:right w:w="0" w:type="dxa"/>
          </w:tblCellMar>
          <w:tblLook w:val="01E0"/>
        </w:tblPrEx>
        <w:trPr>
          <w:trHeight w:val="425"/>
          <w:jc w:val="left"/>
        </w:trPr>
        <w:tc>
          <w:tcPr>
            <w:tcW w:w="2485" w:type="dxa"/>
          </w:tcPr>
          <w:p>
            <w:pPr>
              <w:pStyle w:val="TableParagraph"/>
              <w:spacing w:before="60"/>
              <w:ind w:left="508" w:right="498"/>
              <w:jc w:val="center"/>
              <w:rPr>
                <w:sz w:val="24"/>
              </w:rPr>
            </w:pPr>
            <w:r>
              <w:rPr>
                <w:sz w:val="24"/>
              </w:rPr>
              <w:t>10000-</w:t>
            </w:r>
            <w:r>
              <w:rPr>
                <w:spacing w:val="-2"/>
                <w:sz w:val="24"/>
              </w:rPr>
              <w:t>100000</w:t>
            </w:r>
          </w:p>
        </w:tc>
        <w:tc>
          <w:tcPr>
            <w:tcW w:w="1875" w:type="dxa"/>
          </w:tcPr>
          <w:p>
            <w:pPr>
              <w:pStyle w:val="TableParagraph"/>
              <w:spacing w:before="60"/>
              <w:ind w:left="443" w:right="433"/>
              <w:jc w:val="center"/>
              <w:rPr>
                <w:sz w:val="24"/>
              </w:rPr>
            </w:pPr>
            <w:r>
              <w:rPr>
                <w:spacing w:val="-2"/>
                <w:sz w:val="24"/>
              </w:rPr>
              <w:t>0.05%</w:t>
            </w:r>
          </w:p>
        </w:tc>
        <w:tc>
          <w:tcPr>
            <w:tcW w:w="1940" w:type="dxa"/>
          </w:tcPr>
          <w:p>
            <w:pPr>
              <w:pStyle w:val="TableParagraph"/>
              <w:spacing w:before="60"/>
              <w:ind w:left="476" w:right="466"/>
              <w:jc w:val="center"/>
              <w:rPr>
                <w:sz w:val="24"/>
              </w:rPr>
            </w:pPr>
            <w:r>
              <w:rPr>
                <w:spacing w:val="-2"/>
                <w:sz w:val="24"/>
              </w:rPr>
              <w:t>0.05%</w:t>
            </w:r>
          </w:p>
        </w:tc>
        <w:tc>
          <w:tcPr>
            <w:tcW w:w="1812" w:type="dxa"/>
          </w:tcPr>
          <w:p>
            <w:pPr>
              <w:pStyle w:val="TableParagraph"/>
              <w:spacing w:before="60"/>
              <w:ind w:left="411" w:right="402"/>
              <w:jc w:val="center"/>
              <w:rPr>
                <w:sz w:val="24"/>
              </w:rPr>
            </w:pPr>
            <w:r>
              <w:rPr>
                <w:spacing w:val="-2"/>
                <w:sz w:val="24"/>
              </w:rPr>
              <w:t>0.05%</w:t>
            </w:r>
          </w:p>
        </w:tc>
      </w:tr>
      <w:tr>
        <w:tblPrEx>
          <w:tblW w:w="0" w:type="auto"/>
          <w:jc w:val="left"/>
          <w:tblInd w:w="478" w:type="dxa"/>
          <w:tblLayout w:type="fixed"/>
          <w:tblCellMar>
            <w:top w:w="0" w:type="dxa"/>
            <w:left w:w="0" w:type="dxa"/>
            <w:bottom w:w="0" w:type="dxa"/>
            <w:right w:w="0" w:type="dxa"/>
          </w:tblCellMar>
          <w:tblLook w:val="01E0"/>
        </w:tblPrEx>
        <w:trPr>
          <w:trHeight w:val="425"/>
          <w:jc w:val="left"/>
        </w:trPr>
        <w:tc>
          <w:tcPr>
            <w:tcW w:w="2485" w:type="dxa"/>
          </w:tcPr>
          <w:p>
            <w:pPr>
              <w:pStyle w:val="TableParagraph"/>
              <w:spacing w:before="4"/>
              <w:ind w:left="508" w:right="498"/>
              <w:jc w:val="center"/>
              <w:rPr>
                <w:sz w:val="24"/>
              </w:rPr>
            </w:pPr>
            <w:r>
              <w:rPr>
                <w:sz w:val="24"/>
              </w:rPr>
              <w:t>100000</w:t>
            </w:r>
            <w:r>
              <w:rPr>
                <w:spacing w:val="-24"/>
                <w:sz w:val="24"/>
              </w:rPr>
              <w:t xml:space="preserve"> 以上</w:t>
            </w:r>
          </w:p>
        </w:tc>
        <w:tc>
          <w:tcPr>
            <w:tcW w:w="1875" w:type="dxa"/>
          </w:tcPr>
          <w:p>
            <w:pPr>
              <w:pStyle w:val="TableParagraph"/>
              <w:spacing w:before="4"/>
              <w:ind w:left="443" w:right="433"/>
              <w:jc w:val="center"/>
              <w:rPr>
                <w:sz w:val="24"/>
              </w:rPr>
            </w:pPr>
            <w:r>
              <w:rPr>
                <w:spacing w:val="-2"/>
                <w:sz w:val="24"/>
              </w:rPr>
              <w:t>0.01%</w:t>
            </w:r>
          </w:p>
        </w:tc>
        <w:tc>
          <w:tcPr>
            <w:tcW w:w="1940" w:type="dxa"/>
          </w:tcPr>
          <w:p>
            <w:pPr>
              <w:pStyle w:val="TableParagraph"/>
              <w:spacing w:before="4"/>
              <w:ind w:left="476" w:right="466"/>
              <w:jc w:val="center"/>
              <w:rPr>
                <w:sz w:val="24"/>
              </w:rPr>
            </w:pPr>
            <w:r>
              <w:rPr>
                <w:spacing w:val="-2"/>
                <w:sz w:val="24"/>
              </w:rPr>
              <w:t>0.01%</w:t>
            </w:r>
          </w:p>
        </w:tc>
        <w:tc>
          <w:tcPr>
            <w:tcW w:w="1812" w:type="dxa"/>
          </w:tcPr>
          <w:p>
            <w:pPr>
              <w:pStyle w:val="TableParagraph"/>
              <w:spacing w:before="4"/>
              <w:ind w:left="411" w:right="402"/>
              <w:jc w:val="center"/>
              <w:rPr>
                <w:sz w:val="24"/>
              </w:rPr>
            </w:pPr>
            <w:r>
              <w:rPr>
                <w:spacing w:val="-2"/>
                <w:sz w:val="24"/>
              </w:rPr>
              <w:t>0.01%</w:t>
            </w:r>
          </w:p>
        </w:tc>
      </w:tr>
    </w:tbl>
    <w:p>
      <w:pPr>
        <w:pStyle w:val="BodyText"/>
        <w:spacing w:before="64"/>
        <w:ind w:left="258"/>
      </w:pPr>
      <w:r>
        <w:rPr>
          <w:spacing w:val="-1"/>
        </w:rPr>
        <w:t>项目招标按相应类型标准收费。</w:t>
      </w:r>
    </w:p>
    <w:p>
      <w:pPr>
        <w:pStyle w:val="BodyText"/>
        <w:spacing w:before="72"/>
        <w:ind w:left="258"/>
      </w:pPr>
      <w:r>
        <w:rPr>
          <w:spacing w:val="-4"/>
        </w:rPr>
        <w:t xml:space="preserve">例如：某货物招标代理业务中标金额为 </w:t>
      </w:r>
      <w:r>
        <w:t>1000</w:t>
      </w:r>
      <w:r>
        <w:rPr>
          <w:spacing w:val="-9"/>
        </w:rPr>
        <w:t xml:space="preserve"> 万元，计算招标代理服务收费额如下：</w:t>
      </w:r>
    </w:p>
    <w:p>
      <w:pPr>
        <w:pStyle w:val="BodyText"/>
        <w:spacing w:before="57" w:line="403" w:lineRule="auto"/>
        <w:ind w:left="2933" w:right="3031" w:firstLine="540"/>
      </w:pPr>
      <w:r>
        <w:t>100</w:t>
      </w:r>
      <w:r>
        <w:rPr>
          <w:spacing w:val="-8"/>
        </w:rPr>
        <w:t xml:space="preserve"> 万元</w:t>
      </w:r>
      <w:r>
        <w:t>×1.5%=1.5</w:t>
      </w:r>
      <w:r>
        <w:rPr>
          <w:spacing w:val="-8"/>
        </w:rPr>
        <w:t xml:space="preserve"> 万元</w:t>
      </w:r>
      <w:r>
        <w:t xml:space="preserve"> (500-100)万元×1.1%=4.4</w:t>
      </w:r>
      <w:r>
        <w:rPr>
          <w:spacing w:val="-14"/>
        </w:rPr>
        <w:t xml:space="preserve"> 万元</w:t>
      </w:r>
      <w:r>
        <w:t xml:space="preserve"> (1000-500)万元×0.8%=4.0</w:t>
      </w:r>
      <w:r>
        <w:rPr>
          <w:spacing w:val="-14"/>
        </w:rPr>
        <w:t xml:space="preserve"> 万元</w:t>
      </w:r>
      <w:r>
        <w:t xml:space="preserve"> 合计收费=1.5+4.4+4.0=9.9</w:t>
      </w:r>
      <w:r>
        <w:rPr>
          <w:spacing w:val="-7"/>
        </w:rPr>
        <w:t xml:space="preserve"> (万元)</w:t>
      </w:r>
    </w:p>
    <w:p>
      <w:pPr>
        <w:pStyle w:val="ListParagraph"/>
        <w:numPr>
          <w:ilvl w:val="1"/>
          <w:numId w:val="26"/>
        </w:numPr>
        <w:tabs>
          <w:tab w:val="left" w:pos="826"/>
        </w:tabs>
        <w:spacing w:before="0" w:after="0" w:line="261" w:lineRule="exact"/>
        <w:ind w:left="825" w:right="0" w:hanging="568"/>
        <w:jc w:val="left"/>
        <w:rPr>
          <w:sz w:val="24"/>
        </w:rPr>
      </w:pPr>
      <w:r>
        <w:rPr>
          <w:spacing w:val="-3"/>
          <w:sz w:val="24"/>
        </w:rPr>
        <w:t>服务费的货币为人民币。</w:t>
      </w:r>
    </w:p>
    <w:p>
      <w:pPr>
        <w:pStyle w:val="ListParagraph"/>
        <w:numPr>
          <w:ilvl w:val="1"/>
          <w:numId w:val="26"/>
        </w:numPr>
        <w:tabs>
          <w:tab w:val="left" w:pos="826"/>
        </w:tabs>
        <w:spacing w:before="159" w:after="0" w:line="240" w:lineRule="auto"/>
        <w:ind w:left="825" w:right="0" w:hanging="568"/>
        <w:jc w:val="left"/>
        <w:rPr>
          <w:sz w:val="24"/>
        </w:rPr>
      </w:pPr>
      <w:r>
        <w:rPr>
          <w:spacing w:val="-3"/>
          <w:sz w:val="24"/>
        </w:rPr>
        <w:t>服务费不在报价中单列。</w:t>
      </w:r>
    </w:p>
    <w:p>
      <w:pPr>
        <w:pStyle w:val="ListParagraph"/>
        <w:numPr>
          <w:ilvl w:val="1"/>
          <w:numId w:val="26"/>
        </w:numPr>
        <w:tabs>
          <w:tab w:val="left" w:pos="826"/>
        </w:tabs>
        <w:spacing w:before="159" w:after="0" w:line="240" w:lineRule="auto"/>
        <w:ind w:left="825" w:right="0" w:hanging="568"/>
        <w:jc w:val="left"/>
        <w:rPr>
          <w:sz w:val="24"/>
        </w:rPr>
      </w:pPr>
      <w:r>
        <w:rPr>
          <w:spacing w:val="-3"/>
          <w:sz w:val="24"/>
        </w:rPr>
        <w:t>服务费以转账或现金的形式支付，银行账号另行通知。</w:t>
      </w:r>
    </w:p>
    <w:p>
      <w:pPr>
        <w:pStyle w:val="BodyText"/>
      </w:pPr>
    </w:p>
    <w:p>
      <w:pPr>
        <w:pStyle w:val="BodyText"/>
        <w:spacing w:before="12"/>
        <w:rPr>
          <w:sz w:val="18"/>
        </w:rPr>
      </w:pPr>
    </w:p>
    <w:p>
      <w:pPr>
        <w:pStyle w:val="Heading4"/>
        <w:numPr>
          <w:ilvl w:val="0"/>
          <w:numId w:val="26"/>
        </w:numPr>
        <w:tabs>
          <w:tab w:val="left" w:pos="684"/>
        </w:tabs>
        <w:spacing w:before="0" w:after="0" w:line="240" w:lineRule="auto"/>
        <w:ind w:left="683" w:right="0" w:hanging="426"/>
        <w:jc w:val="left"/>
        <w:rPr>
          <w:rFonts w:ascii="微软雅黑" w:eastAsia="微软雅黑"/>
        </w:rPr>
      </w:pPr>
      <w:r>
        <w:rPr>
          <w:rFonts w:ascii="微软雅黑" w:eastAsia="微软雅黑"/>
          <w:spacing w:val="-3"/>
        </w:rPr>
        <w:t>结果通知</w:t>
      </w:r>
    </w:p>
    <w:p>
      <w:pPr>
        <w:pStyle w:val="ListParagraph"/>
        <w:numPr>
          <w:ilvl w:val="1"/>
          <w:numId w:val="26"/>
        </w:numPr>
        <w:tabs>
          <w:tab w:val="left" w:pos="826"/>
        </w:tabs>
        <w:spacing w:before="101" w:after="0" w:line="240" w:lineRule="auto"/>
        <w:ind w:left="825" w:right="0" w:hanging="568"/>
        <w:jc w:val="left"/>
        <w:rPr>
          <w:sz w:val="24"/>
        </w:rPr>
      </w:pPr>
      <w:r>
        <w:rPr>
          <w:spacing w:val="44"/>
          <w:sz w:val="24"/>
        </w:rPr>
        <w:t>招标结果将在东莞市政府采购网</w:t>
      </w:r>
      <w:r>
        <w:rPr>
          <w:sz w:val="24"/>
        </w:rPr>
        <w:t>（</w:t>
      </w:r>
      <w:r>
        <w:rPr>
          <w:spacing w:val="-66"/>
          <w:sz w:val="24"/>
        </w:rPr>
        <w:t xml:space="preserve"> </w:t>
      </w:r>
      <w:hyperlink r:id="rId40">
        <w:r>
          <w:rPr>
            <w:sz w:val="21"/>
          </w:rPr>
          <w:t>dggp.dg.gov.cn</w:t>
        </w:r>
      </w:hyperlink>
      <w:r>
        <w:rPr>
          <w:sz w:val="24"/>
        </w:rPr>
        <w:t>）</w:t>
      </w:r>
      <w:r>
        <w:rPr>
          <w:spacing w:val="21"/>
          <w:sz w:val="24"/>
        </w:rPr>
        <w:t>、 采购代理机构网站</w:t>
      </w:r>
    </w:p>
    <w:p>
      <w:pPr>
        <w:pStyle w:val="BodyText"/>
        <w:spacing w:before="159" w:line="364" w:lineRule="auto"/>
        <w:ind w:left="825" w:right="356"/>
      </w:pPr>
      <w:r>
        <w:t>（</w:t>
      </w:r>
      <w:hyperlink r:id="rId6">
        <w:r>
          <w:t>www.tender.gd.gov.cn</w:t>
        </w:r>
      </w:hyperlink>
      <w:r>
        <w:t>）</w:t>
      </w:r>
      <w:r>
        <w:rPr>
          <w:spacing w:val="-2"/>
        </w:rPr>
        <w:t xml:space="preserve">等相关媒体上公开发布，公示期为 </w:t>
      </w:r>
      <w:r>
        <w:t>7</w:t>
      </w:r>
      <w:r>
        <w:rPr>
          <w:spacing w:val="-6"/>
        </w:rPr>
        <w:t xml:space="preserve"> 天。采购代理机</w:t>
      </w:r>
      <w:r>
        <w:rPr>
          <w:spacing w:val="-15"/>
        </w:rPr>
        <w:t>构向中标人发出《中标通知书》，向其他的投标人发出《中标结果通知书》。</w:t>
      </w:r>
    </w:p>
    <w:p>
      <w:pPr>
        <w:spacing w:after="0" w:line="364" w:lineRule="auto"/>
        <w:sectPr>
          <w:headerReference w:type="default" r:id="rId41"/>
          <w:footerReference w:type="default" r:id="rId42"/>
          <w:pgSz w:w="11910" w:h="16840"/>
          <w:pgMar w:top="1080" w:right="1060" w:bottom="1040" w:left="1160" w:header="700" w:footer="841"/>
          <w:pgNumType w:start="18"/>
          <w:cols w:space="708"/>
        </w:sectPr>
      </w:pPr>
    </w:p>
    <w:p>
      <w:pPr>
        <w:pStyle w:val="Heading1"/>
        <w:tabs>
          <w:tab w:val="left" w:pos="1605"/>
        </w:tabs>
        <w:spacing w:line="540" w:lineRule="exact"/>
        <w:rPr>
          <w:rFonts w:ascii="Microsoft JhengHei" w:eastAsia="Microsoft JhengHei"/>
        </w:rPr>
      </w:pPr>
      <w:bookmarkStart w:id="9" w:name="_TOC_250021"/>
      <w:r>
        <w:rPr>
          <w:rFonts w:ascii="Microsoft JhengHei" w:eastAsia="Microsoft JhengHei"/>
        </w:rPr>
        <w:t>第</w:t>
      </w:r>
      <w:r>
        <w:rPr>
          <w:rFonts w:ascii="Microsoft JhengHei" w:eastAsia="Microsoft JhengHei"/>
        </w:rPr>
        <w:t>二</w:t>
      </w:r>
      <w:r>
        <w:rPr>
          <w:rFonts w:ascii="Microsoft JhengHei" w:eastAsia="Microsoft JhengHei"/>
        </w:rPr>
        <w:t>部</w:t>
      </w:r>
      <w:r>
        <w:rPr>
          <w:rFonts w:ascii="Microsoft JhengHei" w:eastAsia="Microsoft JhengHei"/>
          <w:spacing w:val="-10"/>
        </w:rPr>
        <w:t>分</w:t>
      </w:r>
      <w:r>
        <w:rPr>
          <w:rFonts w:ascii="Microsoft JhengHei" w:eastAsia="Microsoft JhengHei"/>
        </w:rPr>
        <w:tab/>
        <w:t>用</w:t>
      </w:r>
      <w:r>
        <w:rPr>
          <w:rFonts w:ascii="Microsoft JhengHei" w:eastAsia="Microsoft JhengHei"/>
        </w:rPr>
        <w:t>户</w:t>
      </w:r>
      <w:r>
        <w:rPr>
          <w:rFonts w:ascii="Microsoft JhengHei" w:eastAsia="Microsoft JhengHei"/>
        </w:rPr>
        <w:t>需</w:t>
      </w:r>
      <w:bookmarkEnd w:id="9"/>
      <w:r>
        <w:rPr>
          <w:rFonts w:ascii="Microsoft JhengHei" w:eastAsia="Microsoft JhengHei"/>
          <w:spacing w:val="-10"/>
        </w:rPr>
        <w:t>求</w:t>
      </w:r>
    </w:p>
    <w:p>
      <w:pPr>
        <w:pStyle w:val="BodyText"/>
        <w:spacing w:before="4"/>
        <w:rPr>
          <w:rFonts w:ascii="Microsoft JhengHei"/>
          <w:b/>
        </w:rPr>
      </w:pPr>
    </w:p>
    <w:p>
      <w:pPr>
        <w:pStyle w:val="Heading4"/>
        <w:spacing w:line="429" w:lineRule="exact"/>
        <w:ind w:left="258" w:firstLine="0"/>
      </w:pPr>
      <w:r>
        <w:rPr>
          <w:spacing w:val="1"/>
        </w:rPr>
        <w:t>一、 采购人</w:t>
      </w:r>
    </w:p>
    <w:p>
      <w:pPr>
        <w:pStyle w:val="BodyText"/>
        <w:spacing w:before="7"/>
        <w:rPr>
          <w:rFonts w:ascii="Microsoft JhengHei"/>
          <w:b/>
          <w:sz w:val="30"/>
        </w:rPr>
      </w:pPr>
    </w:p>
    <w:p>
      <w:pPr>
        <w:pStyle w:val="BodyText"/>
        <w:spacing w:before="1"/>
        <w:ind w:left="752"/>
      </w:pPr>
      <w:r>
        <w:rPr>
          <w:spacing w:val="-1"/>
        </w:rPr>
        <w:t>东莞市电子政务办公室</w:t>
      </w:r>
    </w:p>
    <w:p>
      <w:pPr>
        <w:pStyle w:val="BodyText"/>
        <w:spacing w:before="5"/>
        <w:rPr>
          <w:sz w:val="27"/>
        </w:rPr>
      </w:pPr>
    </w:p>
    <w:p>
      <w:pPr>
        <w:pStyle w:val="Heading4"/>
        <w:ind w:left="258" w:firstLine="0"/>
      </w:pPr>
      <w:r>
        <w:rPr>
          <w:spacing w:val="-1"/>
        </w:rPr>
        <w:t>二、 需求简要说明</w:t>
      </w:r>
    </w:p>
    <w:p>
      <w:pPr>
        <w:pStyle w:val="BodyText"/>
        <w:spacing w:before="7"/>
        <w:rPr>
          <w:rFonts w:ascii="Microsoft JhengHei"/>
          <w:b/>
          <w:sz w:val="30"/>
        </w:rPr>
      </w:pPr>
    </w:p>
    <w:p>
      <w:pPr>
        <w:pStyle w:val="BodyText"/>
        <w:spacing w:before="1"/>
        <w:ind w:left="752"/>
      </w:pPr>
      <w:r>
        <w:rPr>
          <w:spacing w:val="-1"/>
        </w:rPr>
        <w:t>本文旨在对本项目招标内容、范围及要求进行定义规范。</w:t>
      </w:r>
    </w:p>
    <w:p>
      <w:pPr>
        <w:pStyle w:val="BodyText"/>
        <w:spacing w:before="10"/>
        <w:rPr>
          <w:sz w:val="22"/>
        </w:rPr>
      </w:pPr>
    </w:p>
    <w:p>
      <w:pPr>
        <w:pStyle w:val="BodyText"/>
        <w:spacing w:line="468" w:lineRule="auto"/>
        <w:ind w:left="258" w:right="355" w:firstLine="494"/>
        <w:jc w:val="both"/>
      </w:pPr>
      <w:r>
        <w:rPr>
          <w:spacing w:val="-2"/>
        </w:rPr>
        <w:t>本文将描述的各种需求,包括功能、性能要求和服务要求等，仅供投标人编制投标</w:t>
      </w:r>
      <w:r>
        <w:rPr>
          <w:spacing w:val="-2"/>
        </w:rPr>
        <w:t>文件之用。投标人可以提出不同的建议方案，但是建议方案必须满足本招标文件所阐述</w:t>
      </w:r>
      <w:r>
        <w:rPr>
          <w:spacing w:val="-2"/>
        </w:rPr>
        <w:t>的全部商务及技术要求。</w:t>
      </w:r>
    </w:p>
    <w:p>
      <w:pPr>
        <w:pStyle w:val="BodyText"/>
        <w:spacing w:before="1" w:line="468" w:lineRule="auto"/>
        <w:ind w:left="258" w:right="355" w:firstLine="494"/>
      </w:pPr>
      <w:r>
        <w:rPr>
          <w:spacing w:val="-2"/>
        </w:rPr>
        <w:t>投标人在投标文件中，对本招标书应予以说明和答复，同时亦可根据具体情况提出</w:t>
      </w:r>
      <w:r>
        <w:rPr>
          <w:spacing w:val="-2"/>
        </w:rPr>
        <w:t>相关的建议，并附详细资料和说明。</w:t>
      </w:r>
    </w:p>
    <w:p>
      <w:pPr>
        <w:pStyle w:val="BodyText"/>
        <w:spacing w:before="1" w:line="468" w:lineRule="auto"/>
        <w:ind w:left="258" w:right="355" w:firstLine="494"/>
        <w:jc w:val="both"/>
      </w:pPr>
      <w:r>
        <w:rPr>
          <w:spacing w:val="-2"/>
        </w:rPr>
        <w:t>本招标书仅描述基本的技术需求，并未对一切技术细节做出规定，也未充分引述有</w:t>
      </w:r>
      <w:r>
        <w:rPr>
          <w:spacing w:val="-2"/>
        </w:rPr>
        <w:t>关标准和技术条文，投标人应根据需求目标，提供进一步具体的可满足要求的功能和性</w:t>
      </w:r>
      <w:r>
        <w:rPr>
          <w:spacing w:val="-4"/>
        </w:rPr>
        <w:t>能指标。</w:t>
      </w:r>
    </w:p>
    <w:p>
      <w:pPr>
        <w:pStyle w:val="BodyText"/>
        <w:spacing w:before="1"/>
        <w:ind w:left="752"/>
      </w:pPr>
      <w:r>
        <w:rPr>
          <w:spacing w:val="-1"/>
        </w:rPr>
        <w:t>投标技术文件要求文字精练、数据准确、表述及图示清晰明确，具有针对性。</w:t>
      </w:r>
    </w:p>
    <w:p>
      <w:pPr>
        <w:pStyle w:val="Heading4"/>
        <w:spacing w:before="214"/>
        <w:ind w:left="752" w:firstLine="0"/>
      </w:pPr>
      <w:r>
        <w:rPr>
          <w:spacing w:val="-3"/>
          <w:u w:val="thick"/>
        </w:rPr>
        <w:t>凡标有“★”的地方均被视为关键性技术指标要求或性能要求。投标商要特别加以</w:t>
      </w:r>
    </w:p>
    <w:p>
      <w:pPr>
        <w:pStyle w:val="BodyText"/>
        <w:spacing w:before="5"/>
        <w:rPr>
          <w:rFonts w:ascii="Microsoft JhengHei"/>
          <w:b/>
          <w:sz w:val="9"/>
        </w:rPr>
      </w:pPr>
    </w:p>
    <w:p>
      <w:pPr>
        <w:pStyle w:val="Heading4"/>
        <w:spacing w:line="429" w:lineRule="exact"/>
        <w:ind w:left="258" w:firstLine="0"/>
      </w:pPr>
      <w:r>
        <w:rPr>
          <w:spacing w:val="-3"/>
          <w:u w:val="thick"/>
        </w:rPr>
        <w:t>注意，必须对此响应并完全满足这些要求，否则若有一项带“★”的指标未响应或不满</w:t>
      </w:r>
    </w:p>
    <w:p>
      <w:pPr>
        <w:pStyle w:val="BodyText"/>
        <w:spacing w:before="6"/>
        <w:rPr>
          <w:rFonts w:ascii="Microsoft JhengHei"/>
          <w:b/>
          <w:sz w:val="9"/>
        </w:rPr>
      </w:pPr>
    </w:p>
    <w:p>
      <w:pPr>
        <w:pStyle w:val="Heading4"/>
        <w:spacing w:line="429" w:lineRule="exact"/>
        <w:ind w:left="258" w:firstLine="0"/>
      </w:pPr>
      <w:r>
        <w:rPr>
          <w:spacing w:val="-1"/>
          <w:u w:val="thick"/>
        </w:rPr>
        <w:t>足，将按投标无效处理。</w:t>
      </w:r>
    </w:p>
    <w:p>
      <w:pPr>
        <w:pStyle w:val="BodyText"/>
        <w:spacing w:before="6"/>
        <w:rPr>
          <w:rFonts w:ascii="Microsoft JhengHei"/>
          <w:b/>
          <w:sz w:val="9"/>
        </w:rPr>
      </w:pPr>
    </w:p>
    <w:p>
      <w:pPr>
        <w:pStyle w:val="Heading4"/>
        <w:spacing w:line="429" w:lineRule="exact"/>
        <w:ind w:left="752" w:firstLine="0"/>
      </w:pPr>
      <w:r>
        <w:rPr>
          <w:spacing w:val="-5"/>
          <w:u w:val="thick"/>
        </w:rPr>
        <w:t>凡标有“▲”的地方均被视为重要技术指标要求或性能要求。投标商要特别加以注</w:t>
      </w:r>
    </w:p>
    <w:p>
      <w:pPr>
        <w:pStyle w:val="BodyText"/>
        <w:spacing w:before="6"/>
        <w:rPr>
          <w:rFonts w:ascii="Microsoft JhengHei"/>
          <w:b/>
          <w:sz w:val="9"/>
        </w:rPr>
      </w:pPr>
    </w:p>
    <w:p>
      <w:pPr>
        <w:pStyle w:val="Heading4"/>
        <w:spacing w:line="429" w:lineRule="exact"/>
        <w:ind w:left="258" w:firstLine="0"/>
      </w:pPr>
      <w:r>
        <w:rPr>
          <w:spacing w:val="-15"/>
          <w:u w:val="thick"/>
        </w:rPr>
        <w:t>意，必须对此响应并完全满足这些要求，否则若有一项带“▲”的指标未响应或不满足，</w:t>
      </w:r>
    </w:p>
    <w:p>
      <w:pPr>
        <w:pStyle w:val="BodyText"/>
        <w:spacing w:before="6"/>
        <w:rPr>
          <w:rFonts w:ascii="Microsoft JhengHei"/>
          <w:b/>
          <w:sz w:val="9"/>
        </w:rPr>
      </w:pPr>
    </w:p>
    <w:p>
      <w:pPr>
        <w:pStyle w:val="Heading4"/>
        <w:spacing w:line="429" w:lineRule="exact"/>
        <w:ind w:left="258" w:firstLine="0"/>
      </w:pPr>
      <w:r>
        <w:rPr>
          <w:spacing w:val="-2"/>
          <w:u w:val="thick"/>
        </w:rPr>
        <w:t>将被扣分。</w:t>
      </w:r>
    </w:p>
    <w:p>
      <w:pPr>
        <w:spacing w:after="0" w:line="429" w:lineRule="exact"/>
        <w:sectPr>
          <w:headerReference w:type="default" r:id="rId43"/>
          <w:footerReference w:type="default" r:id="rId44"/>
          <w:pgSz w:w="11910" w:h="16840"/>
          <w:pgMar w:top="1080" w:right="1060" w:bottom="1040" w:left="1160" w:header="700" w:footer="841"/>
          <w:pgNumType w:start="19"/>
          <w:cols w:space="708"/>
        </w:sectPr>
      </w:pPr>
    </w:p>
    <w:p>
      <w:pPr>
        <w:pStyle w:val="BodyText"/>
        <w:spacing w:before="12"/>
        <w:rPr>
          <w:rFonts w:ascii="Microsoft JhengHei"/>
          <w:b/>
          <w:sz w:val="5"/>
        </w:rPr>
      </w:pPr>
    </w:p>
    <w:p>
      <w:pPr>
        <w:pStyle w:val="Heading4"/>
        <w:spacing w:line="429" w:lineRule="exact"/>
        <w:ind w:left="258" w:firstLine="0"/>
      </w:pPr>
      <w:r>
        <w:rPr>
          <w:spacing w:val="1"/>
        </w:rPr>
        <w:t>三、 项目概述</w:t>
      </w:r>
    </w:p>
    <w:p>
      <w:pPr>
        <w:pStyle w:val="BodyText"/>
        <w:spacing w:before="7"/>
        <w:rPr>
          <w:rFonts w:ascii="Microsoft JhengHei"/>
          <w:b/>
          <w:sz w:val="30"/>
        </w:rPr>
      </w:pPr>
    </w:p>
    <w:p>
      <w:pPr>
        <w:pStyle w:val="BodyText"/>
        <w:spacing w:before="1" w:line="468" w:lineRule="auto"/>
        <w:ind w:left="258" w:right="355" w:firstLine="494"/>
        <w:jc w:val="both"/>
      </w:pPr>
      <w:r>
        <w:rPr>
          <w:spacing w:val="-2"/>
        </w:rPr>
        <w:t>目前东莞市电子政务网络已覆盖全市各委办局、各镇街政府、园区管委会及部分村</w:t>
      </w:r>
      <w:r>
        <w:rPr>
          <w:spacing w:val="-2"/>
        </w:rPr>
        <w:t>居委会，各级政府对电子政务信息化的应用程度较高，市电子政务核心网络的稳定运行</w:t>
      </w:r>
      <w:r>
        <w:rPr>
          <w:spacing w:val="-2"/>
        </w:rPr>
        <w:t>对全市电子政务信息化平台具有非常重要的作用。</w:t>
      </w:r>
    </w:p>
    <w:p>
      <w:pPr>
        <w:pStyle w:val="BodyText"/>
        <w:spacing w:before="1" w:line="468" w:lineRule="auto"/>
        <w:ind w:left="258" w:right="355" w:firstLine="494"/>
        <w:jc w:val="both"/>
      </w:pPr>
      <w:r>
        <w:rPr>
          <w:spacing w:val="-3"/>
        </w:rPr>
        <w:t xml:space="preserve">东莞市现有的电子政务核心网络建设于 </w:t>
      </w:r>
      <w:r>
        <w:rPr>
          <w:spacing w:val="-2"/>
        </w:rPr>
        <w:t>2003</w:t>
      </w:r>
      <w:r>
        <w:rPr>
          <w:spacing w:val="-5"/>
        </w:rPr>
        <w:t xml:space="preserve"> 年初，核心层设备均为思科产品。随</w:t>
      </w:r>
      <w:r>
        <w:rPr>
          <w:spacing w:val="-2"/>
        </w:rPr>
        <w:t>着全市电子政务网络规模的快速扩展和信息技术的发展，核心网络设备的性能和功能已</w:t>
      </w:r>
      <w:r>
        <w:rPr>
          <w:spacing w:val="-2"/>
        </w:rPr>
        <w:t>逐渐不能满足电子政务网络发展的要求,且现有核心网络主要设备及接口板卡的型号已</w:t>
      </w:r>
      <w:r>
        <w:rPr>
          <w:spacing w:val="-2"/>
        </w:rPr>
        <w:t>停产，核心网络设备备件供应及设备原厂的技术支持已无法得到有效的保障。</w:t>
      </w:r>
    </w:p>
    <w:p>
      <w:pPr>
        <w:pStyle w:val="BodyText"/>
        <w:spacing w:before="1"/>
        <w:ind w:left="752"/>
      </w:pPr>
      <w:r>
        <w:rPr>
          <w:spacing w:val="-1"/>
        </w:rPr>
        <w:t>东莞市电子政务核心网络现在的总体拓扑结构示意图如下：</w:t>
      </w:r>
    </w:p>
    <w:p>
      <w:pPr>
        <w:pStyle w:val="BodyText"/>
        <w:spacing w:before="3"/>
        <w:rPr>
          <w:sz w:val="12"/>
        </w:rPr>
      </w:pPr>
      <w:r>
        <w:drawing>
          <wp:anchor distT="0" distB="0" distL="0" distR="0" simplePos="0" relativeHeight="251660288" behindDoc="0" locked="0" layoutInCell="1" allowOverlap="1">
            <wp:simplePos x="0" y="0"/>
            <wp:positionH relativeFrom="page">
              <wp:posOffset>1147267</wp:posOffset>
            </wp:positionH>
            <wp:positionV relativeFrom="paragraph">
              <wp:posOffset>115236</wp:posOffset>
            </wp:positionV>
            <wp:extent cx="5268171" cy="380047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45" cstate="print"/>
                    <a:stretch>
                      <a:fillRect/>
                    </a:stretch>
                  </pic:blipFill>
                  <pic:spPr>
                    <a:xfrm>
                      <a:off x="0" y="0"/>
                      <a:ext cx="5268171" cy="3800475"/>
                    </a:xfrm>
                    <a:prstGeom prst="rect">
                      <a:avLst/>
                    </a:prstGeom>
                  </pic:spPr>
                </pic:pic>
              </a:graphicData>
            </a:graphic>
          </wp:anchor>
        </w:drawing>
      </w:r>
    </w:p>
    <w:p>
      <w:pPr>
        <w:pStyle w:val="BodyText"/>
      </w:pPr>
    </w:p>
    <w:p>
      <w:pPr>
        <w:pStyle w:val="BodyText"/>
        <w:spacing w:before="12"/>
        <w:rPr>
          <w:sz w:val="28"/>
        </w:rPr>
      </w:pPr>
    </w:p>
    <w:p>
      <w:pPr>
        <w:pStyle w:val="BodyText"/>
        <w:spacing w:line="468" w:lineRule="auto"/>
        <w:ind w:left="258" w:right="355" w:firstLine="494"/>
      </w:pPr>
      <w:r>
        <w:rPr>
          <w:spacing w:val="-4"/>
        </w:rPr>
        <w:t>东莞市电子政务网络核心网络系统位于东莞市行政中心主楼三楼网络机房。网络系</w:t>
      </w:r>
      <w:r>
        <w:rPr>
          <w:spacing w:val="-2"/>
        </w:rPr>
        <w:t>统采用核心层、汇聚层/接入层的二层扁平结构模式组网（如上图</w:t>
      </w:r>
      <w:r>
        <w:rPr>
          <w:spacing w:val="-120"/>
        </w:rPr>
        <w:t>）</w:t>
      </w:r>
      <w:r>
        <w:rPr>
          <w:spacing w:val="-2"/>
        </w:rPr>
        <w:t>。</w:t>
      </w:r>
    </w:p>
    <w:p>
      <w:pPr>
        <w:pStyle w:val="BodyText"/>
        <w:spacing w:before="1"/>
        <w:ind w:left="752"/>
      </w:pPr>
      <w:r>
        <w:rPr>
          <w:spacing w:val="-3"/>
        </w:rPr>
        <w:t xml:space="preserve">当前，东莞市电子政务网络数据中心区核心层现部署有 </w:t>
      </w:r>
      <w:r>
        <w:t>2</w:t>
      </w:r>
      <w:r>
        <w:rPr>
          <w:spacing w:val="-22"/>
        </w:rPr>
        <w:t xml:space="preserve"> 台思科 </w:t>
      </w:r>
      <w:r>
        <w:t>6513</w:t>
      </w:r>
      <w:r>
        <w:rPr>
          <w:spacing w:val="-12"/>
        </w:rPr>
        <w:t xml:space="preserve"> 高端三层交</w:t>
      </w:r>
    </w:p>
    <w:p>
      <w:pPr>
        <w:pStyle w:val="BodyText"/>
        <w:spacing w:before="10"/>
        <w:rPr>
          <w:sz w:val="22"/>
        </w:rPr>
      </w:pPr>
    </w:p>
    <w:p>
      <w:pPr>
        <w:pStyle w:val="BodyText"/>
        <w:ind w:left="258"/>
      </w:pPr>
      <w:r>
        <w:rPr>
          <w:spacing w:val="-12"/>
        </w:rPr>
        <w:t xml:space="preserve">换机，各配置 </w:t>
      </w:r>
      <w:r>
        <w:rPr>
          <w:spacing w:val="-4"/>
        </w:rPr>
        <w:t>SUP720</w:t>
      </w:r>
      <w:r>
        <w:rPr>
          <w:spacing w:val="-13"/>
        </w:rPr>
        <w:t xml:space="preserve"> 引擎一块、</w:t>
      </w:r>
      <w:r>
        <w:rPr>
          <w:spacing w:val="-4"/>
        </w:rPr>
        <w:t>16</w:t>
      </w:r>
      <w:r>
        <w:rPr>
          <w:spacing w:val="-11"/>
        </w:rPr>
        <w:t xml:space="preserve"> 端口万兆光接口板一块、</w:t>
      </w:r>
      <w:r>
        <w:rPr>
          <w:spacing w:val="-4"/>
        </w:rPr>
        <w:t>16</w:t>
      </w:r>
      <w:r>
        <w:rPr>
          <w:spacing w:val="-15"/>
        </w:rPr>
        <w:t xml:space="preserve"> 端口千兆光接口板 </w:t>
      </w:r>
      <w:r>
        <w:rPr>
          <w:spacing w:val="-4"/>
        </w:rPr>
        <w:t>6</w:t>
      </w:r>
      <w:r>
        <w:rPr>
          <w:spacing w:val="-41"/>
        </w:rPr>
        <w:t xml:space="preserve"> 块；</w:t>
      </w:r>
    </w:p>
    <w:p>
      <w:pPr>
        <w:spacing w:after="0"/>
        <w:sectPr>
          <w:headerReference w:type="default" r:id="rId46"/>
          <w:footerReference w:type="default" r:id="rId47"/>
          <w:pgSz w:w="11910" w:h="16840"/>
          <w:pgMar w:top="1080" w:right="1060" w:bottom="1040" w:left="1160" w:header="700" w:footer="841"/>
          <w:pgNumType w:start="20"/>
          <w:cols w:space="708"/>
        </w:sectPr>
      </w:pPr>
    </w:p>
    <w:p>
      <w:pPr>
        <w:pStyle w:val="BodyText"/>
        <w:spacing w:before="8"/>
        <w:rPr>
          <w:sz w:val="17"/>
        </w:rPr>
      </w:pPr>
    </w:p>
    <w:p>
      <w:pPr>
        <w:pStyle w:val="BodyText"/>
        <w:spacing w:before="66" w:line="468" w:lineRule="auto"/>
        <w:ind w:left="258" w:right="355"/>
        <w:jc w:val="both"/>
      </w:pPr>
      <w:r>
        <w:rPr>
          <w:spacing w:val="-10"/>
        </w:rPr>
        <w:t>DMZ</w:t>
      </w:r>
      <w:r>
        <w:rPr>
          <w:spacing w:val="-14"/>
        </w:rPr>
        <w:t xml:space="preserve"> 区核心交换机现部署有 </w:t>
      </w:r>
      <w:r>
        <w:rPr>
          <w:spacing w:val="-10"/>
        </w:rPr>
        <w:t>2</w:t>
      </w:r>
      <w:r>
        <w:rPr>
          <w:spacing w:val="-15"/>
        </w:rPr>
        <w:t xml:space="preserve"> 台思科 </w:t>
      </w:r>
      <w:r>
        <w:rPr>
          <w:spacing w:val="-10"/>
        </w:rPr>
        <w:t>4507</w:t>
      </w:r>
      <w:r>
        <w:rPr>
          <w:spacing w:val="-21"/>
        </w:rPr>
        <w:t xml:space="preserve"> 三层交换机，各配置 </w:t>
      </w:r>
      <w:r>
        <w:rPr>
          <w:spacing w:val="-10"/>
        </w:rPr>
        <w:t>Sup</w:t>
      </w:r>
      <w:r>
        <w:rPr>
          <w:spacing w:val="-19"/>
        </w:rPr>
        <w:t xml:space="preserve"> </w:t>
      </w:r>
      <w:r>
        <w:rPr>
          <w:spacing w:val="-10"/>
        </w:rPr>
        <w:t>IV</w:t>
      </w:r>
      <w:r>
        <w:rPr>
          <w:spacing w:val="-13"/>
        </w:rPr>
        <w:t xml:space="preserve"> 引擎一块，</w:t>
      </w:r>
      <w:r>
        <w:rPr>
          <w:spacing w:val="-10"/>
        </w:rPr>
        <w:t>6</w:t>
      </w:r>
      <w:r>
        <w:rPr>
          <w:spacing w:val="-14"/>
        </w:rPr>
        <w:t xml:space="preserve"> 端口</w:t>
      </w:r>
      <w:r>
        <w:rPr>
          <w:spacing w:val="-9"/>
        </w:rPr>
        <w:t xml:space="preserve">千兆光接口板 </w:t>
      </w:r>
      <w:r>
        <w:rPr>
          <w:spacing w:val="-6"/>
        </w:rPr>
        <w:t>2</w:t>
      </w:r>
      <w:r>
        <w:rPr>
          <w:spacing w:val="-12"/>
        </w:rPr>
        <w:t xml:space="preserve"> 块、</w:t>
      </w:r>
      <w:r>
        <w:rPr>
          <w:spacing w:val="-6"/>
        </w:rPr>
        <w:t>18</w:t>
      </w:r>
      <w:r>
        <w:rPr>
          <w:spacing w:val="-12"/>
        </w:rPr>
        <w:t xml:space="preserve"> 端口千兆光接口板 </w:t>
      </w:r>
      <w:r>
        <w:rPr>
          <w:spacing w:val="-6"/>
        </w:rPr>
        <w:t>2</w:t>
      </w:r>
      <w:r>
        <w:rPr>
          <w:spacing w:val="-12"/>
        </w:rPr>
        <w:t xml:space="preserve"> 块，</w:t>
      </w:r>
      <w:r>
        <w:rPr>
          <w:spacing w:val="-6"/>
        </w:rPr>
        <w:t>48</w:t>
      </w:r>
      <w:r>
        <w:rPr>
          <w:spacing w:val="-12"/>
        </w:rPr>
        <w:t xml:space="preserve"> 端口百兆电接口板 </w:t>
      </w:r>
      <w:r>
        <w:rPr>
          <w:spacing w:val="-6"/>
        </w:rPr>
        <w:t>1</w:t>
      </w:r>
      <w:r>
        <w:rPr>
          <w:spacing w:val="-10"/>
        </w:rPr>
        <w:t xml:space="preserve"> 块；镇区外联</w:t>
      </w:r>
      <w:r>
        <w:rPr>
          <w:spacing w:val="-10"/>
        </w:rPr>
        <w:t xml:space="preserve">单位区部署有一台思科 </w:t>
      </w:r>
      <w:r>
        <w:rPr>
          <w:spacing w:val="-8"/>
        </w:rPr>
        <w:t>6506</w:t>
      </w:r>
      <w:r>
        <w:rPr>
          <w:spacing w:val="-14"/>
        </w:rPr>
        <w:t xml:space="preserve"> 及一台思科 </w:t>
      </w:r>
      <w:r>
        <w:rPr>
          <w:spacing w:val="-8"/>
        </w:rPr>
        <w:t>6509</w:t>
      </w:r>
      <w:r>
        <w:rPr>
          <w:spacing w:val="-13"/>
        </w:rPr>
        <w:t xml:space="preserve"> 三层交换机，各配置 </w:t>
      </w:r>
      <w:r>
        <w:rPr>
          <w:spacing w:val="-8"/>
        </w:rPr>
        <w:t>SUP2</w:t>
      </w:r>
      <w:r>
        <w:rPr>
          <w:spacing w:val="-18"/>
        </w:rPr>
        <w:t xml:space="preserve"> 及 </w:t>
      </w:r>
      <w:r>
        <w:rPr>
          <w:spacing w:val="-8"/>
        </w:rPr>
        <w:t>SUP720</w:t>
      </w:r>
      <w:r>
        <w:rPr>
          <w:spacing w:val="-13"/>
        </w:rPr>
        <w:t xml:space="preserve"> 引擎</w:t>
      </w:r>
      <w:r>
        <w:rPr>
          <w:spacing w:val="-7"/>
        </w:rPr>
        <w:t xml:space="preserve">一块，千兆光电接口板一批，分别提供全市 </w:t>
      </w:r>
      <w:r>
        <w:rPr>
          <w:spacing w:val="-6"/>
        </w:rPr>
        <w:t>30</w:t>
      </w:r>
      <w:r>
        <w:rPr>
          <w:spacing w:val="-11"/>
        </w:rPr>
        <w:t xml:space="preserve"> 多个镇街政府、园区管委会及 </w:t>
      </w:r>
      <w:r>
        <w:rPr>
          <w:spacing w:val="-6"/>
        </w:rPr>
        <w:t>70</w:t>
      </w:r>
      <w:r>
        <w:rPr>
          <w:spacing w:val="-11"/>
        </w:rPr>
        <w:t xml:space="preserve"> 多个委</w:t>
      </w:r>
      <w:r>
        <w:rPr>
          <w:spacing w:val="-2"/>
        </w:rPr>
        <w:t>办局单位的接入。</w:t>
      </w:r>
    </w:p>
    <w:p>
      <w:pPr>
        <w:pStyle w:val="BodyText"/>
        <w:spacing w:before="2" w:line="468" w:lineRule="auto"/>
        <w:ind w:left="258" w:right="355" w:firstLine="494"/>
        <w:jc w:val="both"/>
      </w:pPr>
      <w:r>
        <w:rPr>
          <w:spacing w:val="-6"/>
        </w:rPr>
        <w:t>为保障全市电子政务网络的稳定运行，满足全市电子政务网络未来扩展和业务发展</w:t>
      </w:r>
      <w:r>
        <w:rPr>
          <w:spacing w:val="-2"/>
        </w:rPr>
        <w:t>的需要，本次项目将采购一批网络设备，对上述的数据中心区、DMZ</w:t>
      </w:r>
      <w:r>
        <w:rPr>
          <w:spacing w:val="-4"/>
        </w:rPr>
        <w:t xml:space="preserve"> 区、镇区外联单位</w:t>
      </w:r>
      <w:r>
        <w:rPr>
          <w:spacing w:val="-3"/>
        </w:rPr>
        <w:t xml:space="preserve">区三个区域的核心设备进行升级，同时采购一批服务器接入交换机，提供给内网及 </w:t>
      </w:r>
      <w:r>
        <w:rPr>
          <w:spacing w:val="-2"/>
        </w:rPr>
        <w:t>DMZ</w:t>
      </w:r>
      <w:r>
        <w:rPr>
          <w:spacing w:val="-2"/>
        </w:rPr>
        <w:t>区域作服务器接入，并采购相应的网络管理系统、日志分析系统和相应的网络接口模块</w:t>
      </w:r>
      <w:r>
        <w:rPr>
          <w:spacing w:val="-2"/>
        </w:rPr>
        <w:t>等产品，以满足全市电子政务网络未来发展的需要。</w:t>
      </w:r>
    </w:p>
    <w:p>
      <w:pPr>
        <w:pStyle w:val="Heading4"/>
        <w:spacing w:before="61"/>
        <w:ind w:left="258" w:firstLine="0"/>
        <w:jc w:val="both"/>
      </w:pPr>
      <w:r>
        <w:rPr>
          <w:spacing w:val="-1"/>
        </w:rPr>
        <w:t>四、 项目总体要求与内容</w:t>
      </w:r>
    </w:p>
    <w:p>
      <w:pPr>
        <w:pStyle w:val="BodyText"/>
        <w:spacing w:before="9"/>
        <w:rPr>
          <w:rFonts w:ascii="Microsoft JhengHei"/>
          <w:b/>
          <w:sz w:val="17"/>
        </w:rPr>
      </w:pPr>
    </w:p>
    <w:p>
      <w:pPr>
        <w:pStyle w:val="Heading4"/>
        <w:numPr>
          <w:ilvl w:val="1"/>
          <w:numId w:val="31"/>
        </w:numPr>
        <w:tabs>
          <w:tab w:val="left" w:pos="1041"/>
        </w:tabs>
        <w:spacing w:before="1" w:after="0" w:line="240" w:lineRule="auto"/>
        <w:ind w:left="1040" w:right="0" w:hanging="363"/>
        <w:jc w:val="left"/>
      </w:pPr>
      <w:r>
        <w:rPr>
          <w:spacing w:val="2"/>
        </w:rPr>
        <w:t>、 项目建设总体要求</w:t>
      </w:r>
    </w:p>
    <w:p>
      <w:pPr>
        <w:pStyle w:val="BodyText"/>
        <w:spacing w:before="31" w:line="600" w:lineRule="atLeast"/>
        <w:ind w:left="258" w:right="235" w:firstLine="494"/>
        <w:jc w:val="both"/>
      </w:pPr>
      <w:r>
        <w:rPr>
          <w:spacing w:val="-5"/>
        </w:rPr>
        <w:t>东莞市电子政务核心网络系统承载了东莞市政务网络所有业务系统，是电子政务应</w:t>
      </w:r>
      <w:r>
        <w:rPr>
          <w:spacing w:val="-2"/>
        </w:rPr>
        <w:t>用重要的硬件基础，要求必须为各业务系统服务器及办公终端设备提供高效、稳定、安</w:t>
      </w:r>
      <w:r>
        <w:rPr>
          <w:spacing w:val="-2"/>
        </w:rPr>
        <w:t>全的接入。本项目主要内容是重构数据中心核心网络及服务器接入层网络，取代现有网</w:t>
      </w:r>
      <w:r>
        <w:rPr>
          <w:spacing w:val="-2"/>
        </w:rPr>
        <w:t>络核心系统，构建一个完全对称、稳定高速、安全可靠、并且能适应长远发展，满足未</w:t>
      </w:r>
      <w:r>
        <w:rPr>
          <w:spacing w:val="-29"/>
        </w:rPr>
        <w:t xml:space="preserve">来 </w:t>
      </w:r>
      <w:r>
        <w:rPr>
          <w:spacing w:val="-2"/>
        </w:rPr>
        <w:t>8</w:t>
      </w:r>
      <w:r>
        <w:rPr>
          <w:spacing w:val="-37"/>
        </w:rPr>
        <w:t xml:space="preserve"> 至 </w:t>
      </w:r>
      <w:r>
        <w:rPr>
          <w:spacing w:val="-2"/>
        </w:rPr>
        <w:t>10</w:t>
      </w:r>
      <w:r>
        <w:rPr>
          <w:spacing w:val="-10"/>
        </w:rPr>
        <w:t xml:space="preserve"> 年业务系统发展的网络核心平台。因此，规划和建设上必须要遵循以下原则：</w:t>
      </w:r>
    </w:p>
    <w:p>
      <w:pPr>
        <w:pStyle w:val="Heading4"/>
        <w:spacing w:before="53"/>
        <w:ind w:left="798" w:firstLine="0"/>
      </w:pPr>
      <w:r>
        <w:rPr>
          <w:spacing w:val="-4"/>
        </w:rPr>
        <w:t>高性能</w:t>
      </w:r>
    </w:p>
    <w:p>
      <w:pPr>
        <w:pStyle w:val="BodyText"/>
        <w:spacing w:before="198"/>
        <w:ind w:left="752"/>
      </w:pPr>
      <w:r>
        <w:rPr>
          <w:spacing w:val="-5"/>
        </w:rPr>
        <w:t>核心网络设备作为整个政务网络的骨干设施，网络的高可用直接影响到业务系统的</w:t>
      </w:r>
    </w:p>
    <w:p>
      <w:pPr>
        <w:pStyle w:val="BodyText"/>
        <w:spacing w:before="10"/>
        <w:rPr>
          <w:sz w:val="22"/>
        </w:rPr>
      </w:pPr>
    </w:p>
    <w:p>
      <w:pPr>
        <w:pStyle w:val="BodyText"/>
        <w:spacing w:before="1"/>
        <w:ind w:left="258"/>
      </w:pPr>
      <w:r>
        <w:rPr>
          <w:spacing w:val="-1"/>
        </w:rPr>
        <w:t>服务能力，要求必须具有高性能，以确保整个网络的服务能力。</w:t>
      </w:r>
    </w:p>
    <w:p>
      <w:pPr>
        <w:pStyle w:val="Heading4"/>
        <w:spacing w:before="53"/>
        <w:ind w:left="798" w:firstLine="0"/>
      </w:pPr>
      <w:r>
        <w:rPr>
          <w:spacing w:val="-4"/>
        </w:rPr>
        <w:t>高可靠</w:t>
      </w:r>
    </w:p>
    <w:p>
      <w:pPr>
        <w:pStyle w:val="BodyText"/>
        <w:spacing w:before="198" w:line="468" w:lineRule="auto"/>
        <w:ind w:left="258" w:right="235" w:firstLine="494"/>
      </w:pPr>
      <w:r>
        <w:rPr>
          <w:spacing w:val="-1"/>
        </w:rPr>
        <w:t xml:space="preserve">核心网络设备系统结构集成度高，要求能够长期稳定工作，保证 </w:t>
      </w:r>
      <w:r>
        <w:t>7*24</w:t>
      </w:r>
      <w:r>
        <w:rPr>
          <w:spacing w:val="-5"/>
        </w:rPr>
        <w:t xml:space="preserve"> 小时全年不</w:t>
      </w:r>
      <w:r>
        <w:rPr>
          <w:spacing w:val="-6"/>
        </w:rPr>
        <w:t>间断地稳定可靠运行，可冗余，具有容错和纠错能力，适应工作环境能力强，故障率低，</w:t>
      </w:r>
      <w:r>
        <w:rPr>
          <w:spacing w:val="-2"/>
        </w:rPr>
        <w:t>维护维修方便。</w:t>
      </w:r>
    </w:p>
    <w:p>
      <w:pPr>
        <w:spacing w:after="0" w:line="468" w:lineRule="auto"/>
        <w:sectPr>
          <w:headerReference w:type="default" r:id="rId48"/>
          <w:footerReference w:type="default" r:id="rId49"/>
          <w:pgSz w:w="11910" w:h="16840"/>
          <w:pgMar w:top="1080" w:right="1060" w:bottom="1040" w:left="1160" w:header="700" w:footer="841"/>
          <w:pgNumType w:start="21"/>
          <w:cols w:space="708"/>
        </w:sectPr>
      </w:pPr>
    </w:p>
    <w:p>
      <w:pPr>
        <w:pStyle w:val="Heading4"/>
        <w:spacing w:before="53"/>
        <w:ind w:left="798" w:firstLine="0"/>
      </w:pPr>
      <w:r>
        <w:rPr>
          <w:spacing w:val="-4"/>
        </w:rPr>
        <w:t>可扩展</w:t>
      </w:r>
    </w:p>
    <w:p>
      <w:pPr>
        <w:pStyle w:val="BodyText"/>
        <w:spacing w:before="198"/>
        <w:ind w:left="752"/>
      </w:pPr>
      <w:r>
        <w:rPr>
          <w:spacing w:val="-5"/>
        </w:rPr>
        <w:t>随着网络规模和业务系统的不断扩展和变化，核心网络系统必须能够适应网络和业</w:t>
      </w:r>
    </w:p>
    <w:p>
      <w:pPr>
        <w:pStyle w:val="BodyText"/>
        <w:spacing w:before="10"/>
        <w:rPr>
          <w:sz w:val="22"/>
        </w:rPr>
      </w:pPr>
    </w:p>
    <w:p>
      <w:pPr>
        <w:pStyle w:val="BodyText"/>
        <w:spacing w:before="1"/>
        <w:ind w:left="258"/>
      </w:pPr>
      <w:r>
        <w:rPr>
          <w:spacing w:val="-1"/>
        </w:rPr>
        <w:t>务系统的调整，要求具备良好的扩展性和互通性，支持新增业务的快速部署。</w:t>
      </w:r>
    </w:p>
    <w:p>
      <w:pPr>
        <w:pStyle w:val="Heading4"/>
        <w:spacing w:before="53"/>
        <w:ind w:left="798" w:firstLine="0"/>
      </w:pPr>
      <w:r>
        <w:rPr>
          <w:spacing w:val="-4"/>
        </w:rPr>
        <w:t>标准化</w:t>
      </w:r>
    </w:p>
    <w:p>
      <w:pPr>
        <w:pStyle w:val="BodyText"/>
        <w:spacing w:before="198" w:line="468" w:lineRule="auto"/>
        <w:ind w:left="258" w:right="188" w:firstLine="494"/>
      </w:pPr>
      <w:r>
        <w:rPr>
          <w:spacing w:val="-2"/>
        </w:rPr>
        <w:t>系统设计应严格按照国际和国家标准设计。具体包括：遵循标准的整体协议框架，</w:t>
      </w:r>
      <w:r>
        <w:rPr>
          <w:spacing w:val="-2"/>
        </w:rPr>
        <w:t>系统具有较高的兼容性，能够与其它国内外主流厂家的网络设备系统平滑级联或互通。</w:t>
      </w:r>
      <w:r>
        <w:rPr>
          <w:spacing w:val="-8"/>
        </w:rPr>
        <w:t>东莞市电子政务网络作为一个网络服务平台，网络内存在多个厂商各种型号的网络设备，</w:t>
      </w:r>
      <w:r>
        <w:rPr>
          <w:spacing w:val="-2"/>
        </w:rPr>
        <w:t>因此要求采购的设备都要采用业界主流的网络技术和标准化产品，核心网络设备能提供</w:t>
      </w:r>
    </w:p>
    <w:p>
      <w:pPr>
        <w:pStyle w:val="BodyText"/>
        <w:spacing w:before="1"/>
        <w:ind w:left="258"/>
      </w:pPr>
      <w:r>
        <w:rPr>
          <w:spacing w:val="-1"/>
        </w:rPr>
        <w:t>良好的兼容能力，新增设备能最大化地利旧使用现有网络设备。</w:t>
      </w:r>
    </w:p>
    <w:p>
      <w:pPr>
        <w:pStyle w:val="Heading4"/>
        <w:spacing w:before="53"/>
        <w:ind w:left="798" w:firstLine="0"/>
      </w:pPr>
      <w:r>
        <w:rPr>
          <w:spacing w:val="-4"/>
        </w:rPr>
        <w:t>易管理</w:t>
      </w:r>
    </w:p>
    <w:p>
      <w:pPr>
        <w:pStyle w:val="BodyText"/>
        <w:spacing w:before="198" w:line="468" w:lineRule="auto"/>
        <w:ind w:left="258" w:right="355" w:firstLine="494"/>
        <w:jc w:val="both"/>
      </w:pPr>
      <w:r>
        <w:rPr>
          <w:spacing w:val="-2"/>
        </w:rPr>
        <w:t>东莞市电子政务网络设备数量较多，各种协议和应用部署复杂，对运维人员的技术</w:t>
      </w:r>
      <w:r>
        <w:rPr>
          <w:spacing w:val="-2"/>
        </w:rPr>
        <w:t>要求较高，单独依赖运维人员个人的日常管理，无法保证运行的持续性。因此要求核心</w:t>
      </w:r>
      <w:r>
        <w:rPr>
          <w:spacing w:val="-2"/>
        </w:rPr>
        <w:t>网络设备能提供自动化的网络运维管理和设备日志分析工具，对核心网络资源进行全面</w:t>
      </w:r>
      <w:r>
        <w:rPr>
          <w:spacing w:val="-2"/>
        </w:rPr>
        <w:t>监控和管理，减少日常运维的人为故障，同时一旦出现故障能够借助工具直观、快速定</w:t>
      </w:r>
      <w:r>
        <w:rPr>
          <w:spacing w:val="-6"/>
        </w:rPr>
        <w:t>位。</w:t>
      </w:r>
    </w:p>
    <w:p>
      <w:pPr>
        <w:pStyle w:val="BodyText"/>
        <w:spacing w:before="6"/>
        <w:rPr>
          <w:sz w:val="28"/>
        </w:rPr>
      </w:pPr>
    </w:p>
    <w:p>
      <w:pPr>
        <w:pStyle w:val="Heading4"/>
        <w:numPr>
          <w:ilvl w:val="1"/>
          <w:numId w:val="11"/>
        </w:numPr>
        <w:tabs>
          <w:tab w:val="left" w:pos="1041"/>
        </w:tabs>
        <w:spacing w:before="0" w:after="0" w:line="240" w:lineRule="auto"/>
        <w:ind w:left="1040" w:right="0" w:hanging="363"/>
        <w:jc w:val="left"/>
      </w:pPr>
      <w:r>
        <w:rPr>
          <w:spacing w:val="4"/>
        </w:rPr>
        <w:t>、 项目建设内容</w:t>
      </w:r>
    </w:p>
    <w:p>
      <w:pPr>
        <w:pStyle w:val="BodyText"/>
        <w:spacing w:before="10"/>
        <w:rPr>
          <w:rFonts w:ascii="Microsoft JhengHei"/>
          <w:b/>
          <w:sz w:val="4"/>
        </w:rPr>
      </w:pPr>
    </w:p>
    <w:tbl>
      <w:tblPr>
        <w:tblStyle w:val="TableNormal5"/>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7"/>
        <w:gridCol w:w="1985"/>
        <w:gridCol w:w="851"/>
        <w:gridCol w:w="850"/>
        <w:gridCol w:w="4677"/>
      </w:tblGrid>
      <w:tr>
        <w:tblPrEx>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817" w:type="dxa"/>
          </w:tcPr>
          <w:p>
            <w:pPr>
              <w:pStyle w:val="TableParagraph"/>
              <w:spacing w:before="3"/>
              <w:ind w:left="153" w:right="144"/>
              <w:jc w:val="center"/>
              <w:rPr>
                <w:rFonts w:ascii="Microsoft JhengHei" w:eastAsia="Microsoft JhengHei"/>
                <w:b/>
                <w:sz w:val="24"/>
              </w:rPr>
            </w:pPr>
            <w:r>
              <w:rPr>
                <w:rFonts w:ascii="Microsoft JhengHei" w:eastAsia="Microsoft JhengHei"/>
                <w:b/>
                <w:spacing w:val="-5"/>
                <w:sz w:val="24"/>
              </w:rPr>
              <w:t>序号</w:t>
            </w:r>
          </w:p>
        </w:tc>
        <w:tc>
          <w:tcPr>
            <w:tcW w:w="1985" w:type="dxa"/>
          </w:tcPr>
          <w:p>
            <w:pPr>
              <w:pStyle w:val="TableParagraph"/>
              <w:spacing w:before="3"/>
              <w:ind w:left="94" w:right="85"/>
              <w:jc w:val="center"/>
              <w:rPr>
                <w:rFonts w:ascii="Microsoft JhengHei" w:eastAsia="Microsoft JhengHei"/>
                <w:b/>
                <w:sz w:val="24"/>
              </w:rPr>
            </w:pPr>
            <w:r>
              <w:rPr>
                <w:rFonts w:ascii="Microsoft JhengHei" w:eastAsia="Microsoft JhengHei"/>
                <w:b/>
                <w:spacing w:val="-3"/>
                <w:sz w:val="24"/>
              </w:rPr>
              <w:t>物品名称</w:t>
            </w:r>
          </w:p>
        </w:tc>
        <w:tc>
          <w:tcPr>
            <w:tcW w:w="851" w:type="dxa"/>
          </w:tcPr>
          <w:p>
            <w:pPr>
              <w:pStyle w:val="TableParagraph"/>
              <w:spacing w:before="3"/>
              <w:ind w:left="170" w:right="161"/>
              <w:jc w:val="center"/>
              <w:rPr>
                <w:rFonts w:ascii="Microsoft JhengHei" w:eastAsia="Microsoft JhengHei"/>
                <w:b/>
                <w:sz w:val="24"/>
              </w:rPr>
            </w:pPr>
            <w:r>
              <w:rPr>
                <w:rFonts w:ascii="Microsoft JhengHei" w:eastAsia="Microsoft JhengHei"/>
                <w:b/>
                <w:spacing w:val="-5"/>
                <w:sz w:val="24"/>
              </w:rPr>
              <w:t>数量</w:t>
            </w:r>
          </w:p>
        </w:tc>
        <w:tc>
          <w:tcPr>
            <w:tcW w:w="850" w:type="dxa"/>
          </w:tcPr>
          <w:p>
            <w:pPr>
              <w:pStyle w:val="TableParagraph"/>
              <w:spacing w:before="3"/>
              <w:ind w:left="169" w:right="160"/>
              <w:jc w:val="center"/>
              <w:rPr>
                <w:rFonts w:ascii="Microsoft JhengHei" w:eastAsia="Microsoft JhengHei"/>
                <w:b/>
                <w:sz w:val="24"/>
              </w:rPr>
            </w:pPr>
            <w:r>
              <w:rPr>
                <w:rFonts w:ascii="Microsoft JhengHei" w:eastAsia="Microsoft JhengHei"/>
                <w:b/>
                <w:spacing w:val="-5"/>
                <w:sz w:val="24"/>
              </w:rPr>
              <w:t>单位</w:t>
            </w:r>
          </w:p>
        </w:tc>
        <w:tc>
          <w:tcPr>
            <w:tcW w:w="4677" w:type="dxa"/>
          </w:tcPr>
          <w:p>
            <w:pPr>
              <w:pStyle w:val="TableParagraph"/>
              <w:spacing w:before="3"/>
              <w:ind w:left="109" w:right="100"/>
              <w:jc w:val="center"/>
              <w:rPr>
                <w:rFonts w:ascii="Microsoft JhengHei" w:eastAsia="Microsoft JhengHei"/>
                <w:b/>
                <w:sz w:val="24"/>
              </w:rPr>
            </w:pPr>
            <w:r>
              <w:rPr>
                <w:rFonts w:ascii="Microsoft JhengHei" w:eastAsia="Microsoft JhengHei"/>
                <w:b/>
                <w:spacing w:val="-3"/>
                <w:sz w:val="24"/>
              </w:rPr>
              <w:t>采购要求</w:t>
            </w:r>
          </w:p>
        </w:tc>
      </w:tr>
      <w:tr>
        <w:tblPrEx>
          <w:tblW w:w="0" w:type="auto"/>
          <w:jc w:val="left"/>
          <w:tblInd w:w="155" w:type="dxa"/>
          <w:tblLayout w:type="fixed"/>
          <w:tblCellMar>
            <w:top w:w="0" w:type="dxa"/>
            <w:left w:w="0" w:type="dxa"/>
            <w:bottom w:w="0" w:type="dxa"/>
            <w:right w:w="0" w:type="dxa"/>
          </w:tblCellMar>
          <w:tblLook w:val="01E0"/>
        </w:tblPrEx>
        <w:trPr>
          <w:trHeight w:val="935"/>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1</w:t>
            </w:r>
          </w:p>
        </w:tc>
        <w:tc>
          <w:tcPr>
            <w:tcW w:w="1985" w:type="dxa"/>
          </w:tcPr>
          <w:p>
            <w:pPr>
              <w:pStyle w:val="TableParagraph"/>
              <w:spacing w:before="82"/>
              <w:ind w:left="107"/>
              <w:rPr>
                <w:sz w:val="24"/>
              </w:rPr>
            </w:pPr>
            <w:r>
              <w:rPr>
                <w:spacing w:val="-2"/>
                <w:sz w:val="24"/>
              </w:rPr>
              <w:t>数据中心核心交</w:t>
            </w:r>
          </w:p>
          <w:p>
            <w:pPr>
              <w:pStyle w:val="TableParagraph"/>
              <w:spacing w:before="160"/>
              <w:ind w:left="107"/>
              <w:rPr>
                <w:sz w:val="24"/>
              </w:rPr>
            </w:pPr>
            <w:r>
              <w:rPr>
                <w:spacing w:val="-5"/>
                <w:sz w:val="24"/>
              </w:rPr>
              <w:t>换机</w:t>
            </w:r>
          </w:p>
        </w:tc>
        <w:tc>
          <w:tcPr>
            <w:tcW w:w="851" w:type="dxa"/>
          </w:tcPr>
          <w:p>
            <w:pPr>
              <w:pStyle w:val="TableParagraph"/>
              <w:spacing w:before="3"/>
              <w:rPr>
                <w:rFonts w:ascii="Microsoft JhengHei"/>
                <w:b/>
                <w:sz w:val="17"/>
              </w:rPr>
            </w:pPr>
          </w:p>
          <w:p>
            <w:pPr>
              <w:pStyle w:val="TableParagraph"/>
              <w:ind w:left="10"/>
              <w:jc w:val="center"/>
              <w:rPr>
                <w:sz w:val="24"/>
              </w:rPr>
            </w:pPr>
            <w:r>
              <w:rPr>
                <w:sz w:val="24"/>
              </w:rPr>
              <w:t>2</w:t>
            </w:r>
          </w:p>
        </w:tc>
        <w:tc>
          <w:tcPr>
            <w:tcW w:w="850" w:type="dxa"/>
          </w:tcPr>
          <w:p>
            <w:pPr>
              <w:pStyle w:val="TableParagraph"/>
              <w:spacing w:before="3"/>
              <w:rPr>
                <w:rFonts w:ascii="Microsoft JhengHei"/>
                <w:b/>
                <w:sz w:val="17"/>
              </w:rPr>
            </w:pPr>
          </w:p>
          <w:p>
            <w:pPr>
              <w:pStyle w:val="TableParagraph"/>
              <w:ind w:left="9"/>
              <w:jc w:val="center"/>
              <w:rPr>
                <w:sz w:val="24"/>
              </w:rPr>
            </w:pPr>
            <w:r>
              <w:rPr>
                <w:sz w:val="24"/>
              </w:rPr>
              <w:t>套</w:t>
            </w:r>
          </w:p>
        </w:tc>
        <w:tc>
          <w:tcPr>
            <w:tcW w:w="4677" w:type="dxa"/>
          </w:tcPr>
          <w:p>
            <w:pPr>
              <w:pStyle w:val="TableParagraph"/>
              <w:spacing w:before="82"/>
              <w:ind w:left="107"/>
              <w:rPr>
                <w:sz w:val="24"/>
              </w:rPr>
            </w:pPr>
            <w:r>
              <w:rPr>
                <w:spacing w:val="-7"/>
                <w:sz w:val="24"/>
              </w:rPr>
              <w:t>详见用户需求书：数据中心核心交换机技术</w:t>
            </w:r>
          </w:p>
          <w:p>
            <w:pPr>
              <w:pStyle w:val="TableParagraph"/>
              <w:spacing w:before="160"/>
              <w:ind w:left="107"/>
              <w:rPr>
                <w:sz w:val="24"/>
              </w:rPr>
            </w:pPr>
            <w:r>
              <w:rPr>
                <w:spacing w:val="-5"/>
                <w:sz w:val="24"/>
              </w:rPr>
              <w:t>要求</w:t>
            </w:r>
          </w:p>
        </w:tc>
      </w:tr>
      <w:tr>
        <w:tblPrEx>
          <w:tblW w:w="0" w:type="auto"/>
          <w:jc w:val="left"/>
          <w:tblInd w:w="155" w:type="dxa"/>
          <w:tblLayout w:type="fixed"/>
          <w:tblCellMar>
            <w:top w:w="0" w:type="dxa"/>
            <w:left w:w="0" w:type="dxa"/>
            <w:bottom w:w="0" w:type="dxa"/>
            <w:right w:w="0" w:type="dxa"/>
          </w:tblCellMar>
          <w:tblLook w:val="01E0"/>
        </w:tblPrEx>
        <w:trPr>
          <w:trHeight w:val="468"/>
          <w:jc w:val="left"/>
        </w:trPr>
        <w:tc>
          <w:tcPr>
            <w:tcW w:w="817" w:type="dxa"/>
          </w:tcPr>
          <w:p>
            <w:pPr>
              <w:pStyle w:val="TableParagraph"/>
              <w:spacing w:before="82"/>
              <w:ind w:left="10"/>
              <w:jc w:val="center"/>
              <w:rPr>
                <w:sz w:val="24"/>
              </w:rPr>
            </w:pPr>
            <w:r>
              <w:rPr>
                <w:sz w:val="24"/>
              </w:rPr>
              <w:t>2</w:t>
            </w:r>
          </w:p>
        </w:tc>
        <w:tc>
          <w:tcPr>
            <w:tcW w:w="1985" w:type="dxa"/>
          </w:tcPr>
          <w:p>
            <w:pPr>
              <w:pStyle w:val="TableParagraph"/>
              <w:spacing w:before="82"/>
              <w:ind w:left="94" w:right="232"/>
              <w:jc w:val="center"/>
              <w:rPr>
                <w:sz w:val="24"/>
              </w:rPr>
            </w:pPr>
            <w:r>
              <w:rPr>
                <w:sz w:val="24"/>
              </w:rPr>
              <w:t>DMZ</w:t>
            </w:r>
            <w:r>
              <w:rPr>
                <w:spacing w:val="-12"/>
                <w:sz w:val="24"/>
              </w:rPr>
              <w:t xml:space="preserve"> 核心交换机</w:t>
            </w:r>
          </w:p>
        </w:tc>
        <w:tc>
          <w:tcPr>
            <w:tcW w:w="851" w:type="dxa"/>
          </w:tcPr>
          <w:p>
            <w:pPr>
              <w:pStyle w:val="TableParagraph"/>
              <w:spacing w:before="82"/>
              <w:ind w:left="10"/>
              <w:jc w:val="center"/>
              <w:rPr>
                <w:sz w:val="24"/>
              </w:rPr>
            </w:pPr>
            <w:r>
              <w:rPr>
                <w:sz w:val="24"/>
              </w:rPr>
              <w:t>2</w:t>
            </w:r>
          </w:p>
        </w:tc>
        <w:tc>
          <w:tcPr>
            <w:tcW w:w="850" w:type="dxa"/>
          </w:tcPr>
          <w:p>
            <w:pPr>
              <w:pStyle w:val="TableParagraph"/>
              <w:spacing w:before="82"/>
              <w:ind w:left="9"/>
              <w:jc w:val="center"/>
              <w:rPr>
                <w:sz w:val="24"/>
              </w:rPr>
            </w:pPr>
            <w:r>
              <w:rPr>
                <w:sz w:val="24"/>
              </w:rPr>
              <w:t>套</w:t>
            </w:r>
          </w:p>
        </w:tc>
        <w:tc>
          <w:tcPr>
            <w:tcW w:w="4677" w:type="dxa"/>
          </w:tcPr>
          <w:p>
            <w:pPr>
              <w:pStyle w:val="TableParagraph"/>
              <w:spacing w:before="82"/>
              <w:ind w:left="110" w:right="100"/>
              <w:jc w:val="center"/>
              <w:rPr>
                <w:sz w:val="24"/>
              </w:rPr>
            </w:pPr>
            <w:r>
              <w:rPr>
                <w:spacing w:val="-4"/>
                <w:sz w:val="24"/>
              </w:rPr>
              <w:t>详见用户需求书：DMZ</w:t>
            </w:r>
            <w:r>
              <w:rPr>
                <w:spacing w:val="-10"/>
                <w:sz w:val="24"/>
              </w:rPr>
              <w:t xml:space="preserve"> 核心交换机技术要求</w:t>
            </w:r>
          </w:p>
        </w:tc>
      </w:tr>
      <w:tr>
        <w:tblPrEx>
          <w:tblW w:w="0" w:type="auto"/>
          <w:jc w:val="left"/>
          <w:tblInd w:w="155" w:type="dxa"/>
          <w:tblLayout w:type="fixed"/>
          <w:tblCellMar>
            <w:top w:w="0" w:type="dxa"/>
            <w:left w:w="0" w:type="dxa"/>
            <w:bottom w:w="0" w:type="dxa"/>
            <w:right w:w="0" w:type="dxa"/>
          </w:tblCellMar>
          <w:tblLook w:val="01E0"/>
        </w:tblPrEx>
        <w:trPr>
          <w:trHeight w:val="935"/>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3</w:t>
            </w:r>
          </w:p>
        </w:tc>
        <w:tc>
          <w:tcPr>
            <w:tcW w:w="1985" w:type="dxa"/>
          </w:tcPr>
          <w:p>
            <w:pPr>
              <w:pStyle w:val="TableParagraph"/>
              <w:spacing w:before="82"/>
              <w:ind w:left="107"/>
              <w:rPr>
                <w:sz w:val="24"/>
              </w:rPr>
            </w:pPr>
            <w:r>
              <w:rPr>
                <w:spacing w:val="-2"/>
                <w:sz w:val="24"/>
              </w:rPr>
              <w:t>外联单位接入交</w:t>
            </w:r>
          </w:p>
          <w:p>
            <w:pPr>
              <w:pStyle w:val="TableParagraph"/>
              <w:spacing w:before="160"/>
              <w:ind w:left="107"/>
              <w:rPr>
                <w:sz w:val="24"/>
              </w:rPr>
            </w:pPr>
            <w:r>
              <w:rPr>
                <w:spacing w:val="-5"/>
                <w:sz w:val="24"/>
              </w:rPr>
              <w:t>换机</w:t>
            </w:r>
          </w:p>
        </w:tc>
        <w:tc>
          <w:tcPr>
            <w:tcW w:w="851" w:type="dxa"/>
          </w:tcPr>
          <w:p>
            <w:pPr>
              <w:pStyle w:val="TableParagraph"/>
              <w:spacing w:before="3"/>
              <w:rPr>
                <w:rFonts w:ascii="Microsoft JhengHei"/>
                <w:b/>
                <w:sz w:val="17"/>
              </w:rPr>
            </w:pPr>
          </w:p>
          <w:p>
            <w:pPr>
              <w:pStyle w:val="TableParagraph"/>
              <w:ind w:left="10"/>
              <w:jc w:val="center"/>
              <w:rPr>
                <w:sz w:val="24"/>
              </w:rPr>
            </w:pPr>
            <w:r>
              <w:rPr>
                <w:sz w:val="24"/>
              </w:rPr>
              <w:t>2</w:t>
            </w:r>
          </w:p>
        </w:tc>
        <w:tc>
          <w:tcPr>
            <w:tcW w:w="850" w:type="dxa"/>
          </w:tcPr>
          <w:p>
            <w:pPr>
              <w:pStyle w:val="TableParagraph"/>
              <w:spacing w:before="3"/>
              <w:rPr>
                <w:rFonts w:ascii="Microsoft JhengHei"/>
                <w:b/>
                <w:sz w:val="17"/>
              </w:rPr>
            </w:pPr>
          </w:p>
          <w:p>
            <w:pPr>
              <w:pStyle w:val="TableParagraph"/>
              <w:ind w:left="9"/>
              <w:jc w:val="center"/>
              <w:rPr>
                <w:sz w:val="24"/>
              </w:rPr>
            </w:pPr>
            <w:r>
              <w:rPr>
                <w:sz w:val="24"/>
              </w:rPr>
              <w:t>套</w:t>
            </w:r>
          </w:p>
        </w:tc>
        <w:tc>
          <w:tcPr>
            <w:tcW w:w="4677" w:type="dxa"/>
          </w:tcPr>
          <w:p>
            <w:pPr>
              <w:pStyle w:val="TableParagraph"/>
              <w:spacing w:before="82"/>
              <w:ind w:left="107"/>
              <w:rPr>
                <w:sz w:val="24"/>
              </w:rPr>
            </w:pPr>
            <w:r>
              <w:rPr>
                <w:spacing w:val="-7"/>
                <w:sz w:val="24"/>
              </w:rPr>
              <w:t>详见用户需求书：外联单位接入交换机技术</w:t>
            </w:r>
          </w:p>
          <w:p>
            <w:pPr>
              <w:pStyle w:val="TableParagraph"/>
              <w:spacing w:before="160"/>
              <w:ind w:left="107"/>
              <w:rPr>
                <w:sz w:val="24"/>
              </w:rPr>
            </w:pPr>
            <w:r>
              <w:rPr>
                <w:spacing w:val="-5"/>
                <w:sz w:val="24"/>
              </w:rPr>
              <w:t>要求</w:t>
            </w:r>
          </w:p>
        </w:tc>
      </w:tr>
      <w:tr>
        <w:tblPrEx>
          <w:tblW w:w="0" w:type="auto"/>
          <w:jc w:val="left"/>
          <w:tblInd w:w="155" w:type="dxa"/>
          <w:tblLayout w:type="fixed"/>
          <w:tblCellMar>
            <w:top w:w="0" w:type="dxa"/>
            <w:left w:w="0" w:type="dxa"/>
            <w:bottom w:w="0" w:type="dxa"/>
            <w:right w:w="0" w:type="dxa"/>
          </w:tblCellMar>
          <w:tblLook w:val="01E0"/>
        </w:tblPrEx>
        <w:trPr>
          <w:trHeight w:val="936"/>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4</w:t>
            </w:r>
          </w:p>
        </w:tc>
        <w:tc>
          <w:tcPr>
            <w:tcW w:w="1985" w:type="dxa"/>
          </w:tcPr>
          <w:p>
            <w:pPr>
              <w:pStyle w:val="TableParagraph"/>
              <w:spacing w:before="82"/>
              <w:ind w:left="107"/>
              <w:rPr>
                <w:sz w:val="24"/>
              </w:rPr>
            </w:pPr>
            <w:r>
              <w:rPr>
                <w:spacing w:val="-2"/>
                <w:sz w:val="24"/>
              </w:rPr>
              <w:t>万兆光接口服务</w:t>
            </w:r>
          </w:p>
          <w:p>
            <w:pPr>
              <w:pStyle w:val="TableParagraph"/>
              <w:spacing w:before="160"/>
              <w:ind w:left="107"/>
              <w:rPr>
                <w:sz w:val="24"/>
              </w:rPr>
            </w:pPr>
            <w:r>
              <w:rPr>
                <w:spacing w:val="-2"/>
                <w:sz w:val="24"/>
              </w:rPr>
              <w:t>器接入交换机</w:t>
            </w:r>
          </w:p>
        </w:tc>
        <w:tc>
          <w:tcPr>
            <w:tcW w:w="851" w:type="dxa"/>
          </w:tcPr>
          <w:p>
            <w:pPr>
              <w:pStyle w:val="TableParagraph"/>
              <w:spacing w:before="3"/>
              <w:rPr>
                <w:rFonts w:ascii="Microsoft JhengHei"/>
                <w:b/>
                <w:sz w:val="17"/>
              </w:rPr>
            </w:pPr>
          </w:p>
          <w:p>
            <w:pPr>
              <w:pStyle w:val="TableParagraph"/>
              <w:ind w:left="10"/>
              <w:jc w:val="center"/>
              <w:rPr>
                <w:sz w:val="24"/>
              </w:rPr>
            </w:pPr>
            <w:r>
              <w:rPr>
                <w:sz w:val="24"/>
              </w:rPr>
              <w:t>8</w:t>
            </w:r>
          </w:p>
        </w:tc>
        <w:tc>
          <w:tcPr>
            <w:tcW w:w="850" w:type="dxa"/>
          </w:tcPr>
          <w:p>
            <w:pPr>
              <w:pStyle w:val="TableParagraph"/>
              <w:spacing w:before="3"/>
              <w:rPr>
                <w:rFonts w:ascii="Microsoft JhengHei"/>
                <w:b/>
                <w:sz w:val="17"/>
              </w:rPr>
            </w:pPr>
          </w:p>
          <w:p>
            <w:pPr>
              <w:pStyle w:val="TableParagraph"/>
              <w:ind w:left="9"/>
              <w:jc w:val="center"/>
              <w:rPr>
                <w:sz w:val="24"/>
              </w:rPr>
            </w:pPr>
            <w:r>
              <w:rPr>
                <w:sz w:val="24"/>
              </w:rPr>
              <w:t>套</w:t>
            </w:r>
          </w:p>
        </w:tc>
        <w:tc>
          <w:tcPr>
            <w:tcW w:w="4677" w:type="dxa"/>
          </w:tcPr>
          <w:p>
            <w:pPr>
              <w:pStyle w:val="TableParagraph"/>
              <w:spacing w:before="82"/>
              <w:ind w:left="107"/>
              <w:rPr>
                <w:sz w:val="24"/>
              </w:rPr>
            </w:pPr>
            <w:r>
              <w:rPr>
                <w:spacing w:val="-7"/>
                <w:sz w:val="24"/>
              </w:rPr>
              <w:t>详见用户需求书：万兆光接口服务器接入交</w:t>
            </w:r>
          </w:p>
          <w:p>
            <w:pPr>
              <w:pStyle w:val="TableParagraph"/>
              <w:spacing w:before="160"/>
              <w:ind w:left="107"/>
              <w:rPr>
                <w:sz w:val="24"/>
              </w:rPr>
            </w:pPr>
            <w:r>
              <w:rPr>
                <w:spacing w:val="-2"/>
                <w:sz w:val="24"/>
              </w:rPr>
              <w:t>换机技术要求</w:t>
            </w:r>
          </w:p>
        </w:tc>
      </w:tr>
      <w:tr>
        <w:tblPrEx>
          <w:tblW w:w="0" w:type="auto"/>
          <w:jc w:val="left"/>
          <w:tblInd w:w="155" w:type="dxa"/>
          <w:tblLayout w:type="fixed"/>
          <w:tblCellMar>
            <w:top w:w="0" w:type="dxa"/>
            <w:left w:w="0" w:type="dxa"/>
            <w:bottom w:w="0" w:type="dxa"/>
            <w:right w:w="0" w:type="dxa"/>
          </w:tblCellMar>
          <w:tblLook w:val="01E0"/>
        </w:tblPrEx>
        <w:trPr>
          <w:trHeight w:val="936"/>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5</w:t>
            </w:r>
          </w:p>
        </w:tc>
        <w:tc>
          <w:tcPr>
            <w:tcW w:w="1985" w:type="dxa"/>
          </w:tcPr>
          <w:p>
            <w:pPr>
              <w:pStyle w:val="TableParagraph"/>
              <w:spacing w:before="82"/>
              <w:ind w:left="107"/>
              <w:rPr>
                <w:sz w:val="24"/>
              </w:rPr>
            </w:pPr>
            <w:r>
              <w:rPr>
                <w:spacing w:val="-2"/>
                <w:sz w:val="24"/>
              </w:rPr>
              <w:t>千兆服务器接入</w:t>
            </w:r>
          </w:p>
          <w:p>
            <w:pPr>
              <w:pStyle w:val="TableParagraph"/>
              <w:spacing w:before="160"/>
              <w:ind w:left="107"/>
              <w:rPr>
                <w:sz w:val="24"/>
              </w:rPr>
            </w:pPr>
            <w:r>
              <w:rPr>
                <w:spacing w:val="-4"/>
                <w:sz w:val="24"/>
              </w:rPr>
              <w:t>交换机</w:t>
            </w:r>
          </w:p>
        </w:tc>
        <w:tc>
          <w:tcPr>
            <w:tcW w:w="851" w:type="dxa"/>
          </w:tcPr>
          <w:p>
            <w:pPr>
              <w:pStyle w:val="TableParagraph"/>
              <w:spacing w:before="3"/>
              <w:rPr>
                <w:rFonts w:ascii="Microsoft JhengHei"/>
                <w:b/>
                <w:sz w:val="17"/>
              </w:rPr>
            </w:pPr>
          </w:p>
          <w:p>
            <w:pPr>
              <w:pStyle w:val="TableParagraph"/>
              <w:ind w:left="170" w:right="160"/>
              <w:jc w:val="center"/>
              <w:rPr>
                <w:sz w:val="24"/>
              </w:rPr>
            </w:pPr>
            <w:r>
              <w:rPr>
                <w:spacing w:val="-5"/>
                <w:sz w:val="24"/>
              </w:rPr>
              <w:t>50</w:t>
            </w:r>
          </w:p>
        </w:tc>
        <w:tc>
          <w:tcPr>
            <w:tcW w:w="850" w:type="dxa"/>
          </w:tcPr>
          <w:p>
            <w:pPr>
              <w:pStyle w:val="TableParagraph"/>
              <w:spacing w:before="3"/>
              <w:rPr>
                <w:rFonts w:ascii="Microsoft JhengHei"/>
                <w:b/>
                <w:sz w:val="17"/>
              </w:rPr>
            </w:pPr>
          </w:p>
          <w:p>
            <w:pPr>
              <w:pStyle w:val="TableParagraph"/>
              <w:ind w:left="9"/>
              <w:jc w:val="center"/>
              <w:rPr>
                <w:sz w:val="24"/>
              </w:rPr>
            </w:pPr>
            <w:r>
              <w:rPr>
                <w:sz w:val="24"/>
              </w:rPr>
              <w:t>套</w:t>
            </w:r>
          </w:p>
        </w:tc>
        <w:tc>
          <w:tcPr>
            <w:tcW w:w="4677" w:type="dxa"/>
          </w:tcPr>
          <w:p>
            <w:pPr>
              <w:pStyle w:val="TableParagraph"/>
              <w:spacing w:before="82"/>
              <w:ind w:left="107"/>
              <w:rPr>
                <w:sz w:val="24"/>
              </w:rPr>
            </w:pPr>
            <w:r>
              <w:rPr>
                <w:spacing w:val="-7"/>
                <w:sz w:val="24"/>
              </w:rPr>
              <w:t>详见用户需求书：千兆服务器接入交换机技</w:t>
            </w:r>
          </w:p>
          <w:p>
            <w:pPr>
              <w:pStyle w:val="TableParagraph"/>
              <w:spacing w:before="160"/>
              <w:ind w:left="107"/>
              <w:rPr>
                <w:sz w:val="24"/>
              </w:rPr>
            </w:pPr>
            <w:r>
              <w:rPr>
                <w:spacing w:val="-4"/>
                <w:sz w:val="24"/>
              </w:rPr>
              <w:t>术要求</w:t>
            </w:r>
          </w:p>
        </w:tc>
      </w:tr>
    </w:tbl>
    <w:p>
      <w:pPr>
        <w:spacing w:after="0"/>
        <w:rPr>
          <w:sz w:val="24"/>
        </w:rPr>
        <w:sectPr>
          <w:headerReference w:type="default" r:id="rId50"/>
          <w:footerReference w:type="default" r:id="rId51"/>
          <w:pgSz w:w="11910" w:h="16840"/>
          <w:pgMar w:top="1080" w:right="1060" w:bottom="1040" w:left="1160" w:header="700" w:footer="841"/>
          <w:pgNumType w:start="22"/>
          <w:cols w:space="708"/>
        </w:sectPr>
      </w:pPr>
    </w:p>
    <w:p>
      <w:pPr>
        <w:pStyle w:val="BodyText"/>
        <w:spacing w:before="15"/>
        <w:rPr>
          <w:rFonts w:ascii="Microsoft JhengHei"/>
          <w:b/>
          <w:sz w:val="2"/>
        </w:rPr>
      </w:pPr>
    </w:p>
    <w:tbl>
      <w:tblPr>
        <w:tblStyle w:val="TableNormal6"/>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7"/>
        <w:gridCol w:w="1985"/>
        <w:gridCol w:w="851"/>
        <w:gridCol w:w="850"/>
        <w:gridCol w:w="4677"/>
      </w:tblGrid>
      <w:tr>
        <w:tblPrEx>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817" w:type="dxa"/>
          </w:tcPr>
          <w:p>
            <w:pPr>
              <w:pStyle w:val="TableParagraph"/>
              <w:spacing w:before="82"/>
              <w:ind w:right="336"/>
              <w:jc w:val="right"/>
              <w:rPr>
                <w:sz w:val="24"/>
              </w:rPr>
            </w:pPr>
            <w:r>
              <w:rPr>
                <w:sz w:val="24"/>
              </w:rPr>
              <w:t>6</w:t>
            </w:r>
          </w:p>
        </w:tc>
        <w:tc>
          <w:tcPr>
            <w:tcW w:w="1985" w:type="dxa"/>
          </w:tcPr>
          <w:p>
            <w:pPr>
              <w:pStyle w:val="TableParagraph"/>
              <w:spacing w:before="82"/>
              <w:ind w:left="107"/>
              <w:rPr>
                <w:sz w:val="24"/>
              </w:rPr>
            </w:pPr>
            <w:r>
              <w:rPr>
                <w:spacing w:val="-2"/>
                <w:sz w:val="24"/>
              </w:rPr>
              <w:t>通用网管软件</w:t>
            </w:r>
          </w:p>
        </w:tc>
        <w:tc>
          <w:tcPr>
            <w:tcW w:w="851" w:type="dxa"/>
          </w:tcPr>
          <w:p>
            <w:pPr>
              <w:pStyle w:val="TableParagraph"/>
              <w:spacing w:before="82"/>
              <w:ind w:left="10"/>
              <w:jc w:val="center"/>
              <w:rPr>
                <w:sz w:val="24"/>
              </w:rPr>
            </w:pPr>
            <w:r>
              <w:rPr>
                <w:sz w:val="24"/>
              </w:rPr>
              <w:t>1</w:t>
            </w:r>
          </w:p>
        </w:tc>
        <w:tc>
          <w:tcPr>
            <w:tcW w:w="850" w:type="dxa"/>
          </w:tcPr>
          <w:p>
            <w:pPr>
              <w:pStyle w:val="TableParagraph"/>
              <w:spacing w:before="82"/>
              <w:ind w:left="9"/>
              <w:jc w:val="center"/>
              <w:rPr>
                <w:sz w:val="24"/>
              </w:rPr>
            </w:pPr>
            <w:r>
              <w:rPr>
                <w:sz w:val="24"/>
              </w:rPr>
              <w:t>套</w:t>
            </w:r>
          </w:p>
        </w:tc>
        <w:tc>
          <w:tcPr>
            <w:tcW w:w="4677" w:type="dxa"/>
          </w:tcPr>
          <w:p>
            <w:pPr>
              <w:pStyle w:val="TableParagraph"/>
              <w:spacing w:before="82"/>
              <w:ind w:left="107"/>
              <w:rPr>
                <w:sz w:val="24"/>
              </w:rPr>
            </w:pPr>
            <w:r>
              <w:rPr>
                <w:spacing w:val="-1"/>
                <w:sz w:val="24"/>
              </w:rPr>
              <w:t>详见用户需求书：通用网管软件技术要求</w:t>
            </w:r>
          </w:p>
        </w:tc>
      </w:tr>
      <w:tr>
        <w:tblPrEx>
          <w:tblW w:w="0" w:type="auto"/>
          <w:jc w:val="left"/>
          <w:tblInd w:w="155" w:type="dxa"/>
          <w:tblLayout w:type="fixed"/>
          <w:tblCellMar>
            <w:top w:w="0" w:type="dxa"/>
            <w:left w:w="0" w:type="dxa"/>
            <w:bottom w:w="0" w:type="dxa"/>
            <w:right w:w="0" w:type="dxa"/>
          </w:tblCellMar>
          <w:tblLook w:val="01E0"/>
        </w:tblPrEx>
        <w:trPr>
          <w:trHeight w:val="935"/>
          <w:jc w:val="left"/>
        </w:trPr>
        <w:tc>
          <w:tcPr>
            <w:tcW w:w="817" w:type="dxa"/>
          </w:tcPr>
          <w:p>
            <w:pPr>
              <w:pStyle w:val="TableParagraph"/>
              <w:spacing w:before="3"/>
              <w:rPr>
                <w:rFonts w:ascii="Microsoft JhengHei"/>
                <w:b/>
                <w:sz w:val="17"/>
              </w:rPr>
            </w:pPr>
          </w:p>
          <w:p>
            <w:pPr>
              <w:pStyle w:val="TableParagraph"/>
              <w:ind w:right="336"/>
              <w:jc w:val="right"/>
              <w:rPr>
                <w:sz w:val="24"/>
              </w:rPr>
            </w:pPr>
            <w:r>
              <w:rPr>
                <w:sz w:val="24"/>
              </w:rPr>
              <w:t>7</w:t>
            </w:r>
          </w:p>
        </w:tc>
        <w:tc>
          <w:tcPr>
            <w:tcW w:w="1985" w:type="dxa"/>
          </w:tcPr>
          <w:p>
            <w:pPr>
              <w:pStyle w:val="TableParagraph"/>
              <w:spacing w:before="82"/>
              <w:ind w:left="107"/>
              <w:rPr>
                <w:sz w:val="24"/>
              </w:rPr>
            </w:pPr>
            <w:r>
              <w:rPr>
                <w:spacing w:val="-2"/>
                <w:sz w:val="24"/>
              </w:rPr>
              <w:t>通用日志管理软</w:t>
            </w:r>
          </w:p>
          <w:p>
            <w:pPr>
              <w:pStyle w:val="TableParagraph"/>
              <w:spacing w:before="160"/>
              <w:ind w:left="107"/>
              <w:rPr>
                <w:sz w:val="24"/>
              </w:rPr>
            </w:pPr>
            <w:r>
              <w:rPr>
                <w:sz w:val="24"/>
              </w:rPr>
              <w:t>件</w:t>
            </w:r>
          </w:p>
        </w:tc>
        <w:tc>
          <w:tcPr>
            <w:tcW w:w="851" w:type="dxa"/>
          </w:tcPr>
          <w:p>
            <w:pPr>
              <w:pStyle w:val="TableParagraph"/>
              <w:spacing w:before="3"/>
              <w:rPr>
                <w:rFonts w:ascii="Microsoft JhengHei"/>
                <w:b/>
                <w:sz w:val="17"/>
              </w:rPr>
            </w:pPr>
          </w:p>
          <w:p>
            <w:pPr>
              <w:pStyle w:val="TableParagraph"/>
              <w:ind w:left="10"/>
              <w:jc w:val="center"/>
              <w:rPr>
                <w:sz w:val="24"/>
              </w:rPr>
            </w:pPr>
            <w:r>
              <w:rPr>
                <w:sz w:val="24"/>
              </w:rPr>
              <w:t>1</w:t>
            </w:r>
          </w:p>
        </w:tc>
        <w:tc>
          <w:tcPr>
            <w:tcW w:w="850" w:type="dxa"/>
          </w:tcPr>
          <w:p>
            <w:pPr>
              <w:pStyle w:val="TableParagraph"/>
              <w:spacing w:before="3"/>
              <w:rPr>
                <w:rFonts w:ascii="Microsoft JhengHei"/>
                <w:b/>
                <w:sz w:val="17"/>
              </w:rPr>
            </w:pPr>
          </w:p>
          <w:p>
            <w:pPr>
              <w:pStyle w:val="TableParagraph"/>
              <w:ind w:left="9"/>
              <w:jc w:val="center"/>
              <w:rPr>
                <w:sz w:val="24"/>
              </w:rPr>
            </w:pPr>
            <w:r>
              <w:rPr>
                <w:sz w:val="24"/>
              </w:rPr>
              <w:t>套</w:t>
            </w:r>
          </w:p>
        </w:tc>
        <w:tc>
          <w:tcPr>
            <w:tcW w:w="4677" w:type="dxa"/>
          </w:tcPr>
          <w:p>
            <w:pPr>
              <w:pStyle w:val="TableParagraph"/>
              <w:spacing w:before="82"/>
              <w:ind w:left="107"/>
              <w:rPr>
                <w:sz w:val="24"/>
              </w:rPr>
            </w:pPr>
            <w:r>
              <w:rPr>
                <w:spacing w:val="-7"/>
                <w:sz w:val="24"/>
              </w:rPr>
              <w:t>详见用户需求书：通用日志管理软件技术要</w:t>
            </w:r>
          </w:p>
          <w:p>
            <w:pPr>
              <w:pStyle w:val="TableParagraph"/>
              <w:spacing w:before="160"/>
              <w:ind w:left="107"/>
              <w:rPr>
                <w:sz w:val="24"/>
              </w:rPr>
            </w:pPr>
            <w:r>
              <w:rPr>
                <w:sz w:val="24"/>
              </w:rPr>
              <w:t>求</w:t>
            </w:r>
          </w:p>
        </w:tc>
      </w:tr>
      <w:tr>
        <w:tblPrEx>
          <w:tblW w:w="0" w:type="auto"/>
          <w:jc w:val="left"/>
          <w:tblInd w:w="155" w:type="dxa"/>
          <w:tblLayout w:type="fixed"/>
          <w:tblCellMar>
            <w:top w:w="0" w:type="dxa"/>
            <w:left w:w="0" w:type="dxa"/>
            <w:bottom w:w="0" w:type="dxa"/>
            <w:right w:w="0" w:type="dxa"/>
          </w:tblCellMar>
          <w:tblLook w:val="01E0"/>
        </w:tblPrEx>
        <w:trPr>
          <w:trHeight w:val="936"/>
          <w:jc w:val="left"/>
        </w:trPr>
        <w:tc>
          <w:tcPr>
            <w:tcW w:w="817" w:type="dxa"/>
          </w:tcPr>
          <w:p>
            <w:pPr>
              <w:pStyle w:val="TableParagraph"/>
              <w:spacing w:before="3"/>
              <w:rPr>
                <w:rFonts w:ascii="Microsoft JhengHei"/>
                <w:b/>
                <w:sz w:val="17"/>
              </w:rPr>
            </w:pPr>
          </w:p>
          <w:p>
            <w:pPr>
              <w:pStyle w:val="TableParagraph"/>
              <w:ind w:right="336"/>
              <w:jc w:val="right"/>
              <w:rPr>
                <w:sz w:val="24"/>
              </w:rPr>
            </w:pPr>
            <w:r>
              <w:rPr>
                <w:sz w:val="24"/>
              </w:rPr>
              <w:t>8</w:t>
            </w:r>
          </w:p>
        </w:tc>
        <w:tc>
          <w:tcPr>
            <w:tcW w:w="1985" w:type="dxa"/>
          </w:tcPr>
          <w:p>
            <w:pPr>
              <w:pStyle w:val="TableParagraph"/>
              <w:spacing w:before="82"/>
              <w:ind w:left="107"/>
              <w:rPr>
                <w:sz w:val="24"/>
              </w:rPr>
            </w:pPr>
            <w:r>
              <w:rPr>
                <w:spacing w:val="-2"/>
                <w:sz w:val="24"/>
              </w:rPr>
              <w:t>万兆多模光接口</w:t>
            </w:r>
          </w:p>
          <w:p>
            <w:pPr>
              <w:pStyle w:val="TableParagraph"/>
              <w:spacing w:before="160"/>
              <w:ind w:left="107"/>
              <w:rPr>
                <w:sz w:val="24"/>
              </w:rPr>
            </w:pPr>
            <w:r>
              <w:rPr>
                <w:spacing w:val="-5"/>
                <w:sz w:val="24"/>
              </w:rPr>
              <w:t>模块</w:t>
            </w:r>
          </w:p>
        </w:tc>
        <w:tc>
          <w:tcPr>
            <w:tcW w:w="851" w:type="dxa"/>
          </w:tcPr>
          <w:p>
            <w:pPr>
              <w:pStyle w:val="TableParagraph"/>
              <w:spacing w:before="3"/>
              <w:rPr>
                <w:rFonts w:ascii="Microsoft JhengHei"/>
                <w:b/>
                <w:sz w:val="17"/>
              </w:rPr>
            </w:pPr>
          </w:p>
          <w:p>
            <w:pPr>
              <w:pStyle w:val="TableParagraph"/>
              <w:ind w:right="233"/>
              <w:jc w:val="right"/>
              <w:rPr>
                <w:sz w:val="24"/>
              </w:rPr>
            </w:pPr>
            <w:r>
              <w:rPr>
                <w:spacing w:val="-5"/>
                <w:sz w:val="24"/>
              </w:rPr>
              <w:t>160</w:t>
            </w:r>
          </w:p>
        </w:tc>
        <w:tc>
          <w:tcPr>
            <w:tcW w:w="850" w:type="dxa"/>
          </w:tcPr>
          <w:p>
            <w:pPr>
              <w:pStyle w:val="TableParagraph"/>
              <w:spacing w:before="3"/>
              <w:rPr>
                <w:rFonts w:ascii="Microsoft JhengHei"/>
                <w:b/>
                <w:sz w:val="17"/>
              </w:rPr>
            </w:pPr>
          </w:p>
          <w:p>
            <w:pPr>
              <w:pStyle w:val="TableParagraph"/>
              <w:ind w:left="9"/>
              <w:jc w:val="center"/>
              <w:rPr>
                <w:sz w:val="24"/>
              </w:rPr>
            </w:pPr>
            <w:r>
              <w:rPr>
                <w:sz w:val="24"/>
              </w:rPr>
              <w:t>个</w:t>
            </w:r>
          </w:p>
        </w:tc>
        <w:tc>
          <w:tcPr>
            <w:tcW w:w="4677" w:type="dxa"/>
          </w:tcPr>
          <w:p>
            <w:pPr>
              <w:pStyle w:val="TableParagraph"/>
              <w:spacing w:before="82"/>
              <w:ind w:left="107"/>
              <w:rPr>
                <w:sz w:val="24"/>
              </w:rPr>
            </w:pPr>
            <w:r>
              <w:rPr>
                <w:sz w:val="24"/>
              </w:rPr>
              <w:t>SFP+</w:t>
            </w:r>
            <w:r>
              <w:rPr>
                <w:spacing w:val="-1"/>
                <w:sz w:val="24"/>
              </w:rPr>
              <w:t>光模块，用于服务器或特殊设备接入,</w:t>
            </w:r>
          </w:p>
          <w:p>
            <w:pPr>
              <w:pStyle w:val="TableParagraph"/>
              <w:spacing w:before="160"/>
              <w:ind w:left="107"/>
              <w:rPr>
                <w:sz w:val="24"/>
              </w:rPr>
            </w:pPr>
            <w:r>
              <w:rPr>
                <w:spacing w:val="-1"/>
                <w:sz w:val="24"/>
              </w:rPr>
              <w:t>和本次采购的网络设备同一品牌</w:t>
            </w:r>
          </w:p>
        </w:tc>
      </w:tr>
      <w:tr>
        <w:tblPrEx>
          <w:tblW w:w="0" w:type="auto"/>
          <w:jc w:val="left"/>
          <w:tblInd w:w="155" w:type="dxa"/>
          <w:tblLayout w:type="fixed"/>
          <w:tblCellMar>
            <w:top w:w="0" w:type="dxa"/>
            <w:left w:w="0" w:type="dxa"/>
            <w:bottom w:w="0" w:type="dxa"/>
            <w:right w:w="0" w:type="dxa"/>
          </w:tblCellMar>
          <w:tblLook w:val="01E0"/>
        </w:tblPrEx>
        <w:trPr>
          <w:trHeight w:val="1403"/>
          <w:jc w:val="left"/>
        </w:trPr>
        <w:tc>
          <w:tcPr>
            <w:tcW w:w="817" w:type="dxa"/>
          </w:tcPr>
          <w:p>
            <w:pPr>
              <w:pStyle w:val="TableParagraph"/>
              <w:spacing w:before="16"/>
              <w:rPr>
                <w:rFonts w:ascii="Microsoft JhengHei"/>
                <w:b/>
                <w:sz w:val="29"/>
              </w:rPr>
            </w:pPr>
          </w:p>
          <w:p>
            <w:pPr>
              <w:pStyle w:val="TableParagraph"/>
              <w:spacing w:before="1"/>
              <w:ind w:right="336"/>
              <w:jc w:val="right"/>
              <w:rPr>
                <w:sz w:val="24"/>
              </w:rPr>
            </w:pPr>
            <w:r>
              <w:rPr>
                <w:sz w:val="24"/>
              </w:rPr>
              <w:t>9</w:t>
            </w:r>
          </w:p>
        </w:tc>
        <w:tc>
          <w:tcPr>
            <w:tcW w:w="1985" w:type="dxa"/>
          </w:tcPr>
          <w:p>
            <w:pPr>
              <w:pStyle w:val="TableParagraph"/>
              <w:spacing w:before="3"/>
              <w:rPr>
                <w:rFonts w:ascii="Microsoft JhengHei"/>
                <w:b/>
                <w:sz w:val="17"/>
              </w:rPr>
            </w:pPr>
          </w:p>
          <w:p>
            <w:pPr>
              <w:pStyle w:val="TableParagraph"/>
              <w:spacing w:line="364" w:lineRule="auto"/>
              <w:ind w:left="107" w:right="186"/>
              <w:rPr>
                <w:sz w:val="24"/>
              </w:rPr>
            </w:pPr>
            <w:r>
              <w:rPr>
                <w:spacing w:val="-2"/>
                <w:sz w:val="24"/>
              </w:rPr>
              <w:t>万兆单模光接口</w:t>
            </w:r>
            <w:r>
              <w:rPr>
                <w:spacing w:val="-6"/>
                <w:sz w:val="24"/>
              </w:rPr>
              <w:t>模块</w:t>
            </w:r>
          </w:p>
        </w:tc>
        <w:tc>
          <w:tcPr>
            <w:tcW w:w="851" w:type="dxa"/>
          </w:tcPr>
          <w:p>
            <w:pPr>
              <w:pStyle w:val="TableParagraph"/>
              <w:spacing w:before="16"/>
              <w:rPr>
                <w:rFonts w:ascii="Microsoft JhengHei"/>
                <w:b/>
                <w:sz w:val="29"/>
              </w:rPr>
            </w:pPr>
          </w:p>
          <w:p>
            <w:pPr>
              <w:pStyle w:val="TableParagraph"/>
              <w:spacing w:before="1"/>
              <w:ind w:left="10"/>
              <w:jc w:val="center"/>
              <w:rPr>
                <w:sz w:val="24"/>
              </w:rPr>
            </w:pPr>
            <w:r>
              <w:rPr>
                <w:sz w:val="24"/>
              </w:rPr>
              <w:t>3</w:t>
            </w:r>
          </w:p>
        </w:tc>
        <w:tc>
          <w:tcPr>
            <w:tcW w:w="850" w:type="dxa"/>
          </w:tcPr>
          <w:p>
            <w:pPr>
              <w:pStyle w:val="TableParagraph"/>
              <w:spacing w:before="16"/>
              <w:rPr>
                <w:rFonts w:ascii="Microsoft JhengHei"/>
                <w:b/>
                <w:sz w:val="29"/>
              </w:rPr>
            </w:pPr>
          </w:p>
          <w:p>
            <w:pPr>
              <w:pStyle w:val="TableParagraph"/>
              <w:spacing w:before="1"/>
              <w:ind w:left="9"/>
              <w:jc w:val="center"/>
              <w:rPr>
                <w:sz w:val="24"/>
              </w:rPr>
            </w:pPr>
            <w:r>
              <w:rPr>
                <w:sz w:val="24"/>
              </w:rPr>
              <w:t>个</w:t>
            </w:r>
          </w:p>
        </w:tc>
        <w:tc>
          <w:tcPr>
            <w:tcW w:w="4677" w:type="dxa"/>
          </w:tcPr>
          <w:p>
            <w:pPr>
              <w:pStyle w:val="TableParagraph"/>
              <w:spacing w:before="82" w:line="364" w:lineRule="auto"/>
              <w:ind w:left="107" w:right="118"/>
              <w:rPr>
                <w:sz w:val="24"/>
              </w:rPr>
            </w:pPr>
            <w:r>
              <w:rPr>
                <w:spacing w:val="-2"/>
                <w:sz w:val="24"/>
              </w:rPr>
              <w:t>SFP+光模块（</w:t>
            </w:r>
            <w:r>
              <w:rPr>
                <w:spacing w:val="-21"/>
                <w:sz w:val="24"/>
              </w:rPr>
              <w:t xml:space="preserve">支持 </w:t>
            </w:r>
            <w:r>
              <w:rPr>
                <w:spacing w:val="-2"/>
                <w:sz w:val="24"/>
              </w:rPr>
              <w:t>70km</w:t>
            </w:r>
            <w:r>
              <w:rPr>
                <w:spacing w:val="-21"/>
                <w:sz w:val="24"/>
              </w:rPr>
              <w:t xml:space="preserve"> 距离</w:t>
            </w:r>
            <w:r>
              <w:rPr>
                <w:spacing w:val="-2"/>
                <w:sz w:val="24"/>
              </w:rPr>
              <w:t>），用于灾备</w:t>
            </w:r>
            <w:r>
              <w:rPr>
                <w:spacing w:val="-1"/>
                <w:sz w:val="24"/>
              </w:rPr>
              <w:t>机房的连接,和本次采购的网络设备同一品</w:t>
            </w:r>
          </w:p>
          <w:p>
            <w:pPr>
              <w:pStyle w:val="TableParagraph"/>
              <w:spacing w:before="1"/>
              <w:ind w:left="107"/>
              <w:rPr>
                <w:sz w:val="24"/>
              </w:rPr>
            </w:pPr>
            <w:r>
              <w:rPr>
                <w:sz w:val="24"/>
              </w:rPr>
              <w:t>牌</w:t>
            </w:r>
          </w:p>
        </w:tc>
      </w:tr>
      <w:tr>
        <w:tblPrEx>
          <w:tblW w:w="0" w:type="auto"/>
          <w:jc w:val="left"/>
          <w:tblInd w:w="155" w:type="dxa"/>
          <w:tblLayout w:type="fixed"/>
          <w:tblCellMar>
            <w:top w:w="0" w:type="dxa"/>
            <w:left w:w="0" w:type="dxa"/>
            <w:bottom w:w="0" w:type="dxa"/>
            <w:right w:w="0" w:type="dxa"/>
          </w:tblCellMar>
          <w:tblLook w:val="01E0"/>
        </w:tblPrEx>
        <w:trPr>
          <w:trHeight w:val="1403"/>
          <w:jc w:val="left"/>
        </w:trPr>
        <w:tc>
          <w:tcPr>
            <w:tcW w:w="817" w:type="dxa"/>
          </w:tcPr>
          <w:p>
            <w:pPr>
              <w:pStyle w:val="TableParagraph"/>
              <w:spacing w:before="16"/>
              <w:rPr>
                <w:rFonts w:ascii="Microsoft JhengHei"/>
                <w:b/>
                <w:sz w:val="29"/>
              </w:rPr>
            </w:pPr>
          </w:p>
          <w:p>
            <w:pPr>
              <w:pStyle w:val="TableParagraph"/>
              <w:spacing w:before="1"/>
              <w:ind w:right="276"/>
              <w:jc w:val="right"/>
              <w:rPr>
                <w:sz w:val="24"/>
              </w:rPr>
            </w:pPr>
            <w:r>
              <w:rPr>
                <w:spacing w:val="-5"/>
                <w:sz w:val="24"/>
              </w:rPr>
              <w:t>10</w:t>
            </w:r>
          </w:p>
        </w:tc>
        <w:tc>
          <w:tcPr>
            <w:tcW w:w="1985" w:type="dxa"/>
          </w:tcPr>
          <w:p>
            <w:pPr>
              <w:pStyle w:val="TableParagraph"/>
              <w:spacing w:before="3"/>
              <w:rPr>
                <w:rFonts w:ascii="Microsoft JhengHei"/>
                <w:b/>
                <w:sz w:val="17"/>
              </w:rPr>
            </w:pPr>
          </w:p>
          <w:p>
            <w:pPr>
              <w:pStyle w:val="TableParagraph"/>
              <w:spacing w:line="364" w:lineRule="auto"/>
              <w:ind w:left="107" w:right="186"/>
              <w:rPr>
                <w:sz w:val="24"/>
              </w:rPr>
            </w:pPr>
            <w:r>
              <w:rPr>
                <w:spacing w:val="-2"/>
                <w:sz w:val="24"/>
              </w:rPr>
              <w:t>千兆多模光接口</w:t>
            </w:r>
            <w:r>
              <w:rPr>
                <w:spacing w:val="-6"/>
                <w:sz w:val="24"/>
              </w:rPr>
              <w:t>模块</w:t>
            </w:r>
          </w:p>
        </w:tc>
        <w:tc>
          <w:tcPr>
            <w:tcW w:w="851" w:type="dxa"/>
          </w:tcPr>
          <w:p>
            <w:pPr>
              <w:pStyle w:val="TableParagraph"/>
              <w:spacing w:before="16"/>
              <w:rPr>
                <w:rFonts w:ascii="Microsoft JhengHei"/>
                <w:b/>
                <w:sz w:val="29"/>
              </w:rPr>
            </w:pPr>
          </w:p>
          <w:p>
            <w:pPr>
              <w:pStyle w:val="TableParagraph"/>
              <w:spacing w:before="1"/>
              <w:ind w:right="233"/>
              <w:jc w:val="right"/>
              <w:rPr>
                <w:sz w:val="24"/>
              </w:rPr>
            </w:pPr>
            <w:r>
              <w:rPr>
                <w:spacing w:val="-5"/>
                <w:sz w:val="24"/>
              </w:rPr>
              <w:t>110</w:t>
            </w:r>
          </w:p>
        </w:tc>
        <w:tc>
          <w:tcPr>
            <w:tcW w:w="850" w:type="dxa"/>
          </w:tcPr>
          <w:p>
            <w:pPr>
              <w:pStyle w:val="TableParagraph"/>
              <w:spacing w:before="16"/>
              <w:rPr>
                <w:rFonts w:ascii="Microsoft JhengHei"/>
                <w:b/>
                <w:sz w:val="29"/>
              </w:rPr>
            </w:pPr>
          </w:p>
          <w:p>
            <w:pPr>
              <w:pStyle w:val="TableParagraph"/>
              <w:spacing w:before="1"/>
              <w:ind w:left="9"/>
              <w:jc w:val="center"/>
              <w:rPr>
                <w:sz w:val="24"/>
              </w:rPr>
            </w:pPr>
            <w:r>
              <w:rPr>
                <w:sz w:val="24"/>
              </w:rPr>
              <w:t>个</w:t>
            </w:r>
          </w:p>
        </w:tc>
        <w:tc>
          <w:tcPr>
            <w:tcW w:w="4677" w:type="dxa"/>
          </w:tcPr>
          <w:p>
            <w:pPr>
              <w:pStyle w:val="TableParagraph"/>
              <w:spacing w:before="82"/>
              <w:ind w:left="107"/>
              <w:rPr>
                <w:sz w:val="24"/>
              </w:rPr>
            </w:pPr>
            <w:r>
              <w:rPr>
                <w:spacing w:val="-2"/>
                <w:sz w:val="24"/>
              </w:rPr>
              <w:t>SFP</w:t>
            </w:r>
            <w:r>
              <w:rPr>
                <w:spacing w:val="-18"/>
                <w:sz w:val="24"/>
              </w:rPr>
              <w:t xml:space="preserve"> 光模块</w:t>
            </w:r>
            <w:r>
              <w:rPr>
                <w:spacing w:val="-2"/>
                <w:sz w:val="24"/>
              </w:rPr>
              <w:t>（</w:t>
            </w:r>
            <w:r>
              <w:rPr>
                <w:spacing w:val="-22"/>
                <w:sz w:val="24"/>
              </w:rPr>
              <w:t xml:space="preserve">支持 </w:t>
            </w:r>
            <w:r>
              <w:rPr>
                <w:spacing w:val="-2"/>
                <w:sz w:val="24"/>
              </w:rPr>
              <w:t>500</w:t>
            </w:r>
            <w:r>
              <w:rPr>
                <w:spacing w:val="-17"/>
                <w:sz w:val="24"/>
              </w:rPr>
              <w:t xml:space="preserve"> 米距离</w:t>
            </w:r>
            <w:r>
              <w:rPr>
                <w:spacing w:val="-2"/>
                <w:sz w:val="24"/>
              </w:rPr>
              <w:t>）</w:t>
            </w:r>
            <w:r>
              <w:rPr>
                <w:spacing w:val="-4"/>
                <w:sz w:val="24"/>
              </w:rPr>
              <w:t>，用于与原</w:t>
            </w:r>
          </w:p>
          <w:p>
            <w:pPr>
              <w:pStyle w:val="TableParagraph"/>
              <w:spacing w:before="8" w:line="460" w:lineRule="atLeast"/>
              <w:ind w:left="107" w:right="118"/>
              <w:rPr>
                <w:sz w:val="24"/>
              </w:rPr>
            </w:pPr>
            <w:r>
              <w:rPr>
                <w:spacing w:val="-2"/>
                <w:sz w:val="24"/>
              </w:rPr>
              <w:t>有思科楼层交换机等网络设备的连接,和本</w:t>
            </w:r>
            <w:r>
              <w:rPr>
                <w:spacing w:val="-2"/>
                <w:sz w:val="24"/>
              </w:rPr>
              <w:t>次采购的网络设备同一品牌</w:t>
            </w:r>
          </w:p>
        </w:tc>
      </w:tr>
      <w:tr>
        <w:tblPrEx>
          <w:tblW w:w="0" w:type="auto"/>
          <w:jc w:val="left"/>
          <w:tblInd w:w="155" w:type="dxa"/>
          <w:tblLayout w:type="fixed"/>
          <w:tblCellMar>
            <w:top w:w="0" w:type="dxa"/>
            <w:left w:w="0" w:type="dxa"/>
            <w:bottom w:w="0" w:type="dxa"/>
            <w:right w:w="0" w:type="dxa"/>
          </w:tblCellMar>
          <w:tblLook w:val="01E0"/>
        </w:tblPrEx>
        <w:trPr>
          <w:trHeight w:val="1403"/>
          <w:jc w:val="left"/>
        </w:trPr>
        <w:tc>
          <w:tcPr>
            <w:tcW w:w="817" w:type="dxa"/>
          </w:tcPr>
          <w:p>
            <w:pPr>
              <w:pStyle w:val="TableParagraph"/>
              <w:spacing w:before="16"/>
              <w:rPr>
                <w:rFonts w:ascii="Microsoft JhengHei"/>
                <w:b/>
                <w:sz w:val="29"/>
              </w:rPr>
            </w:pPr>
          </w:p>
          <w:p>
            <w:pPr>
              <w:pStyle w:val="TableParagraph"/>
              <w:spacing w:before="1"/>
              <w:ind w:right="276"/>
              <w:jc w:val="right"/>
              <w:rPr>
                <w:sz w:val="24"/>
              </w:rPr>
            </w:pPr>
            <w:r>
              <w:rPr>
                <w:spacing w:val="-5"/>
                <w:sz w:val="24"/>
              </w:rPr>
              <w:t>11</w:t>
            </w:r>
          </w:p>
        </w:tc>
        <w:tc>
          <w:tcPr>
            <w:tcW w:w="1985" w:type="dxa"/>
          </w:tcPr>
          <w:p>
            <w:pPr>
              <w:pStyle w:val="TableParagraph"/>
              <w:spacing w:before="3"/>
              <w:rPr>
                <w:rFonts w:ascii="Microsoft JhengHei"/>
                <w:b/>
                <w:sz w:val="17"/>
              </w:rPr>
            </w:pPr>
          </w:p>
          <w:p>
            <w:pPr>
              <w:pStyle w:val="TableParagraph"/>
              <w:spacing w:line="364" w:lineRule="auto"/>
              <w:ind w:left="107" w:right="186"/>
              <w:rPr>
                <w:sz w:val="24"/>
              </w:rPr>
            </w:pPr>
            <w:r>
              <w:rPr>
                <w:spacing w:val="-2"/>
                <w:sz w:val="24"/>
              </w:rPr>
              <w:t>千兆单模光接口</w:t>
            </w:r>
            <w:r>
              <w:rPr>
                <w:spacing w:val="-6"/>
                <w:sz w:val="24"/>
              </w:rPr>
              <w:t>模块</w:t>
            </w:r>
          </w:p>
        </w:tc>
        <w:tc>
          <w:tcPr>
            <w:tcW w:w="851" w:type="dxa"/>
          </w:tcPr>
          <w:p>
            <w:pPr>
              <w:pStyle w:val="TableParagraph"/>
              <w:spacing w:before="16"/>
              <w:rPr>
                <w:rFonts w:ascii="Microsoft JhengHei"/>
                <w:b/>
                <w:sz w:val="29"/>
              </w:rPr>
            </w:pPr>
          </w:p>
          <w:p>
            <w:pPr>
              <w:pStyle w:val="TableParagraph"/>
              <w:spacing w:before="1"/>
              <w:ind w:right="293"/>
              <w:jc w:val="right"/>
              <w:rPr>
                <w:sz w:val="24"/>
              </w:rPr>
            </w:pPr>
            <w:r>
              <w:rPr>
                <w:spacing w:val="-5"/>
                <w:sz w:val="24"/>
              </w:rPr>
              <w:t>14</w:t>
            </w:r>
          </w:p>
        </w:tc>
        <w:tc>
          <w:tcPr>
            <w:tcW w:w="850" w:type="dxa"/>
          </w:tcPr>
          <w:p>
            <w:pPr>
              <w:pStyle w:val="TableParagraph"/>
              <w:spacing w:before="16"/>
              <w:rPr>
                <w:rFonts w:ascii="Microsoft JhengHei"/>
                <w:b/>
                <w:sz w:val="29"/>
              </w:rPr>
            </w:pPr>
          </w:p>
          <w:p>
            <w:pPr>
              <w:pStyle w:val="TableParagraph"/>
              <w:spacing w:before="1"/>
              <w:ind w:left="9"/>
              <w:jc w:val="center"/>
              <w:rPr>
                <w:sz w:val="24"/>
              </w:rPr>
            </w:pPr>
            <w:r>
              <w:rPr>
                <w:sz w:val="24"/>
              </w:rPr>
              <w:t>个</w:t>
            </w:r>
          </w:p>
        </w:tc>
        <w:tc>
          <w:tcPr>
            <w:tcW w:w="4677" w:type="dxa"/>
          </w:tcPr>
          <w:p>
            <w:pPr>
              <w:pStyle w:val="TableParagraph"/>
              <w:spacing w:before="82" w:line="364" w:lineRule="auto"/>
              <w:ind w:left="107" w:right="178"/>
              <w:rPr>
                <w:sz w:val="24"/>
              </w:rPr>
            </w:pPr>
            <w:r>
              <w:rPr>
                <w:spacing w:val="-2"/>
                <w:sz w:val="24"/>
              </w:rPr>
              <w:t>SFP</w:t>
            </w:r>
            <w:r>
              <w:rPr>
                <w:spacing w:val="-17"/>
                <w:sz w:val="24"/>
              </w:rPr>
              <w:t xml:space="preserve"> 光模块</w:t>
            </w:r>
            <w:r>
              <w:rPr>
                <w:spacing w:val="-2"/>
                <w:sz w:val="24"/>
              </w:rPr>
              <w:t>（</w:t>
            </w:r>
            <w:r>
              <w:rPr>
                <w:spacing w:val="-21"/>
                <w:sz w:val="24"/>
              </w:rPr>
              <w:t xml:space="preserve">支持 </w:t>
            </w:r>
            <w:r>
              <w:rPr>
                <w:spacing w:val="-2"/>
                <w:sz w:val="24"/>
              </w:rPr>
              <w:t>10km</w:t>
            </w:r>
            <w:r>
              <w:rPr>
                <w:spacing w:val="-22"/>
                <w:sz w:val="24"/>
              </w:rPr>
              <w:t xml:space="preserve"> 距离</w:t>
            </w:r>
            <w:r>
              <w:rPr>
                <w:spacing w:val="-2"/>
                <w:sz w:val="24"/>
              </w:rPr>
              <w:t>），用于电子</w:t>
            </w:r>
            <w:r>
              <w:rPr>
                <w:spacing w:val="-2"/>
                <w:sz w:val="24"/>
              </w:rPr>
              <w:t>政务网其他区域原有思科等网络设备的连</w:t>
            </w:r>
          </w:p>
          <w:p>
            <w:pPr>
              <w:pStyle w:val="TableParagraph"/>
              <w:spacing w:before="1"/>
              <w:ind w:left="107"/>
              <w:rPr>
                <w:sz w:val="24"/>
              </w:rPr>
            </w:pPr>
            <w:r>
              <w:rPr>
                <w:spacing w:val="-1"/>
                <w:sz w:val="24"/>
              </w:rPr>
              <w:t>接,和本次采购的网络设备同一品牌</w:t>
            </w:r>
          </w:p>
        </w:tc>
      </w:tr>
      <w:tr>
        <w:tblPrEx>
          <w:tblW w:w="0" w:type="auto"/>
          <w:jc w:val="left"/>
          <w:tblInd w:w="155" w:type="dxa"/>
          <w:tblLayout w:type="fixed"/>
          <w:tblCellMar>
            <w:top w:w="0" w:type="dxa"/>
            <w:left w:w="0" w:type="dxa"/>
            <w:bottom w:w="0" w:type="dxa"/>
            <w:right w:w="0" w:type="dxa"/>
          </w:tblCellMar>
          <w:tblLook w:val="01E0"/>
        </w:tblPrEx>
        <w:trPr>
          <w:trHeight w:val="1404"/>
          <w:jc w:val="left"/>
        </w:trPr>
        <w:tc>
          <w:tcPr>
            <w:tcW w:w="817" w:type="dxa"/>
          </w:tcPr>
          <w:p>
            <w:pPr>
              <w:pStyle w:val="TableParagraph"/>
              <w:spacing w:before="16"/>
              <w:rPr>
                <w:rFonts w:ascii="Microsoft JhengHei"/>
                <w:b/>
                <w:sz w:val="29"/>
              </w:rPr>
            </w:pPr>
          </w:p>
          <w:p>
            <w:pPr>
              <w:pStyle w:val="TableParagraph"/>
              <w:spacing w:before="1"/>
              <w:ind w:right="276"/>
              <w:jc w:val="right"/>
              <w:rPr>
                <w:sz w:val="24"/>
              </w:rPr>
            </w:pPr>
            <w:r>
              <w:rPr>
                <w:spacing w:val="-5"/>
                <w:sz w:val="24"/>
              </w:rPr>
              <w:t>12</w:t>
            </w:r>
          </w:p>
        </w:tc>
        <w:tc>
          <w:tcPr>
            <w:tcW w:w="1985" w:type="dxa"/>
          </w:tcPr>
          <w:p>
            <w:pPr>
              <w:pStyle w:val="TableParagraph"/>
              <w:spacing w:before="3"/>
              <w:rPr>
                <w:rFonts w:ascii="Microsoft JhengHei"/>
                <w:b/>
                <w:sz w:val="17"/>
              </w:rPr>
            </w:pPr>
          </w:p>
          <w:p>
            <w:pPr>
              <w:pStyle w:val="TableParagraph"/>
              <w:spacing w:line="364" w:lineRule="auto"/>
              <w:ind w:left="107" w:right="186"/>
              <w:rPr>
                <w:sz w:val="24"/>
              </w:rPr>
            </w:pPr>
            <w:r>
              <w:rPr>
                <w:spacing w:val="-2"/>
                <w:sz w:val="24"/>
              </w:rPr>
              <w:t>项目网络设备原</w:t>
            </w:r>
            <w:r>
              <w:rPr>
                <w:spacing w:val="-2"/>
                <w:sz w:val="24"/>
              </w:rPr>
              <w:t>厂配套管理软件</w:t>
            </w:r>
          </w:p>
        </w:tc>
        <w:tc>
          <w:tcPr>
            <w:tcW w:w="851" w:type="dxa"/>
          </w:tcPr>
          <w:p>
            <w:pPr>
              <w:pStyle w:val="TableParagraph"/>
              <w:spacing w:before="16"/>
              <w:rPr>
                <w:rFonts w:ascii="Microsoft JhengHei"/>
                <w:b/>
                <w:sz w:val="29"/>
              </w:rPr>
            </w:pPr>
          </w:p>
          <w:p>
            <w:pPr>
              <w:pStyle w:val="TableParagraph"/>
              <w:spacing w:before="1"/>
              <w:ind w:left="10"/>
              <w:jc w:val="center"/>
              <w:rPr>
                <w:sz w:val="24"/>
              </w:rPr>
            </w:pPr>
            <w:r>
              <w:rPr>
                <w:sz w:val="24"/>
              </w:rPr>
              <w:t>1</w:t>
            </w:r>
          </w:p>
        </w:tc>
        <w:tc>
          <w:tcPr>
            <w:tcW w:w="850" w:type="dxa"/>
          </w:tcPr>
          <w:p>
            <w:pPr>
              <w:pStyle w:val="TableParagraph"/>
              <w:spacing w:before="16"/>
              <w:rPr>
                <w:rFonts w:ascii="Microsoft JhengHei"/>
                <w:b/>
                <w:sz w:val="29"/>
              </w:rPr>
            </w:pPr>
          </w:p>
          <w:p>
            <w:pPr>
              <w:pStyle w:val="TableParagraph"/>
              <w:spacing w:before="1"/>
              <w:ind w:left="9"/>
              <w:jc w:val="center"/>
              <w:rPr>
                <w:sz w:val="24"/>
              </w:rPr>
            </w:pPr>
            <w:r>
              <w:rPr>
                <w:sz w:val="24"/>
              </w:rPr>
              <w:t>套</w:t>
            </w:r>
          </w:p>
        </w:tc>
        <w:tc>
          <w:tcPr>
            <w:tcW w:w="4677" w:type="dxa"/>
          </w:tcPr>
          <w:p>
            <w:pPr>
              <w:pStyle w:val="TableParagraph"/>
              <w:spacing w:before="82" w:line="364" w:lineRule="auto"/>
              <w:ind w:left="107" w:right="95"/>
              <w:rPr>
                <w:sz w:val="24"/>
              </w:rPr>
            </w:pPr>
            <w:r>
              <w:rPr>
                <w:spacing w:val="-9"/>
                <w:sz w:val="24"/>
              </w:rPr>
              <w:t>用于管理本次采购的所有网络设备，要求配</w:t>
            </w:r>
            <w:r>
              <w:rPr>
                <w:spacing w:val="-1"/>
                <w:sz w:val="24"/>
              </w:rPr>
              <w:t>置满足管理本次采购设备数量的管理许可,</w:t>
            </w:r>
          </w:p>
          <w:p>
            <w:pPr>
              <w:pStyle w:val="TableParagraph"/>
              <w:spacing w:before="1"/>
              <w:ind w:left="107"/>
              <w:rPr>
                <w:sz w:val="24"/>
              </w:rPr>
            </w:pPr>
            <w:r>
              <w:rPr>
                <w:spacing w:val="-1"/>
                <w:sz w:val="24"/>
              </w:rPr>
              <w:t>和本次采购的网络设备同一品牌</w:t>
            </w:r>
          </w:p>
        </w:tc>
      </w:tr>
    </w:tbl>
    <w:p>
      <w:pPr>
        <w:pStyle w:val="BodyText"/>
        <w:spacing w:before="4"/>
        <w:rPr>
          <w:rFonts w:ascii="Microsoft JhengHei"/>
          <w:b/>
          <w:sz w:val="17"/>
        </w:rPr>
      </w:pPr>
    </w:p>
    <w:p>
      <w:pPr>
        <w:pStyle w:val="Heading4"/>
        <w:spacing w:line="429" w:lineRule="exact"/>
        <w:ind w:left="258" w:firstLine="0"/>
      </w:pPr>
      <w:r>
        <w:rPr>
          <w:spacing w:val="-1"/>
        </w:rPr>
        <w:t>五、 设备详细技术要求</w:t>
      </w:r>
    </w:p>
    <w:p>
      <w:pPr>
        <w:pStyle w:val="BodyText"/>
        <w:spacing w:before="9"/>
        <w:rPr>
          <w:rFonts w:ascii="Microsoft JhengHei"/>
          <w:b/>
          <w:sz w:val="17"/>
        </w:rPr>
      </w:pPr>
    </w:p>
    <w:p>
      <w:pPr>
        <w:pStyle w:val="Heading4"/>
        <w:numPr>
          <w:ilvl w:val="1"/>
          <w:numId w:val="32"/>
        </w:numPr>
        <w:tabs>
          <w:tab w:val="left" w:pos="1041"/>
        </w:tabs>
        <w:spacing w:before="1" w:after="0" w:line="240" w:lineRule="auto"/>
        <w:ind w:left="1040" w:right="0" w:hanging="363"/>
        <w:jc w:val="left"/>
      </w:pPr>
      <w:r>
        <w:t>、 数据中心核心交换机技术要求（单套</w:t>
      </w:r>
      <w:r>
        <w:rPr>
          <w:spacing w:val="-10"/>
        </w:rPr>
        <w:t>）</w:t>
      </w:r>
    </w:p>
    <w:p>
      <w:pPr>
        <w:pStyle w:val="BodyText"/>
        <w:spacing w:before="10"/>
        <w:rPr>
          <w:rFonts w:ascii="Microsoft JhengHei"/>
          <w:b/>
          <w:sz w:val="4"/>
        </w:rPr>
      </w:pPr>
    </w:p>
    <w:tbl>
      <w:tblPr>
        <w:tblStyle w:val="TableNormal6"/>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7"/>
        <w:gridCol w:w="8363"/>
      </w:tblGrid>
      <w:tr>
        <w:tblPrEx>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94"/>
          <w:jc w:val="left"/>
        </w:trPr>
        <w:tc>
          <w:tcPr>
            <w:tcW w:w="817" w:type="dxa"/>
          </w:tcPr>
          <w:p>
            <w:pPr>
              <w:pStyle w:val="TableParagraph"/>
              <w:spacing w:line="374" w:lineRule="exact"/>
              <w:ind w:left="153" w:right="144"/>
              <w:jc w:val="center"/>
              <w:rPr>
                <w:rFonts w:ascii="Microsoft JhengHei" w:eastAsia="Microsoft JhengHei"/>
                <w:b/>
                <w:sz w:val="24"/>
              </w:rPr>
            </w:pPr>
            <w:r>
              <w:rPr>
                <w:rFonts w:ascii="Microsoft JhengHei" w:eastAsia="Microsoft JhengHei"/>
                <w:b/>
                <w:spacing w:val="-5"/>
                <w:sz w:val="24"/>
              </w:rPr>
              <w:t>序号</w:t>
            </w:r>
          </w:p>
        </w:tc>
        <w:tc>
          <w:tcPr>
            <w:tcW w:w="8363" w:type="dxa"/>
          </w:tcPr>
          <w:p>
            <w:pPr>
              <w:pStyle w:val="TableParagraph"/>
              <w:spacing w:line="374" w:lineRule="exact"/>
              <w:ind w:left="22" w:right="13"/>
              <w:jc w:val="center"/>
              <w:rPr>
                <w:rFonts w:ascii="Microsoft JhengHei" w:eastAsia="Microsoft JhengHei"/>
                <w:b/>
                <w:sz w:val="24"/>
              </w:rPr>
            </w:pPr>
            <w:r>
              <w:rPr>
                <w:rFonts w:ascii="Microsoft JhengHei" w:eastAsia="Microsoft JhengHei"/>
                <w:b/>
                <w:spacing w:val="-2"/>
                <w:sz w:val="24"/>
              </w:rPr>
              <w:t>技术指标要求</w:t>
            </w:r>
          </w:p>
        </w:tc>
      </w:tr>
      <w:tr>
        <w:tblPrEx>
          <w:tblW w:w="0" w:type="auto"/>
          <w:jc w:val="left"/>
          <w:tblInd w:w="155" w:type="dxa"/>
          <w:tblLayout w:type="fixed"/>
          <w:tblCellMar>
            <w:top w:w="0" w:type="dxa"/>
            <w:left w:w="0" w:type="dxa"/>
            <w:bottom w:w="0" w:type="dxa"/>
            <w:right w:w="0" w:type="dxa"/>
          </w:tblCellMar>
          <w:tblLook w:val="01E0"/>
        </w:tblPrEx>
        <w:trPr>
          <w:trHeight w:val="624"/>
          <w:jc w:val="left"/>
        </w:trPr>
        <w:tc>
          <w:tcPr>
            <w:tcW w:w="817" w:type="dxa"/>
          </w:tcPr>
          <w:p>
            <w:pPr>
              <w:pStyle w:val="TableParagraph"/>
              <w:spacing w:before="160"/>
              <w:ind w:left="10"/>
              <w:jc w:val="center"/>
              <w:rPr>
                <w:sz w:val="24"/>
              </w:rPr>
            </w:pPr>
            <w:r>
              <w:rPr>
                <w:sz w:val="24"/>
              </w:rPr>
              <w:t>1</w:t>
            </w:r>
          </w:p>
        </w:tc>
        <w:tc>
          <w:tcPr>
            <w:tcW w:w="8363" w:type="dxa"/>
          </w:tcPr>
          <w:p>
            <w:pPr>
              <w:pStyle w:val="TableParagraph"/>
              <w:spacing w:before="4"/>
              <w:ind w:left="107"/>
              <w:rPr>
                <w:sz w:val="24"/>
              </w:rPr>
            </w:pPr>
            <w:r>
              <w:rPr>
                <w:spacing w:val="-15"/>
                <w:sz w:val="24"/>
              </w:rPr>
              <w:t xml:space="preserve">★动态 </w:t>
            </w:r>
            <w:r>
              <w:rPr>
                <w:sz w:val="24"/>
              </w:rPr>
              <w:t>CLOS</w:t>
            </w:r>
            <w:r>
              <w:rPr>
                <w:spacing w:val="-8"/>
                <w:sz w:val="24"/>
              </w:rPr>
              <w:t xml:space="preserve"> 多级交换架构；正交架构设计</w:t>
            </w:r>
            <w:r>
              <w:rPr>
                <w:sz w:val="24"/>
              </w:rPr>
              <w:t>（</w:t>
            </w:r>
            <w:r>
              <w:rPr>
                <w:spacing w:val="-1"/>
                <w:sz w:val="24"/>
              </w:rPr>
              <w:t>线卡、交换网板通过背板连接器</w:t>
            </w:r>
          </w:p>
          <w:p>
            <w:pPr>
              <w:pStyle w:val="TableParagraph"/>
              <w:spacing w:before="4" w:line="288" w:lineRule="exact"/>
              <w:ind w:left="107"/>
              <w:rPr>
                <w:sz w:val="24"/>
              </w:rPr>
            </w:pPr>
            <w:r>
              <w:rPr>
                <w:sz w:val="24"/>
              </w:rPr>
              <w:t>垂直相交）</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1248"/>
          <w:jc w:val="left"/>
        </w:trPr>
        <w:tc>
          <w:tcPr>
            <w:tcW w:w="817" w:type="dxa"/>
          </w:tcPr>
          <w:p>
            <w:pPr>
              <w:pStyle w:val="TableParagraph"/>
              <w:spacing w:before="12"/>
              <w:rPr>
                <w:rFonts w:ascii="Microsoft JhengHei"/>
                <w:b/>
                <w:sz w:val="25"/>
              </w:rPr>
            </w:pPr>
          </w:p>
          <w:p>
            <w:pPr>
              <w:pStyle w:val="TableParagraph"/>
              <w:ind w:left="10"/>
              <w:jc w:val="center"/>
              <w:rPr>
                <w:sz w:val="24"/>
              </w:rPr>
            </w:pPr>
            <w:r>
              <w:rPr>
                <w:sz w:val="24"/>
              </w:rPr>
              <w:t>2</w:t>
            </w:r>
          </w:p>
        </w:tc>
        <w:tc>
          <w:tcPr>
            <w:tcW w:w="8363" w:type="dxa"/>
          </w:tcPr>
          <w:p>
            <w:pPr>
              <w:pStyle w:val="TableParagraph"/>
              <w:spacing w:before="4" w:line="242" w:lineRule="auto"/>
              <w:ind w:left="107" w:right="95"/>
              <w:rPr>
                <w:sz w:val="24"/>
              </w:rPr>
            </w:pPr>
            <w:r>
              <w:rPr>
                <w:spacing w:val="-2"/>
                <w:sz w:val="24"/>
              </w:rPr>
              <w:t>★实配双主控，主控、交换分离、独立交换网板；实配交换网板为每槽位提供</w:t>
            </w:r>
            <w:r>
              <w:rPr>
                <w:sz w:val="24"/>
              </w:rPr>
              <w:t>单向槽间转发能力≥960Gbps,</w:t>
            </w:r>
            <w:r>
              <w:rPr>
                <w:spacing w:val="-4"/>
                <w:sz w:val="24"/>
              </w:rPr>
              <w:t xml:space="preserve">交换网板支持 </w:t>
            </w:r>
            <w:r>
              <w:rPr>
                <w:sz w:val="24"/>
              </w:rPr>
              <w:t>N+1</w:t>
            </w:r>
            <w:r>
              <w:rPr>
                <w:spacing w:val="-5"/>
                <w:sz w:val="24"/>
              </w:rPr>
              <w:t xml:space="preserve"> 备份；实配单槽平均</w:t>
            </w:r>
            <w:r>
              <w:rPr>
                <w:sz w:val="24"/>
              </w:rPr>
              <w:t>（整机/</w:t>
            </w:r>
            <w:r>
              <w:rPr>
                <w:spacing w:val="-2"/>
                <w:sz w:val="24"/>
              </w:rPr>
              <w:t>槽位数）包转发率≥1200Mpps；业务可用槽位数≥10；支持堆叠，配置堆叠授</w:t>
            </w:r>
          </w:p>
          <w:p>
            <w:pPr>
              <w:pStyle w:val="TableParagraph"/>
              <w:spacing w:before="4" w:line="288" w:lineRule="exact"/>
              <w:ind w:left="107"/>
              <w:rPr>
                <w:sz w:val="24"/>
              </w:rPr>
            </w:pPr>
            <w:r>
              <w:rPr>
                <w:sz w:val="24"/>
              </w:rPr>
              <w:t>权，实配单向堆叠带宽≥320Gbps</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393"/>
          <w:jc w:val="left"/>
        </w:trPr>
        <w:tc>
          <w:tcPr>
            <w:tcW w:w="817" w:type="dxa"/>
          </w:tcPr>
          <w:p>
            <w:pPr>
              <w:pStyle w:val="TableParagraph"/>
              <w:spacing w:before="45"/>
              <w:ind w:left="10"/>
              <w:jc w:val="center"/>
              <w:rPr>
                <w:sz w:val="24"/>
              </w:rPr>
            </w:pPr>
            <w:r>
              <w:rPr>
                <w:sz w:val="24"/>
              </w:rPr>
              <w:t>3</w:t>
            </w:r>
          </w:p>
        </w:tc>
        <w:tc>
          <w:tcPr>
            <w:tcW w:w="8363" w:type="dxa"/>
          </w:tcPr>
          <w:p>
            <w:pPr>
              <w:pStyle w:val="TableParagraph"/>
              <w:spacing w:before="45"/>
              <w:ind w:left="96" w:right="13"/>
              <w:jc w:val="center"/>
              <w:rPr>
                <w:sz w:val="24"/>
              </w:rPr>
            </w:pPr>
            <w:r>
              <w:rPr>
                <w:spacing w:val="-2"/>
                <w:sz w:val="24"/>
              </w:rPr>
              <w:t xml:space="preserve">▲支持不更换交换网板的情况下，每槽位单向槽间转发能力可平滑升级到 </w:t>
            </w:r>
            <w:r>
              <w:rPr>
                <w:sz w:val="24"/>
              </w:rPr>
              <w:t>2T</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936"/>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4</w:t>
            </w:r>
          </w:p>
        </w:tc>
        <w:tc>
          <w:tcPr>
            <w:tcW w:w="8363" w:type="dxa"/>
          </w:tcPr>
          <w:p>
            <w:pPr>
              <w:pStyle w:val="TableParagraph"/>
              <w:spacing w:before="4" w:line="242" w:lineRule="auto"/>
              <w:ind w:left="107" w:right="144"/>
              <w:rPr>
                <w:sz w:val="24"/>
              </w:rPr>
            </w:pPr>
            <w:r>
              <w:rPr>
                <w:spacing w:val="-14"/>
                <w:sz w:val="24"/>
              </w:rPr>
              <w:t xml:space="preserve">★实配 </w:t>
            </w:r>
            <w:r>
              <w:rPr>
                <w:spacing w:val="-2"/>
                <w:sz w:val="24"/>
              </w:rPr>
              <w:t>48*10Gbps</w:t>
            </w:r>
            <w:r>
              <w:rPr>
                <w:spacing w:val="-11"/>
                <w:sz w:val="24"/>
              </w:rPr>
              <w:t xml:space="preserve"> 光接口板卡</w:t>
            </w:r>
            <w:r>
              <w:rPr>
                <w:spacing w:val="-2"/>
                <w:sz w:val="24"/>
              </w:rPr>
              <w:t>≥4</w:t>
            </w:r>
            <w:r>
              <w:rPr>
                <w:spacing w:val="-9"/>
                <w:sz w:val="24"/>
              </w:rPr>
              <w:t xml:space="preserve"> 块；万兆板卡接口直接自适应千兆模块；平</w:t>
            </w:r>
            <w:r>
              <w:rPr>
                <w:sz w:val="24"/>
              </w:rPr>
              <w:t>均每万兆端口缓存≥100ms；</w:t>
            </w:r>
            <w:r>
              <w:rPr>
                <w:spacing w:val="-20"/>
                <w:sz w:val="24"/>
              </w:rPr>
              <w:t xml:space="preserve">实配 </w:t>
            </w:r>
            <w:r>
              <w:rPr>
                <w:sz w:val="24"/>
              </w:rPr>
              <w:t>24*40G</w:t>
            </w:r>
            <w:r>
              <w:rPr>
                <w:spacing w:val="-10"/>
                <w:sz w:val="24"/>
              </w:rPr>
              <w:t xml:space="preserve"> 光接口板卡</w:t>
            </w:r>
            <w:r>
              <w:rPr>
                <w:sz w:val="24"/>
              </w:rPr>
              <w:t>≥1</w:t>
            </w:r>
            <w:r>
              <w:rPr>
                <w:spacing w:val="-9"/>
                <w:sz w:val="24"/>
              </w:rPr>
              <w:t xml:space="preserve"> 块；实配相应接口多</w:t>
            </w:r>
          </w:p>
          <w:p>
            <w:pPr>
              <w:pStyle w:val="TableParagraph"/>
              <w:spacing w:before="3" w:line="288" w:lineRule="exact"/>
              <w:ind w:left="107"/>
              <w:rPr>
                <w:sz w:val="24"/>
              </w:rPr>
            </w:pPr>
            <w:r>
              <w:rPr>
                <w:spacing w:val="-30"/>
                <w:sz w:val="24"/>
              </w:rPr>
              <w:t xml:space="preserve">模 </w:t>
            </w:r>
            <w:r>
              <w:rPr>
                <w:sz w:val="24"/>
              </w:rPr>
              <w:t>40G</w:t>
            </w:r>
            <w:r>
              <w:rPr>
                <w:spacing w:val="-8"/>
                <w:sz w:val="24"/>
              </w:rPr>
              <w:t xml:space="preserve"> 端口光接口模块数量</w:t>
            </w:r>
            <w:r>
              <w:rPr>
                <w:sz w:val="24"/>
              </w:rPr>
              <w:t>≥11</w:t>
            </w:r>
            <w:r>
              <w:rPr>
                <w:spacing w:val="-30"/>
                <w:sz w:val="24"/>
              </w:rPr>
              <w:t xml:space="preserve"> 个</w:t>
            </w:r>
            <w:r>
              <w:rPr>
                <w:sz w:val="24"/>
              </w:rPr>
              <w:t>（含堆叠使用模块）</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936"/>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5</w:t>
            </w:r>
          </w:p>
        </w:tc>
        <w:tc>
          <w:tcPr>
            <w:tcW w:w="8363" w:type="dxa"/>
          </w:tcPr>
          <w:p>
            <w:pPr>
              <w:pStyle w:val="TableParagraph"/>
              <w:spacing w:before="4" w:line="242" w:lineRule="auto"/>
              <w:ind w:left="107" w:right="95"/>
              <w:rPr>
                <w:sz w:val="24"/>
              </w:rPr>
            </w:pPr>
            <w:r>
              <w:rPr>
                <w:spacing w:val="-5"/>
                <w:sz w:val="24"/>
              </w:rPr>
              <w:t xml:space="preserve">★支持一虚多技术，配置一虚多授权；可虚拟不少于 </w:t>
            </w:r>
            <w:r>
              <w:rPr>
                <w:spacing w:val="-2"/>
                <w:sz w:val="24"/>
              </w:rPr>
              <w:t>4</w:t>
            </w:r>
            <w:r>
              <w:rPr>
                <w:spacing w:val="-10"/>
                <w:sz w:val="24"/>
              </w:rPr>
              <w:t xml:space="preserve"> 个虚拟交换机；配置中</w:t>
            </w:r>
            <w:r>
              <w:rPr>
                <w:spacing w:val="-4"/>
                <w:sz w:val="24"/>
              </w:rPr>
              <w:t>的所有板卡（</w:t>
            </w:r>
            <w:r>
              <w:rPr>
                <w:spacing w:val="1"/>
                <w:sz w:val="24"/>
              </w:rPr>
              <w:t xml:space="preserve">包括 </w:t>
            </w:r>
            <w:r>
              <w:rPr>
                <w:spacing w:val="-4"/>
                <w:sz w:val="24"/>
              </w:rPr>
              <w:t>10GE、40GE）</w:t>
            </w:r>
            <w:r>
              <w:rPr>
                <w:spacing w:val="-5"/>
                <w:sz w:val="24"/>
              </w:rPr>
              <w:t>任一接口，在应用一虚多技术时，可以任意配</w:t>
            </w:r>
          </w:p>
          <w:p>
            <w:pPr>
              <w:pStyle w:val="TableParagraph"/>
              <w:spacing w:before="3" w:line="288" w:lineRule="exact"/>
              <w:ind w:left="107"/>
              <w:rPr>
                <w:sz w:val="24"/>
              </w:rPr>
            </w:pPr>
            <w:r>
              <w:rPr>
                <w:sz w:val="24"/>
              </w:rPr>
              <w:t>置在任一虚拟交换机内（任意组合）</w:t>
            </w:r>
            <w:r>
              <w:rPr>
                <w:spacing w:val="-10"/>
                <w:sz w:val="24"/>
              </w:rPr>
              <w:t>。</w:t>
            </w:r>
          </w:p>
        </w:tc>
      </w:tr>
    </w:tbl>
    <w:p>
      <w:pPr>
        <w:spacing w:after="0" w:line="288" w:lineRule="exact"/>
        <w:rPr>
          <w:sz w:val="24"/>
        </w:rPr>
        <w:sectPr>
          <w:headerReference w:type="default" r:id="rId52"/>
          <w:footerReference w:type="default" r:id="rId53"/>
          <w:pgSz w:w="11910" w:h="16840"/>
          <w:pgMar w:top="1080" w:right="1060" w:bottom="1040" w:left="1160" w:header="700" w:footer="841"/>
          <w:pgNumType w:start="23"/>
          <w:cols w:space="708"/>
        </w:sectPr>
      </w:pPr>
    </w:p>
    <w:p>
      <w:pPr>
        <w:pStyle w:val="BodyText"/>
        <w:spacing w:before="15"/>
        <w:rPr>
          <w:rFonts w:ascii="Microsoft JhengHei"/>
          <w:b/>
          <w:sz w:val="2"/>
        </w:rPr>
      </w:pPr>
    </w:p>
    <w:tbl>
      <w:tblPr>
        <w:tblStyle w:val="TableNormal7"/>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7"/>
        <w:gridCol w:w="8363"/>
      </w:tblGrid>
      <w:tr>
        <w:tblPrEx>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15"/>
          <w:jc w:val="left"/>
        </w:trPr>
        <w:tc>
          <w:tcPr>
            <w:tcW w:w="817" w:type="dxa"/>
          </w:tcPr>
          <w:p>
            <w:pPr>
              <w:pStyle w:val="TableParagraph"/>
              <w:spacing w:before="106"/>
              <w:ind w:right="336"/>
              <w:jc w:val="right"/>
              <w:rPr>
                <w:sz w:val="24"/>
              </w:rPr>
            </w:pPr>
            <w:r>
              <w:rPr>
                <w:sz w:val="24"/>
              </w:rPr>
              <w:t>6</w:t>
            </w:r>
          </w:p>
        </w:tc>
        <w:tc>
          <w:tcPr>
            <w:tcW w:w="8363" w:type="dxa"/>
          </w:tcPr>
          <w:p>
            <w:pPr>
              <w:pStyle w:val="TableParagraph"/>
              <w:spacing w:before="106"/>
              <w:ind w:left="107"/>
              <w:rPr>
                <w:sz w:val="24"/>
              </w:rPr>
            </w:pPr>
            <w:r>
              <w:rPr>
                <w:spacing w:val="-12"/>
                <w:sz w:val="24"/>
              </w:rPr>
              <w:t xml:space="preserve">支持标准 </w:t>
            </w:r>
            <w:r>
              <w:rPr>
                <w:sz w:val="24"/>
              </w:rPr>
              <w:t>SFP,SFP+,QSFP+</w:t>
            </w:r>
            <w:r>
              <w:rPr>
                <w:spacing w:val="-4"/>
                <w:sz w:val="24"/>
              </w:rPr>
              <w:t>模块。</w:t>
            </w:r>
          </w:p>
        </w:tc>
      </w:tr>
      <w:tr>
        <w:tblPrEx>
          <w:tblW w:w="0" w:type="auto"/>
          <w:jc w:val="left"/>
          <w:tblInd w:w="155" w:type="dxa"/>
          <w:tblLayout w:type="fixed"/>
          <w:tblCellMar>
            <w:top w:w="0" w:type="dxa"/>
            <w:left w:w="0" w:type="dxa"/>
            <w:bottom w:w="0" w:type="dxa"/>
            <w:right w:w="0" w:type="dxa"/>
          </w:tblCellMar>
          <w:tblLook w:val="01E0"/>
        </w:tblPrEx>
        <w:trPr>
          <w:trHeight w:val="624"/>
          <w:jc w:val="left"/>
        </w:trPr>
        <w:tc>
          <w:tcPr>
            <w:tcW w:w="817" w:type="dxa"/>
          </w:tcPr>
          <w:p>
            <w:pPr>
              <w:pStyle w:val="TableParagraph"/>
              <w:spacing w:before="160"/>
              <w:ind w:right="336"/>
              <w:jc w:val="right"/>
              <w:rPr>
                <w:sz w:val="24"/>
              </w:rPr>
            </w:pPr>
            <w:r>
              <w:rPr>
                <w:sz w:val="24"/>
              </w:rPr>
              <w:t>7</w:t>
            </w:r>
          </w:p>
        </w:tc>
        <w:tc>
          <w:tcPr>
            <w:tcW w:w="8363" w:type="dxa"/>
          </w:tcPr>
          <w:p>
            <w:pPr>
              <w:pStyle w:val="TableParagraph"/>
              <w:spacing w:before="4"/>
              <w:ind w:left="107"/>
              <w:rPr>
                <w:sz w:val="24"/>
              </w:rPr>
            </w:pPr>
            <w:r>
              <w:rPr>
                <w:spacing w:val="-3"/>
                <w:sz w:val="24"/>
              </w:rPr>
              <w:t xml:space="preserve">▲为保证在大流量环境下的网络稳定性，要求设备的端口时延在 </w:t>
            </w:r>
            <w:r>
              <w:rPr>
                <w:sz w:val="24"/>
              </w:rPr>
              <w:t>5</w:t>
            </w:r>
            <w:r>
              <w:rPr>
                <w:spacing w:val="-12"/>
                <w:sz w:val="24"/>
              </w:rPr>
              <w:t xml:space="preserve"> 微秒之内，</w:t>
            </w:r>
          </w:p>
          <w:p>
            <w:pPr>
              <w:pStyle w:val="TableParagraph"/>
              <w:spacing w:before="4" w:line="288" w:lineRule="exact"/>
              <w:ind w:left="107"/>
              <w:rPr>
                <w:sz w:val="24"/>
              </w:rPr>
            </w:pPr>
            <w:r>
              <w:rPr>
                <w:spacing w:val="-1"/>
                <w:sz w:val="24"/>
              </w:rPr>
              <w:t>提供第三方权威机构测试报告证明</w:t>
            </w:r>
          </w:p>
        </w:tc>
      </w:tr>
      <w:tr>
        <w:tblPrEx>
          <w:tblW w:w="0" w:type="auto"/>
          <w:jc w:val="left"/>
          <w:tblInd w:w="155" w:type="dxa"/>
          <w:tblLayout w:type="fixed"/>
          <w:tblCellMar>
            <w:top w:w="0" w:type="dxa"/>
            <w:left w:w="0" w:type="dxa"/>
            <w:bottom w:w="0" w:type="dxa"/>
            <w:right w:w="0" w:type="dxa"/>
          </w:tblCellMar>
          <w:tblLook w:val="01E0"/>
        </w:tblPrEx>
        <w:trPr>
          <w:trHeight w:val="516"/>
          <w:jc w:val="left"/>
        </w:trPr>
        <w:tc>
          <w:tcPr>
            <w:tcW w:w="817" w:type="dxa"/>
          </w:tcPr>
          <w:p>
            <w:pPr>
              <w:pStyle w:val="TableParagraph"/>
              <w:spacing w:before="106"/>
              <w:ind w:right="336"/>
              <w:jc w:val="right"/>
              <w:rPr>
                <w:sz w:val="24"/>
              </w:rPr>
            </w:pPr>
            <w:r>
              <w:rPr>
                <w:sz w:val="24"/>
              </w:rPr>
              <w:t>8</w:t>
            </w:r>
          </w:p>
        </w:tc>
        <w:tc>
          <w:tcPr>
            <w:tcW w:w="8363" w:type="dxa"/>
          </w:tcPr>
          <w:p>
            <w:pPr>
              <w:pStyle w:val="TableParagraph"/>
              <w:spacing w:before="106"/>
              <w:ind w:left="107"/>
              <w:rPr>
                <w:sz w:val="24"/>
              </w:rPr>
            </w:pPr>
            <w:r>
              <w:rPr>
                <w:sz w:val="24"/>
              </w:rPr>
              <w:t>▲平均每万兆端口功耗≤5W，</w:t>
            </w:r>
            <w:r>
              <w:rPr>
                <w:spacing w:val="-1"/>
                <w:sz w:val="24"/>
              </w:rPr>
              <w:t>要求提供第三方权威机构测试报告证明</w:t>
            </w:r>
          </w:p>
        </w:tc>
      </w:tr>
      <w:tr>
        <w:tblPrEx>
          <w:tblW w:w="0" w:type="auto"/>
          <w:jc w:val="left"/>
          <w:tblInd w:w="155" w:type="dxa"/>
          <w:tblLayout w:type="fixed"/>
          <w:tblCellMar>
            <w:top w:w="0" w:type="dxa"/>
            <w:left w:w="0" w:type="dxa"/>
            <w:bottom w:w="0" w:type="dxa"/>
            <w:right w:w="0" w:type="dxa"/>
          </w:tblCellMar>
          <w:tblLook w:val="01E0"/>
        </w:tblPrEx>
        <w:trPr>
          <w:trHeight w:val="623"/>
          <w:jc w:val="left"/>
        </w:trPr>
        <w:tc>
          <w:tcPr>
            <w:tcW w:w="817" w:type="dxa"/>
          </w:tcPr>
          <w:p>
            <w:pPr>
              <w:pStyle w:val="TableParagraph"/>
              <w:spacing w:before="160"/>
              <w:ind w:right="336"/>
              <w:jc w:val="right"/>
              <w:rPr>
                <w:sz w:val="24"/>
              </w:rPr>
            </w:pPr>
            <w:r>
              <w:rPr>
                <w:sz w:val="24"/>
              </w:rPr>
              <w:t>9</w:t>
            </w:r>
          </w:p>
        </w:tc>
        <w:tc>
          <w:tcPr>
            <w:tcW w:w="8363" w:type="dxa"/>
          </w:tcPr>
          <w:p>
            <w:pPr>
              <w:pStyle w:val="TableParagraph"/>
              <w:spacing w:before="4"/>
              <w:ind w:left="107"/>
              <w:rPr>
                <w:sz w:val="24"/>
              </w:rPr>
            </w:pPr>
            <w:r>
              <w:rPr>
                <w:spacing w:val="-4"/>
                <w:sz w:val="24"/>
              </w:rPr>
              <w:t>★实配交流电源供电；支持多路电源输入，N+N</w:t>
            </w:r>
            <w:r>
              <w:rPr>
                <w:spacing w:val="-2"/>
                <w:sz w:val="24"/>
              </w:rPr>
              <w:t xml:space="preserve"> 电源冗余</w:t>
            </w:r>
            <w:r>
              <w:rPr>
                <w:spacing w:val="-4"/>
                <w:sz w:val="24"/>
              </w:rPr>
              <w:t>，50%</w:t>
            </w:r>
            <w:r>
              <w:rPr>
                <w:spacing w:val="-5"/>
                <w:sz w:val="24"/>
              </w:rPr>
              <w:t>数量电源模块工</w:t>
            </w:r>
          </w:p>
          <w:p>
            <w:pPr>
              <w:pStyle w:val="TableParagraph"/>
              <w:spacing w:before="4" w:line="288" w:lineRule="exact"/>
              <w:ind w:left="107"/>
              <w:rPr>
                <w:sz w:val="24"/>
              </w:rPr>
            </w:pPr>
            <w:r>
              <w:rPr>
                <w:sz w:val="24"/>
              </w:rPr>
              <w:t>作能满足整机线卡供电；N+N</w:t>
            </w:r>
            <w:r>
              <w:rPr>
                <w:spacing w:val="-9"/>
                <w:sz w:val="24"/>
              </w:rPr>
              <w:t xml:space="preserve"> 风扇冗余, </w:t>
            </w:r>
            <w:r>
              <w:rPr>
                <w:sz w:val="24"/>
              </w:rPr>
              <w:t>50%</w:t>
            </w:r>
            <w:r>
              <w:rPr>
                <w:spacing w:val="-1"/>
                <w:sz w:val="24"/>
              </w:rPr>
              <w:t>数量风扇模块工作满足整机散热。</w:t>
            </w:r>
          </w:p>
        </w:tc>
      </w:tr>
      <w:tr>
        <w:tblPrEx>
          <w:tblW w:w="0" w:type="auto"/>
          <w:jc w:val="left"/>
          <w:tblInd w:w="155" w:type="dxa"/>
          <w:tblLayout w:type="fixed"/>
          <w:tblCellMar>
            <w:top w:w="0" w:type="dxa"/>
            <w:left w:w="0" w:type="dxa"/>
            <w:bottom w:w="0" w:type="dxa"/>
            <w:right w:w="0" w:type="dxa"/>
          </w:tblCellMar>
          <w:tblLook w:val="01E0"/>
        </w:tblPrEx>
        <w:trPr>
          <w:trHeight w:val="390"/>
          <w:jc w:val="left"/>
        </w:trPr>
        <w:tc>
          <w:tcPr>
            <w:tcW w:w="817" w:type="dxa"/>
          </w:tcPr>
          <w:p>
            <w:pPr>
              <w:pStyle w:val="TableParagraph"/>
              <w:spacing w:before="43"/>
              <w:ind w:right="276"/>
              <w:jc w:val="right"/>
              <w:rPr>
                <w:sz w:val="24"/>
              </w:rPr>
            </w:pPr>
            <w:r>
              <w:rPr>
                <w:spacing w:val="-5"/>
                <w:sz w:val="24"/>
              </w:rPr>
              <w:t>10</w:t>
            </w:r>
          </w:p>
        </w:tc>
        <w:tc>
          <w:tcPr>
            <w:tcW w:w="8363" w:type="dxa"/>
          </w:tcPr>
          <w:p>
            <w:pPr>
              <w:pStyle w:val="TableParagraph"/>
              <w:spacing w:before="43"/>
              <w:ind w:left="107"/>
              <w:rPr>
                <w:sz w:val="24"/>
              </w:rPr>
            </w:pPr>
            <w:r>
              <w:rPr>
                <w:spacing w:val="-20"/>
                <w:sz w:val="24"/>
              </w:rPr>
              <w:t xml:space="preserve">支持 </w:t>
            </w:r>
            <w:r>
              <w:rPr>
                <w:sz w:val="24"/>
              </w:rPr>
              <w:t>VoQ</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390"/>
          <w:jc w:val="left"/>
        </w:trPr>
        <w:tc>
          <w:tcPr>
            <w:tcW w:w="817" w:type="dxa"/>
          </w:tcPr>
          <w:p>
            <w:pPr>
              <w:pStyle w:val="TableParagraph"/>
              <w:spacing w:before="43"/>
              <w:ind w:right="276"/>
              <w:jc w:val="right"/>
              <w:rPr>
                <w:sz w:val="24"/>
              </w:rPr>
            </w:pPr>
            <w:r>
              <w:rPr>
                <w:spacing w:val="-5"/>
                <w:sz w:val="24"/>
              </w:rPr>
              <w:t>11</w:t>
            </w:r>
          </w:p>
        </w:tc>
        <w:tc>
          <w:tcPr>
            <w:tcW w:w="8363" w:type="dxa"/>
          </w:tcPr>
          <w:p>
            <w:pPr>
              <w:pStyle w:val="TableParagraph"/>
              <w:spacing w:before="43"/>
              <w:ind w:left="107"/>
              <w:rPr>
                <w:sz w:val="24"/>
              </w:rPr>
            </w:pPr>
            <w:r>
              <w:rPr>
                <w:spacing w:val="-1"/>
                <w:sz w:val="24"/>
              </w:rPr>
              <w:t>严格前后风道，提供证明材料。</w:t>
            </w:r>
          </w:p>
        </w:tc>
      </w:tr>
      <w:tr>
        <w:tblPrEx>
          <w:tblW w:w="0" w:type="auto"/>
          <w:jc w:val="left"/>
          <w:tblInd w:w="155" w:type="dxa"/>
          <w:tblLayout w:type="fixed"/>
          <w:tblCellMar>
            <w:top w:w="0" w:type="dxa"/>
            <w:left w:w="0" w:type="dxa"/>
            <w:bottom w:w="0" w:type="dxa"/>
            <w:right w:w="0" w:type="dxa"/>
          </w:tblCellMar>
          <w:tblLook w:val="01E0"/>
        </w:tblPrEx>
        <w:trPr>
          <w:trHeight w:val="623"/>
          <w:jc w:val="left"/>
        </w:trPr>
        <w:tc>
          <w:tcPr>
            <w:tcW w:w="817" w:type="dxa"/>
          </w:tcPr>
          <w:p>
            <w:pPr>
              <w:pStyle w:val="TableParagraph"/>
              <w:spacing w:before="160"/>
              <w:ind w:right="276"/>
              <w:jc w:val="right"/>
              <w:rPr>
                <w:sz w:val="24"/>
              </w:rPr>
            </w:pPr>
            <w:r>
              <w:rPr>
                <w:spacing w:val="-5"/>
                <w:sz w:val="24"/>
              </w:rPr>
              <w:t>12</w:t>
            </w:r>
          </w:p>
        </w:tc>
        <w:tc>
          <w:tcPr>
            <w:tcW w:w="8363" w:type="dxa"/>
          </w:tcPr>
          <w:p>
            <w:pPr>
              <w:pStyle w:val="TableParagraph"/>
              <w:spacing w:before="4"/>
              <w:ind w:left="107"/>
              <w:rPr>
                <w:sz w:val="24"/>
              </w:rPr>
            </w:pPr>
            <w:r>
              <w:rPr>
                <w:spacing w:val="-1"/>
                <w:sz w:val="24"/>
              </w:rPr>
              <w:t>★支持热补丁技术，升级软件不需关机；独立的硬件监控模块,实现对单板、</w:t>
            </w:r>
          </w:p>
          <w:p>
            <w:pPr>
              <w:pStyle w:val="TableParagraph"/>
              <w:spacing w:before="4" w:line="288" w:lineRule="exact"/>
              <w:ind w:left="107"/>
              <w:rPr>
                <w:sz w:val="24"/>
              </w:rPr>
            </w:pPr>
            <w:r>
              <w:rPr>
                <w:spacing w:val="-1"/>
                <w:sz w:val="24"/>
              </w:rPr>
              <w:t>风扇和电源配电模块的管理、监控和维护，满足电信级可靠性的要求。</w:t>
            </w:r>
          </w:p>
        </w:tc>
      </w:tr>
      <w:tr>
        <w:tblPrEx>
          <w:tblW w:w="0" w:type="auto"/>
          <w:jc w:val="left"/>
          <w:tblInd w:w="155" w:type="dxa"/>
          <w:tblLayout w:type="fixed"/>
          <w:tblCellMar>
            <w:top w:w="0" w:type="dxa"/>
            <w:left w:w="0" w:type="dxa"/>
            <w:bottom w:w="0" w:type="dxa"/>
            <w:right w:w="0" w:type="dxa"/>
          </w:tblCellMar>
          <w:tblLook w:val="01E0"/>
        </w:tblPrEx>
        <w:trPr>
          <w:trHeight w:val="2807"/>
          <w:jc w:val="left"/>
        </w:trPr>
        <w:tc>
          <w:tcPr>
            <w:tcW w:w="817" w:type="dxa"/>
          </w:tcPr>
          <w:p>
            <w:pPr>
              <w:pStyle w:val="TableParagraph"/>
              <w:rPr>
                <w:rFonts w:ascii="Microsoft JhengHei"/>
                <w:b/>
                <w:sz w:val="24"/>
              </w:rPr>
            </w:pPr>
          </w:p>
          <w:p>
            <w:pPr>
              <w:pStyle w:val="TableParagraph"/>
              <w:rPr>
                <w:rFonts w:ascii="Microsoft JhengHei"/>
                <w:b/>
                <w:sz w:val="24"/>
              </w:rPr>
            </w:pPr>
          </w:p>
          <w:p>
            <w:pPr>
              <w:pStyle w:val="TableParagraph"/>
              <w:spacing w:before="1"/>
              <w:rPr>
                <w:rFonts w:ascii="Microsoft JhengHei"/>
                <w:b/>
                <w:sz w:val="20"/>
              </w:rPr>
            </w:pPr>
          </w:p>
          <w:p>
            <w:pPr>
              <w:pStyle w:val="TableParagraph"/>
              <w:ind w:right="276"/>
              <w:jc w:val="right"/>
              <w:rPr>
                <w:sz w:val="24"/>
              </w:rPr>
            </w:pPr>
            <w:r>
              <w:rPr>
                <w:spacing w:val="-5"/>
                <w:sz w:val="24"/>
              </w:rPr>
              <w:t>13</w:t>
            </w:r>
          </w:p>
        </w:tc>
        <w:tc>
          <w:tcPr>
            <w:tcW w:w="8363" w:type="dxa"/>
          </w:tcPr>
          <w:p>
            <w:pPr>
              <w:pStyle w:val="TableParagraph"/>
              <w:spacing w:before="4" w:line="242" w:lineRule="auto"/>
              <w:ind w:left="107" w:right="84"/>
              <w:jc w:val="both"/>
              <w:rPr>
                <w:sz w:val="24"/>
              </w:rPr>
            </w:pPr>
            <w:r>
              <w:rPr>
                <w:spacing w:val="-6"/>
                <w:sz w:val="24"/>
              </w:rPr>
              <w:t>★MAC</w:t>
            </w:r>
            <w:r>
              <w:rPr>
                <w:spacing w:val="-10"/>
                <w:sz w:val="24"/>
              </w:rPr>
              <w:t xml:space="preserve"> 地址</w:t>
            </w:r>
            <w:r>
              <w:rPr>
                <w:spacing w:val="-6"/>
                <w:sz w:val="24"/>
              </w:rPr>
              <w:t>≥128K（</w:t>
            </w:r>
            <w:r>
              <w:rPr>
                <w:spacing w:val="-8"/>
                <w:sz w:val="24"/>
              </w:rPr>
              <w:t xml:space="preserve">要求单端口、单 </w:t>
            </w:r>
            <w:r>
              <w:rPr>
                <w:spacing w:val="-6"/>
                <w:sz w:val="24"/>
              </w:rPr>
              <w:t>vlan</w:t>
            </w:r>
            <w:r>
              <w:rPr>
                <w:spacing w:val="-9"/>
                <w:sz w:val="24"/>
              </w:rPr>
              <w:t xml:space="preserve"> 均可以支持</w:t>
            </w:r>
            <w:r>
              <w:rPr>
                <w:spacing w:val="-6"/>
                <w:sz w:val="24"/>
              </w:rPr>
              <w:t>）；操作系统支持所列类</w:t>
            </w:r>
            <w:r>
              <w:rPr>
                <w:sz w:val="24"/>
              </w:rPr>
              <w:t>似功能并配置相应授权，如：4K</w:t>
            </w:r>
            <w:r>
              <w:rPr>
                <w:spacing w:val="-20"/>
                <w:sz w:val="24"/>
              </w:rPr>
              <w:t xml:space="preserve"> </w:t>
            </w:r>
            <w:r>
              <w:rPr>
                <w:sz w:val="24"/>
              </w:rPr>
              <w:t>VLAN；QinQ；Super</w:t>
            </w:r>
            <w:r>
              <w:rPr>
                <w:spacing w:val="-20"/>
                <w:sz w:val="24"/>
              </w:rPr>
              <w:t xml:space="preserve"> </w:t>
            </w:r>
            <w:r>
              <w:rPr>
                <w:sz w:val="24"/>
              </w:rPr>
              <w:t>VLAN；STP/RSTP/MSTP；</w:t>
            </w:r>
            <w:r>
              <w:rPr>
                <w:sz w:val="24"/>
              </w:rPr>
              <w:t xml:space="preserve">端口聚合；N:1 镜像；RSPAN；环路检测与避免；IPV4&amp;V6 相应的静态路由、 </w:t>
            </w:r>
            <w:r>
              <w:rPr>
                <w:spacing w:val="-2"/>
                <w:sz w:val="24"/>
              </w:rPr>
              <w:t>RIP、OSPF、IS-IS、BGP</w:t>
            </w:r>
            <w:r>
              <w:rPr>
                <w:spacing w:val="-7"/>
                <w:sz w:val="24"/>
              </w:rPr>
              <w:t xml:space="preserve"> 动态路由及策略路由协议；</w:t>
            </w:r>
            <w:r>
              <w:rPr>
                <w:spacing w:val="-2"/>
                <w:sz w:val="24"/>
              </w:rPr>
              <w:t>Diff-Serv</w:t>
            </w:r>
            <w:r>
              <w:rPr>
                <w:spacing w:val="-7"/>
                <w:sz w:val="24"/>
              </w:rPr>
              <w:t xml:space="preserve"> </w:t>
            </w:r>
            <w:r>
              <w:rPr>
                <w:spacing w:val="-2"/>
                <w:sz w:val="24"/>
              </w:rPr>
              <w:t>QoS、QoS</w:t>
            </w:r>
            <w:r>
              <w:rPr>
                <w:spacing w:val="-11"/>
                <w:sz w:val="24"/>
              </w:rPr>
              <w:t xml:space="preserve"> 相应</w:t>
            </w:r>
            <w:r>
              <w:rPr>
                <w:spacing w:val="-8"/>
                <w:sz w:val="24"/>
              </w:rPr>
              <w:t xml:space="preserve">队列机制 </w:t>
            </w:r>
            <w:r>
              <w:rPr>
                <w:spacing w:val="-2"/>
                <w:sz w:val="24"/>
              </w:rPr>
              <w:t>SP、WRR、DWRR、SP+WRR、SP+DWRR、CAR、WRED</w:t>
            </w:r>
            <w:r>
              <w:rPr>
                <w:spacing w:val="-7"/>
                <w:sz w:val="24"/>
              </w:rPr>
              <w:t xml:space="preserve"> 等类似功能</w:t>
            </w:r>
            <w:r>
              <w:rPr>
                <w:spacing w:val="-2"/>
                <w:sz w:val="24"/>
              </w:rPr>
              <w:t>；MPLS；</w:t>
            </w:r>
            <w:r>
              <w:rPr>
                <w:spacing w:val="-16"/>
                <w:sz w:val="24"/>
              </w:rPr>
              <w:t>风暴控制；</w:t>
            </w:r>
            <w:r>
              <w:rPr>
                <w:spacing w:val="-4"/>
                <w:sz w:val="24"/>
              </w:rPr>
              <w:t>DHCPv4</w:t>
            </w:r>
            <w:r>
              <w:rPr>
                <w:spacing w:val="-26"/>
                <w:sz w:val="24"/>
              </w:rPr>
              <w:t xml:space="preserve"> </w:t>
            </w:r>
            <w:r>
              <w:rPr>
                <w:spacing w:val="-4"/>
                <w:sz w:val="24"/>
              </w:rPr>
              <w:t>Server、Relay、snooping</w:t>
            </w:r>
            <w:r>
              <w:rPr>
                <w:spacing w:val="-19"/>
                <w:sz w:val="24"/>
              </w:rPr>
              <w:t xml:space="preserve"> 与 </w:t>
            </w:r>
            <w:r>
              <w:rPr>
                <w:spacing w:val="-4"/>
                <w:sz w:val="24"/>
              </w:rPr>
              <w:t>DHCP</w:t>
            </w:r>
            <w:r>
              <w:rPr>
                <w:spacing w:val="-26"/>
                <w:sz w:val="24"/>
              </w:rPr>
              <w:t xml:space="preserve"> </w:t>
            </w:r>
            <w:r>
              <w:rPr>
                <w:spacing w:val="-4"/>
                <w:sz w:val="24"/>
              </w:rPr>
              <w:t>Option</w:t>
            </w:r>
            <w:r>
              <w:rPr>
                <w:spacing w:val="-11"/>
                <w:sz w:val="24"/>
              </w:rPr>
              <w:t xml:space="preserve"> </w:t>
            </w:r>
            <w:r>
              <w:rPr>
                <w:spacing w:val="-4"/>
                <w:sz w:val="24"/>
              </w:rPr>
              <w:t>82；IP/ARP/ICMP</w:t>
            </w:r>
            <w:r>
              <w:rPr>
                <w:spacing w:val="24"/>
                <w:sz w:val="24"/>
              </w:rPr>
              <w:t>安全、</w:t>
            </w:r>
            <w:r>
              <w:rPr>
                <w:sz w:val="24"/>
              </w:rPr>
              <w:t>IPSG/DAI</w:t>
            </w:r>
            <w:r>
              <w:rPr>
                <w:spacing w:val="24"/>
                <w:sz w:val="24"/>
              </w:rPr>
              <w:t>、</w:t>
            </w:r>
            <w:r>
              <w:rPr>
                <w:sz w:val="24"/>
              </w:rPr>
              <w:t>CPU</w:t>
            </w:r>
            <w:r>
              <w:rPr>
                <w:spacing w:val="6"/>
                <w:sz w:val="24"/>
              </w:rPr>
              <w:t xml:space="preserve"> 保护技术、第 </w:t>
            </w:r>
            <w:r>
              <w:rPr>
                <w:sz w:val="24"/>
              </w:rPr>
              <w:t>2</w:t>
            </w:r>
            <w:r>
              <w:rPr>
                <w:spacing w:val="24"/>
                <w:sz w:val="24"/>
              </w:rPr>
              <w:t>、</w:t>
            </w:r>
            <w:r>
              <w:rPr>
                <w:sz w:val="24"/>
              </w:rPr>
              <w:t>3</w:t>
            </w:r>
            <w:r>
              <w:rPr>
                <w:spacing w:val="24"/>
                <w:sz w:val="24"/>
              </w:rPr>
              <w:t>、</w:t>
            </w:r>
            <w:r>
              <w:rPr>
                <w:sz w:val="24"/>
              </w:rPr>
              <w:t>4</w:t>
            </w:r>
            <w:r>
              <w:rPr>
                <w:spacing w:val="-9"/>
                <w:sz w:val="24"/>
              </w:rPr>
              <w:t xml:space="preserve"> 层的 </w:t>
            </w:r>
            <w:r>
              <w:rPr>
                <w:sz w:val="24"/>
              </w:rPr>
              <w:t>ACL，</w:t>
            </w:r>
            <w:r>
              <w:rPr>
                <w:spacing w:val="-9"/>
                <w:sz w:val="24"/>
              </w:rPr>
              <w:t xml:space="preserve"> 双向 </w:t>
            </w:r>
            <w:r>
              <w:rPr>
                <w:sz w:val="24"/>
              </w:rPr>
              <w:t>ACL；</w:t>
            </w:r>
            <w:r>
              <w:rPr>
                <w:spacing w:val="-30"/>
                <w:sz w:val="24"/>
              </w:rPr>
              <w:t xml:space="preserve"> </w:t>
            </w:r>
            <w:r>
              <w:rPr>
                <w:sz w:val="24"/>
              </w:rPr>
              <w:t>IGMP Snooping</w:t>
            </w:r>
            <w:r>
              <w:rPr>
                <w:spacing w:val="30"/>
                <w:sz w:val="24"/>
              </w:rPr>
              <w:t xml:space="preserve"> </w:t>
            </w:r>
            <w:r>
              <w:rPr>
                <w:sz w:val="24"/>
              </w:rPr>
              <w:t>V1/2/3；PIM-SM,PIM-SSM；SNMP</w:t>
            </w:r>
            <w:r>
              <w:rPr>
                <w:spacing w:val="30"/>
                <w:sz w:val="24"/>
              </w:rPr>
              <w:t xml:space="preserve"> </w:t>
            </w:r>
            <w:r>
              <w:rPr>
                <w:sz w:val="24"/>
              </w:rPr>
              <w:t>V1/V2/V3</w:t>
            </w:r>
            <w:r>
              <w:rPr>
                <w:spacing w:val="15"/>
                <w:sz w:val="24"/>
              </w:rPr>
              <w:t>、</w:t>
            </w:r>
            <w:r>
              <w:rPr>
                <w:sz w:val="24"/>
              </w:rPr>
              <w:t>Telnet</w:t>
            </w:r>
            <w:r>
              <w:rPr>
                <w:spacing w:val="15"/>
                <w:sz w:val="24"/>
              </w:rPr>
              <w:t>、</w:t>
            </w:r>
            <w:r>
              <w:rPr>
                <w:sz w:val="24"/>
              </w:rPr>
              <w:t>RMON</w:t>
            </w:r>
            <w:r>
              <w:rPr>
                <w:spacing w:val="15"/>
                <w:sz w:val="24"/>
              </w:rPr>
              <w:t>、</w:t>
            </w:r>
            <w:r>
              <w:rPr>
                <w:spacing w:val="-4"/>
                <w:sz w:val="24"/>
              </w:rPr>
              <w:t>SSH；</w:t>
            </w:r>
          </w:p>
          <w:p>
            <w:pPr>
              <w:pStyle w:val="TableParagraph"/>
              <w:spacing w:before="11" w:line="288" w:lineRule="exact"/>
              <w:ind w:left="107"/>
              <w:rPr>
                <w:sz w:val="24"/>
              </w:rPr>
            </w:pPr>
            <w:r>
              <w:rPr>
                <w:sz w:val="24"/>
              </w:rPr>
              <w:t>802.1X、VRRP；FCoE/TRILL/EVB</w:t>
            </w:r>
            <w:r>
              <w:rPr>
                <w:spacing w:val="-9"/>
                <w:sz w:val="24"/>
              </w:rPr>
              <w:t xml:space="preserve"> 等数据中心特性。</w:t>
            </w:r>
          </w:p>
        </w:tc>
      </w:tr>
      <w:tr>
        <w:tblPrEx>
          <w:tblW w:w="0" w:type="auto"/>
          <w:jc w:val="left"/>
          <w:tblInd w:w="155" w:type="dxa"/>
          <w:tblLayout w:type="fixed"/>
          <w:tblCellMar>
            <w:top w:w="0" w:type="dxa"/>
            <w:left w:w="0" w:type="dxa"/>
            <w:bottom w:w="0" w:type="dxa"/>
            <w:right w:w="0" w:type="dxa"/>
          </w:tblCellMar>
          <w:tblLook w:val="01E0"/>
        </w:tblPrEx>
        <w:trPr>
          <w:trHeight w:val="624"/>
          <w:jc w:val="left"/>
        </w:trPr>
        <w:tc>
          <w:tcPr>
            <w:tcW w:w="817" w:type="dxa"/>
          </w:tcPr>
          <w:p>
            <w:pPr>
              <w:pStyle w:val="TableParagraph"/>
              <w:spacing w:before="160"/>
              <w:ind w:right="276"/>
              <w:jc w:val="right"/>
              <w:rPr>
                <w:sz w:val="24"/>
              </w:rPr>
            </w:pPr>
            <w:r>
              <w:rPr>
                <w:spacing w:val="-5"/>
                <w:sz w:val="24"/>
              </w:rPr>
              <w:t>14</w:t>
            </w:r>
          </w:p>
        </w:tc>
        <w:tc>
          <w:tcPr>
            <w:tcW w:w="8363" w:type="dxa"/>
          </w:tcPr>
          <w:p>
            <w:pPr>
              <w:pStyle w:val="TableParagraph"/>
              <w:spacing w:before="4"/>
              <w:ind w:left="107"/>
              <w:rPr>
                <w:sz w:val="24"/>
              </w:rPr>
            </w:pPr>
            <w:r>
              <w:rPr>
                <w:spacing w:val="-6"/>
                <w:sz w:val="24"/>
              </w:rPr>
              <w:t>▲在满足上述要求的基础上，额外提供交换网板备件</w:t>
            </w:r>
            <w:r>
              <w:rPr>
                <w:sz w:val="24"/>
              </w:rPr>
              <w:t>≥1</w:t>
            </w:r>
            <w:r>
              <w:rPr>
                <w:spacing w:val="-16"/>
                <w:sz w:val="24"/>
              </w:rPr>
              <w:t xml:space="preserve"> 块，电源模块备件</w:t>
            </w:r>
            <w:r>
              <w:rPr>
                <w:spacing w:val="-5"/>
                <w:sz w:val="24"/>
              </w:rPr>
              <w:t>≥2</w:t>
            </w:r>
          </w:p>
          <w:p>
            <w:pPr>
              <w:pStyle w:val="TableParagraph"/>
              <w:spacing w:before="4" w:line="288" w:lineRule="exact"/>
              <w:ind w:left="107"/>
              <w:rPr>
                <w:sz w:val="24"/>
              </w:rPr>
            </w:pPr>
            <w:r>
              <w:rPr>
                <w:spacing w:val="-1"/>
                <w:sz w:val="24"/>
              </w:rPr>
              <w:t>个，提高整机的可靠性。</w:t>
            </w:r>
          </w:p>
        </w:tc>
      </w:tr>
      <w:tr>
        <w:tblPrEx>
          <w:tblW w:w="0" w:type="auto"/>
          <w:jc w:val="left"/>
          <w:tblInd w:w="155" w:type="dxa"/>
          <w:tblLayout w:type="fixed"/>
          <w:tblCellMar>
            <w:top w:w="0" w:type="dxa"/>
            <w:left w:w="0" w:type="dxa"/>
            <w:bottom w:w="0" w:type="dxa"/>
            <w:right w:w="0" w:type="dxa"/>
          </w:tblCellMar>
          <w:tblLook w:val="01E0"/>
        </w:tblPrEx>
        <w:trPr>
          <w:trHeight w:val="312"/>
          <w:jc w:val="left"/>
        </w:trPr>
        <w:tc>
          <w:tcPr>
            <w:tcW w:w="817" w:type="dxa"/>
          </w:tcPr>
          <w:p>
            <w:pPr>
              <w:pStyle w:val="TableParagraph"/>
              <w:spacing w:before="4" w:line="288" w:lineRule="exact"/>
              <w:ind w:right="276"/>
              <w:jc w:val="right"/>
              <w:rPr>
                <w:sz w:val="24"/>
              </w:rPr>
            </w:pPr>
            <w:r>
              <w:rPr>
                <w:spacing w:val="-5"/>
                <w:sz w:val="24"/>
              </w:rPr>
              <w:t>15</w:t>
            </w:r>
          </w:p>
        </w:tc>
        <w:tc>
          <w:tcPr>
            <w:tcW w:w="8363" w:type="dxa"/>
          </w:tcPr>
          <w:p>
            <w:pPr>
              <w:pStyle w:val="TableParagraph"/>
              <w:spacing w:before="4" w:line="288" w:lineRule="exact"/>
              <w:ind w:left="107"/>
              <w:rPr>
                <w:sz w:val="24"/>
              </w:rPr>
            </w:pPr>
            <w:r>
              <w:rPr>
                <w:spacing w:val="-8"/>
                <w:sz w:val="24"/>
              </w:rPr>
              <w:t>具有工信部入网证（Ipv4、</w:t>
            </w:r>
            <w:r>
              <w:rPr>
                <w:spacing w:val="16"/>
                <w:sz w:val="24"/>
              </w:rPr>
              <w:t>Ipv6</w:t>
            </w:r>
            <w:r>
              <w:rPr>
                <w:spacing w:val="-104"/>
                <w:sz w:val="24"/>
              </w:rPr>
              <w:t>）</w:t>
            </w:r>
            <w:r>
              <w:rPr>
                <w:spacing w:val="-10"/>
                <w:sz w:val="24"/>
              </w:rPr>
              <w:t>。</w:t>
            </w:r>
          </w:p>
        </w:tc>
      </w:tr>
    </w:tbl>
    <w:p>
      <w:pPr>
        <w:pStyle w:val="BodyText"/>
        <w:rPr>
          <w:rFonts w:ascii="Microsoft JhengHei"/>
          <w:b/>
          <w:sz w:val="20"/>
        </w:rPr>
      </w:pPr>
    </w:p>
    <w:p>
      <w:pPr>
        <w:pStyle w:val="BodyText"/>
        <w:spacing w:before="13"/>
        <w:rPr>
          <w:rFonts w:ascii="Microsoft JhengHei"/>
          <w:b/>
          <w:sz w:val="13"/>
        </w:rPr>
      </w:pPr>
    </w:p>
    <w:p>
      <w:pPr>
        <w:pStyle w:val="Heading4"/>
        <w:numPr>
          <w:ilvl w:val="1"/>
          <w:numId w:val="10"/>
        </w:numPr>
        <w:tabs>
          <w:tab w:val="left" w:pos="1041"/>
        </w:tabs>
        <w:spacing w:before="0" w:after="0" w:line="429" w:lineRule="exact"/>
        <w:ind w:left="1040" w:right="0" w:hanging="363"/>
        <w:jc w:val="left"/>
      </w:pPr>
      <w:r>
        <w:rPr>
          <w:spacing w:val="11"/>
        </w:rPr>
        <w:t xml:space="preserve">、 </w:t>
      </w:r>
      <w:r>
        <w:rPr>
          <w:spacing w:val="-12"/>
        </w:rPr>
        <w:t>DMZ 核心交换机技术要求（单套）</w:t>
      </w:r>
    </w:p>
    <w:p>
      <w:pPr>
        <w:pStyle w:val="BodyText"/>
        <w:spacing w:before="10"/>
        <w:rPr>
          <w:rFonts w:ascii="Microsoft JhengHei"/>
          <w:b/>
          <w:sz w:val="4"/>
        </w:rPr>
      </w:pPr>
    </w:p>
    <w:tbl>
      <w:tblPr>
        <w:tblStyle w:val="TableNormal7"/>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7"/>
        <w:gridCol w:w="8363"/>
      </w:tblGrid>
      <w:tr>
        <w:tblPrEx>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94"/>
          <w:jc w:val="left"/>
        </w:trPr>
        <w:tc>
          <w:tcPr>
            <w:tcW w:w="817" w:type="dxa"/>
          </w:tcPr>
          <w:p>
            <w:pPr>
              <w:pStyle w:val="TableParagraph"/>
              <w:spacing w:line="374" w:lineRule="exact"/>
              <w:ind w:left="153" w:right="144"/>
              <w:jc w:val="center"/>
              <w:rPr>
                <w:rFonts w:ascii="Microsoft JhengHei" w:eastAsia="Microsoft JhengHei"/>
                <w:b/>
                <w:sz w:val="24"/>
              </w:rPr>
            </w:pPr>
            <w:r>
              <w:rPr>
                <w:rFonts w:ascii="Microsoft JhengHei" w:eastAsia="Microsoft JhengHei"/>
                <w:b/>
                <w:spacing w:val="-5"/>
                <w:sz w:val="24"/>
              </w:rPr>
              <w:t>序号</w:t>
            </w:r>
          </w:p>
        </w:tc>
        <w:tc>
          <w:tcPr>
            <w:tcW w:w="8363" w:type="dxa"/>
          </w:tcPr>
          <w:p>
            <w:pPr>
              <w:pStyle w:val="TableParagraph"/>
              <w:spacing w:line="374" w:lineRule="exact"/>
              <w:ind w:left="22" w:right="13"/>
              <w:jc w:val="center"/>
              <w:rPr>
                <w:rFonts w:ascii="Microsoft JhengHei" w:eastAsia="Microsoft JhengHei"/>
                <w:b/>
                <w:sz w:val="24"/>
              </w:rPr>
            </w:pPr>
            <w:r>
              <w:rPr>
                <w:rFonts w:ascii="Microsoft JhengHei" w:eastAsia="Microsoft JhengHei"/>
                <w:b/>
                <w:spacing w:val="-2"/>
                <w:sz w:val="24"/>
              </w:rPr>
              <w:t>技术指标要求</w:t>
            </w:r>
          </w:p>
        </w:tc>
      </w:tr>
      <w:tr>
        <w:tblPrEx>
          <w:tblW w:w="0" w:type="auto"/>
          <w:jc w:val="left"/>
          <w:tblInd w:w="155" w:type="dxa"/>
          <w:tblLayout w:type="fixed"/>
          <w:tblCellMar>
            <w:top w:w="0" w:type="dxa"/>
            <w:left w:w="0" w:type="dxa"/>
            <w:bottom w:w="0" w:type="dxa"/>
            <w:right w:w="0" w:type="dxa"/>
          </w:tblCellMar>
          <w:tblLook w:val="01E0"/>
        </w:tblPrEx>
        <w:trPr>
          <w:trHeight w:val="624"/>
          <w:jc w:val="left"/>
        </w:trPr>
        <w:tc>
          <w:tcPr>
            <w:tcW w:w="817" w:type="dxa"/>
          </w:tcPr>
          <w:p>
            <w:pPr>
              <w:pStyle w:val="TableParagraph"/>
              <w:spacing w:before="160"/>
              <w:ind w:left="10"/>
              <w:jc w:val="center"/>
              <w:rPr>
                <w:sz w:val="24"/>
              </w:rPr>
            </w:pPr>
            <w:r>
              <w:rPr>
                <w:sz w:val="24"/>
              </w:rPr>
              <w:t>1</w:t>
            </w:r>
          </w:p>
        </w:tc>
        <w:tc>
          <w:tcPr>
            <w:tcW w:w="8363" w:type="dxa"/>
          </w:tcPr>
          <w:p>
            <w:pPr>
              <w:pStyle w:val="TableParagraph"/>
              <w:spacing w:before="4"/>
              <w:ind w:left="107"/>
              <w:rPr>
                <w:sz w:val="24"/>
              </w:rPr>
            </w:pPr>
            <w:r>
              <w:rPr>
                <w:spacing w:val="-4"/>
                <w:sz w:val="24"/>
              </w:rPr>
              <w:t>★CLOS 多级交换架构；正交架构设计（</w:t>
            </w:r>
            <w:r>
              <w:rPr>
                <w:spacing w:val="-5"/>
                <w:sz w:val="24"/>
              </w:rPr>
              <w:t>线卡、交换网板通过背板连接器垂直相</w:t>
            </w:r>
          </w:p>
          <w:p>
            <w:pPr>
              <w:pStyle w:val="TableParagraph"/>
              <w:spacing w:before="4" w:line="288" w:lineRule="exact"/>
              <w:ind w:left="107"/>
              <w:rPr>
                <w:sz w:val="24"/>
              </w:rPr>
            </w:pPr>
            <w:r>
              <w:rPr>
                <w:sz w:val="24"/>
              </w:rPr>
              <w:t>交）</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1248"/>
          <w:jc w:val="left"/>
        </w:trPr>
        <w:tc>
          <w:tcPr>
            <w:tcW w:w="817" w:type="dxa"/>
          </w:tcPr>
          <w:p>
            <w:pPr>
              <w:pStyle w:val="TableParagraph"/>
              <w:spacing w:before="12"/>
              <w:rPr>
                <w:rFonts w:ascii="Microsoft JhengHei"/>
                <w:b/>
                <w:sz w:val="25"/>
              </w:rPr>
            </w:pPr>
          </w:p>
          <w:p>
            <w:pPr>
              <w:pStyle w:val="TableParagraph"/>
              <w:ind w:left="10"/>
              <w:jc w:val="center"/>
              <w:rPr>
                <w:sz w:val="24"/>
              </w:rPr>
            </w:pPr>
            <w:r>
              <w:rPr>
                <w:sz w:val="24"/>
              </w:rPr>
              <w:t>2</w:t>
            </w:r>
          </w:p>
        </w:tc>
        <w:tc>
          <w:tcPr>
            <w:tcW w:w="8363" w:type="dxa"/>
          </w:tcPr>
          <w:p>
            <w:pPr>
              <w:pStyle w:val="TableParagraph"/>
              <w:spacing w:before="4" w:line="242" w:lineRule="auto"/>
              <w:ind w:left="107" w:right="95"/>
              <w:jc w:val="both"/>
              <w:rPr>
                <w:sz w:val="24"/>
              </w:rPr>
            </w:pPr>
            <w:r>
              <w:rPr>
                <w:spacing w:val="-2"/>
                <w:sz w:val="24"/>
              </w:rPr>
              <w:t>★实配双主控，主控、交换分离、独立交换网板；实配交换网板为每槽位提供</w:t>
            </w:r>
            <w:r>
              <w:rPr>
                <w:sz w:val="24"/>
              </w:rPr>
              <w:t>单向槽间转发能力≥960Gbps,</w:t>
            </w:r>
            <w:r>
              <w:rPr>
                <w:spacing w:val="-4"/>
                <w:sz w:val="24"/>
              </w:rPr>
              <w:t xml:space="preserve">交换网板支持 </w:t>
            </w:r>
            <w:r>
              <w:rPr>
                <w:sz w:val="24"/>
              </w:rPr>
              <w:t>N+1</w:t>
            </w:r>
            <w:r>
              <w:rPr>
                <w:spacing w:val="-6"/>
                <w:sz w:val="24"/>
              </w:rPr>
              <w:t xml:space="preserve"> 备份；实配单槽平均</w:t>
            </w:r>
            <w:r>
              <w:rPr>
                <w:sz w:val="24"/>
              </w:rPr>
              <w:t>（整机/槽位数）包转发率≥1200Mpps；业务可用槽位数≥4</w:t>
            </w:r>
            <w:r>
              <w:rPr>
                <w:spacing w:val="-1"/>
                <w:sz w:val="24"/>
              </w:rPr>
              <w:t>；支持堆叠，配置堆叠授</w:t>
            </w:r>
          </w:p>
          <w:p>
            <w:pPr>
              <w:pStyle w:val="TableParagraph"/>
              <w:spacing w:before="4" w:line="288" w:lineRule="exact"/>
              <w:ind w:left="107"/>
              <w:rPr>
                <w:sz w:val="24"/>
              </w:rPr>
            </w:pPr>
            <w:r>
              <w:rPr>
                <w:sz w:val="24"/>
              </w:rPr>
              <w:t>权，实配单向堆叠带宽≥320G</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312"/>
          <w:jc w:val="left"/>
        </w:trPr>
        <w:tc>
          <w:tcPr>
            <w:tcW w:w="817" w:type="dxa"/>
          </w:tcPr>
          <w:p>
            <w:pPr>
              <w:pStyle w:val="TableParagraph"/>
              <w:spacing w:before="4" w:line="288" w:lineRule="exact"/>
              <w:ind w:left="10"/>
              <w:jc w:val="center"/>
              <w:rPr>
                <w:sz w:val="24"/>
              </w:rPr>
            </w:pPr>
            <w:r>
              <w:rPr>
                <w:sz w:val="24"/>
              </w:rPr>
              <w:t>3</w:t>
            </w:r>
          </w:p>
        </w:tc>
        <w:tc>
          <w:tcPr>
            <w:tcW w:w="8363" w:type="dxa"/>
          </w:tcPr>
          <w:p>
            <w:pPr>
              <w:pStyle w:val="TableParagraph"/>
              <w:spacing w:before="4" w:line="288" w:lineRule="exact"/>
              <w:ind w:left="107"/>
              <w:rPr>
                <w:sz w:val="24"/>
              </w:rPr>
            </w:pPr>
            <w:r>
              <w:rPr>
                <w:spacing w:val="-4"/>
                <w:sz w:val="24"/>
              </w:rPr>
              <w:t xml:space="preserve">支持每槽位单向槽间转发能力平滑升级到 </w:t>
            </w:r>
            <w:r>
              <w:rPr>
                <w:sz w:val="24"/>
              </w:rPr>
              <w:t>2T</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936"/>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4</w:t>
            </w:r>
          </w:p>
        </w:tc>
        <w:tc>
          <w:tcPr>
            <w:tcW w:w="8363" w:type="dxa"/>
          </w:tcPr>
          <w:p>
            <w:pPr>
              <w:pStyle w:val="TableParagraph"/>
              <w:spacing w:before="4" w:line="242" w:lineRule="auto"/>
              <w:ind w:left="107" w:right="95"/>
              <w:rPr>
                <w:sz w:val="24"/>
              </w:rPr>
            </w:pPr>
            <w:r>
              <w:rPr>
                <w:spacing w:val="-14"/>
                <w:sz w:val="24"/>
              </w:rPr>
              <w:t xml:space="preserve">★实配 </w:t>
            </w:r>
            <w:r>
              <w:rPr>
                <w:sz w:val="24"/>
              </w:rPr>
              <w:t>48*10Gbps</w:t>
            </w:r>
            <w:r>
              <w:rPr>
                <w:spacing w:val="-9"/>
                <w:sz w:val="24"/>
              </w:rPr>
              <w:t xml:space="preserve"> 光接口板卡≥</w:t>
            </w:r>
            <w:r>
              <w:rPr>
                <w:sz w:val="24"/>
              </w:rPr>
              <w:t>1</w:t>
            </w:r>
            <w:r>
              <w:rPr>
                <w:spacing w:val="-8"/>
                <w:sz w:val="24"/>
              </w:rPr>
              <w:t xml:space="preserve"> 块；万兆板卡接口直接自适应千兆模块；平</w:t>
            </w:r>
            <w:r>
              <w:rPr>
                <w:sz w:val="24"/>
              </w:rPr>
              <w:t>均每万兆端口缓存≥100ms</w:t>
            </w:r>
            <w:r>
              <w:rPr>
                <w:spacing w:val="-13"/>
                <w:sz w:val="24"/>
              </w:rPr>
              <w:t xml:space="preserve">；实配 </w:t>
            </w:r>
            <w:r>
              <w:rPr>
                <w:sz w:val="24"/>
              </w:rPr>
              <w:t>24*40G</w:t>
            </w:r>
            <w:r>
              <w:rPr>
                <w:spacing w:val="-9"/>
                <w:sz w:val="24"/>
              </w:rPr>
              <w:t xml:space="preserve"> 光接口板卡≥</w:t>
            </w:r>
            <w:r>
              <w:rPr>
                <w:sz w:val="24"/>
              </w:rPr>
              <w:t>1</w:t>
            </w:r>
            <w:r>
              <w:rPr>
                <w:spacing w:val="-9"/>
                <w:sz w:val="24"/>
              </w:rPr>
              <w:t xml:space="preserve"> 块；实配相应接口多</w:t>
            </w:r>
          </w:p>
          <w:p>
            <w:pPr>
              <w:pStyle w:val="TableParagraph"/>
              <w:spacing w:before="3" w:line="288" w:lineRule="exact"/>
              <w:ind w:left="107"/>
              <w:rPr>
                <w:sz w:val="24"/>
              </w:rPr>
            </w:pPr>
            <w:r>
              <w:rPr>
                <w:spacing w:val="-30"/>
                <w:sz w:val="24"/>
              </w:rPr>
              <w:t xml:space="preserve">模 </w:t>
            </w:r>
            <w:r>
              <w:rPr>
                <w:sz w:val="24"/>
              </w:rPr>
              <w:t>40G</w:t>
            </w:r>
            <w:r>
              <w:rPr>
                <w:spacing w:val="-9"/>
                <w:sz w:val="24"/>
              </w:rPr>
              <w:t xml:space="preserve"> 端口模块数量</w:t>
            </w:r>
            <w:r>
              <w:rPr>
                <w:sz w:val="24"/>
              </w:rPr>
              <w:t>≥9</w:t>
            </w:r>
            <w:r>
              <w:rPr>
                <w:spacing w:val="-9"/>
                <w:sz w:val="24"/>
              </w:rPr>
              <w:t xml:space="preserve"> 个(含堆叠所用模块)。</w:t>
            </w:r>
          </w:p>
        </w:tc>
      </w:tr>
      <w:tr>
        <w:tblPrEx>
          <w:tblW w:w="0" w:type="auto"/>
          <w:jc w:val="left"/>
          <w:tblInd w:w="155" w:type="dxa"/>
          <w:tblLayout w:type="fixed"/>
          <w:tblCellMar>
            <w:top w:w="0" w:type="dxa"/>
            <w:left w:w="0" w:type="dxa"/>
            <w:bottom w:w="0" w:type="dxa"/>
            <w:right w:w="0" w:type="dxa"/>
          </w:tblCellMar>
          <w:tblLook w:val="01E0"/>
        </w:tblPrEx>
        <w:trPr>
          <w:trHeight w:val="936"/>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5</w:t>
            </w:r>
          </w:p>
        </w:tc>
        <w:tc>
          <w:tcPr>
            <w:tcW w:w="8363" w:type="dxa"/>
          </w:tcPr>
          <w:p>
            <w:pPr>
              <w:pStyle w:val="TableParagraph"/>
              <w:spacing w:before="4" w:line="242" w:lineRule="auto"/>
              <w:ind w:left="107" w:right="95"/>
              <w:rPr>
                <w:sz w:val="24"/>
              </w:rPr>
            </w:pPr>
            <w:r>
              <w:rPr>
                <w:spacing w:val="-5"/>
                <w:sz w:val="24"/>
              </w:rPr>
              <w:t xml:space="preserve">★支持一虚多技术，配置一虚多授权，可虚拟不少于 </w:t>
            </w:r>
            <w:r>
              <w:rPr>
                <w:spacing w:val="-2"/>
                <w:sz w:val="24"/>
              </w:rPr>
              <w:t>4</w:t>
            </w:r>
            <w:r>
              <w:rPr>
                <w:spacing w:val="-10"/>
                <w:sz w:val="24"/>
              </w:rPr>
              <w:t xml:space="preserve"> 个虚拟交换机；配置中</w:t>
            </w:r>
            <w:r>
              <w:rPr>
                <w:spacing w:val="-4"/>
                <w:sz w:val="24"/>
              </w:rPr>
              <w:t>的所有板卡（</w:t>
            </w:r>
            <w:r>
              <w:rPr>
                <w:spacing w:val="1"/>
                <w:sz w:val="24"/>
              </w:rPr>
              <w:t xml:space="preserve">包括 </w:t>
            </w:r>
            <w:r>
              <w:rPr>
                <w:spacing w:val="-4"/>
                <w:sz w:val="24"/>
              </w:rPr>
              <w:t>10GE、40GE）</w:t>
            </w:r>
            <w:r>
              <w:rPr>
                <w:spacing w:val="-5"/>
                <w:sz w:val="24"/>
              </w:rPr>
              <w:t>任一接口，在应用一虚多技术时，可以任意配</w:t>
            </w:r>
          </w:p>
          <w:p>
            <w:pPr>
              <w:pStyle w:val="TableParagraph"/>
              <w:spacing w:before="3" w:line="288" w:lineRule="exact"/>
              <w:ind w:left="107"/>
              <w:rPr>
                <w:sz w:val="24"/>
              </w:rPr>
            </w:pPr>
            <w:r>
              <w:rPr>
                <w:sz w:val="24"/>
              </w:rPr>
              <w:t>置在任一虚拟交换机内（任意组合）</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312"/>
          <w:jc w:val="left"/>
        </w:trPr>
        <w:tc>
          <w:tcPr>
            <w:tcW w:w="817" w:type="dxa"/>
          </w:tcPr>
          <w:p>
            <w:pPr>
              <w:pStyle w:val="TableParagraph"/>
              <w:spacing w:before="4" w:line="288" w:lineRule="exact"/>
              <w:ind w:left="10"/>
              <w:jc w:val="center"/>
              <w:rPr>
                <w:sz w:val="24"/>
              </w:rPr>
            </w:pPr>
            <w:r>
              <w:rPr>
                <w:sz w:val="24"/>
              </w:rPr>
              <w:t>6</w:t>
            </w:r>
          </w:p>
        </w:tc>
        <w:tc>
          <w:tcPr>
            <w:tcW w:w="8363" w:type="dxa"/>
          </w:tcPr>
          <w:p>
            <w:pPr>
              <w:pStyle w:val="TableParagraph"/>
              <w:spacing w:before="4" w:line="288" w:lineRule="exact"/>
              <w:ind w:left="107"/>
              <w:rPr>
                <w:sz w:val="24"/>
              </w:rPr>
            </w:pPr>
            <w:r>
              <w:rPr>
                <w:spacing w:val="-20"/>
                <w:sz w:val="24"/>
              </w:rPr>
              <w:t xml:space="preserve">支持 </w:t>
            </w:r>
            <w:r>
              <w:rPr>
                <w:sz w:val="24"/>
              </w:rPr>
              <w:t>VoQ</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311"/>
          <w:jc w:val="left"/>
        </w:trPr>
        <w:tc>
          <w:tcPr>
            <w:tcW w:w="817" w:type="dxa"/>
          </w:tcPr>
          <w:p>
            <w:pPr>
              <w:pStyle w:val="TableParagraph"/>
              <w:spacing w:before="4" w:line="288" w:lineRule="exact"/>
              <w:ind w:left="10"/>
              <w:jc w:val="center"/>
              <w:rPr>
                <w:sz w:val="24"/>
              </w:rPr>
            </w:pPr>
            <w:r>
              <w:rPr>
                <w:sz w:val="24"/>
              </w:rPr>
              <w:t>7</w:t>
            </w:r>
          </w:p>
        </w:tc>
        <w:tc>
          <w:tcPr>
            <w:tcW w:w="8363" w:type="dxa"/>
          </w:tcPr>
          <w:p>
            <w:pPr>
              <w:pStyle w:val="TableParagraph"/>
              <w:spacing w:before="4" w:line="288" w:lineRule="exact"/>
              <w:ind w:left="107"/>
              <w:rPr>
                <w:sz w:val="24"/>
              </w:rPr>
            </w:pPr>
            <w:r>
              <w:rPr>
                <w:spacing w:val="-1"/>
                <w:sz w:val="24"/>
              </w:rPr>
              <w:t>严格前后风道，提供证明材料。</w:t>
            </w:r>
          </w:p>
        </w:tc>
      </w:tr>
      <w:tr>
        <w:tblPrEx>
          <w:tblW w:w="0" w:type="auto"/>
          <w:jc w:val="left"/>
          <w:tblInd w:w="155" w:type="dxa"/>
          <w:tblLayout w:type="fixed"/>
          <w:tblCellMar>
            <w:top w:w="0" w:type="dxa"/>
            <w:left w:w="0" w:type="dxa"/>
            <w:bottom w:w="0" w:type="dxa"/>
            <w:right w:w="0" w:type="dxa"/>
          </w:tblCellMar>
          <w:tblLook w:val="01E0"/>
        </w:tblPrEx>
        <w:trPr>
          <w:trHeight w:val="624"/>
          <w:jc w:val="left"/>
        </w:trPr>
        <w:tc>
          <w:tcPr>
            <w:tcW w:w="817" w:type="dxa"/>
          </w:tcPr>
          <w:p>
            <w:pPr>
              <w:pStyle w:val="TableParagraph"/>
              <w:spacing w:before="160"/>
              <w:ind w:left="10"/>
              <w:jc w:val="center"/>
              <w:rPr>
                <w:sz w:val="24"/>
              </w:rPr>
            </w:pPr>
            <w:r>
              <w:rPr>
                <w:sz w:val="24"/>
              </w:rPr>
              <w:t>8</w:t>
            </w:r>
          </w:p>
        </w:tc>
        <w:tc>
          <w:tcPr>
            <w:tcW w:w="8363" w:type="dxa"/>
          </w:tcPr>
          <w:p>
            <w:pPr>
              <w:pStyle w:val="TableParagraph"/>
              <w:spacing w:before="4"/>
              <w:ind w:left="107"/>
              <w:rPr>
                <w:sz w:val="24"/>
              </w:rPr>
            </w:pPr>
            <w:r>
              <w:rPr>
                <w:spacing w:val="-3"/>
                <w:sz w:val="24"/>
              </w:rPr>
              <w:t xml:space="preserve">▲为保证在大流量环境下的网络稳定性，要求设备的端口时延在 </w:t>
            </w:r>
            <w:r>
              <w:rPr>
                <w:sz w:val="24"/>
              </w:rPr>
              <w:t>5</w:t>
            </w:r>
            <w:r>
              <w:rPr>
                <w:spacing w:val="-12"/>
                <w:sz w:val="24"/>
              </w:rPr>
              <w:t xml:space="preserve"> 微秒之内，</w:t>
            </w:r>
          </w:p>
          <w:p>
            <w:pPr>
              <w:pStyle w:val="TableParagraph"/>
              <w:spacing w:before="4" w:line="288" w:lineRule="exact"/>
              <w:ind w:left="107"/>
              <w:rPr>
                <w:sz w:val="24"/>
              </w:rPr>
            </w:pPr>
            <w:r>
              <w:rPr>
                <w:spacing w:val="-1"/>
                <w:sz w:val="24"/>
              </w:rPr>
              <w:t>提供第三方权威机构测试报告证明</w:t>
            </w:r>
          </w:p>
        </w:tc>
      </w:tr>
    </w:tbl>
    <w:p>
      <w:pPr>
        <w:spacing w:after="0" w:line="288" w:lineRule="exact"/>
        <w:rPr>
          <w:sz w:val="24"/>
        </w:rPr>
        <w:sectPr>
          <w:headerReference w:type="default" r:id="rId54"/>
          <w:footerReference w:type="default" r:id="rId55"/>
          <w:pgSz w:w="11910" w:h="16840"/>
          <w:pgMar w:top="1080" w:right="1060" w:bottom="1040" w:left="1160" w:header="700" w:footer="841"/>
          <w:pgNumType w:start="24"/>
          <w:cols w:space="708"/>
        </w:sectPr>
      </w:pPr>
    </w:p>
    <w:p>
      <w:pPr>
        <w:pStyle w:val="BodyText"/>
        <w:spacing w:before="15"/>
        <w:rPr>
          <w:rFonts w:ascii="Microsoft JhengHei"/>
          <w:b/>
          <w:sz w:val="2"/>
        </w:rPr>
      </w:pPr>
    </w:p>
    <w:tbl>
      <w:tblPr>
        <w:tblStyle w:val="TableNormal8"/>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7"/>
        <w:gridCol w:w="8363"/>
      </w:tblGrid>
      <w:tr>
        <w:tblPrEx>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817" w:type="dxa"/>
          </w:tcPr>
          <w:p>
            <w:pPr>
              <w:pStyle w:val="TableParagraph"/>
              <w:spacing w:before="4" w:line="288" w:lineRule="exact"/>
              <w:ind w:right="336"/>
              <w:jc w:val="right"/>
              <w:rPr>
                <w:sz w:val="24"/>
              </w:rPr>
            </w:pPr>
            <w:r>
              <w:rPr>
                <w:sz w:val="24"/>
              </w:rPr>
              <w:t>9</w:t>
            </w:r>
          </w:p>
        </w:tc>
        <w:tc>
          <w:tcPr>
            <w:tcW w:w="8363" w:type="dxa"/>
          </w:tcPr>
          <w:p>
            <w:pPr>
              <w:pStyle w:val="TableParagraph"/>
              <w:spacing w:before="4" w:line="288" w:lineRule="exact"/>
              <w:ind w:left="107"/>
              <w:rPr>
                <w:sz w:val="24"/>
              </w:rPr>
            </w:pPr>
            <w:r>
              <w:rPr>
                <w:sz w:val="24"/>
              </w:rPr>
              <w:t>▲平均每万兆端口功耗≤5W，</w:t>
            </w:r>
            <w:r>
              <w:rPr>
                <w:spacing w:val="-1"/>
                <w:sz w:val="24"/>
              </w:rPr>
              <w:t>要求提供第三方权威机构测试报告证明</w:t>
            </w:r>
          </w:p>
        </w:tc>
      </w:tr>
      <w:tr>
        <w:tblPrEx>
          <w:tblW w:w="0" w:type="auto"/>
          <w:jc w:val="left"/>
          <w:tblInd w:w="155" w:type="dxa"/>
          <w:tblLayout w:type="fixed"/>
          <w:tblCellMar>
            <w:top w:w="0" w:type="dxa"/>
            <w:left w:w="0" w:type="dxa"/>
            <w:bottom w:w="0" w:type="dxa"/>
            <w:right w:w="0" w:type="dxa"/>
          </w:tblCellMar>
          <w:tblLook w:val="01E0"/>
        </w:tblPrEx>
        <w:trPr>
          <w:trHeight w:val="624"/>
          <w:jc w:val="left"/>
        </w:trPr>
        <w:tc>
          <w:tcPr>
            <w:tcW w:w="817" w:type="dxa"/>
          </w:tcPr>
          <w:p>
            <w:pPr>
              <w:pStyle w:val="TableParagraph"/>
              <w:spacing w:before="160"/>
              <w:ind w:right="276"/>
              <w:jc w:val="right"/>
              <w:rPr>
                <w:sz w:val="24"/>
              </w:rPr>
            </w:pPr>
            <w:r>
              <w:rPr>
                <w:spacing w:val="-5"/>
                <w:sz w:val="24"/>
              </w:rPr>
              <w:t>10</w:t>
            </w:r>
          </w:p>
        </w:tc>
        <w:tc>
          <w:tcPr>
            <w:tcW w:w="8363" w:type="dxa"/>
          </w:tcPr>
          <w:p>
            <w:pPr>
              <w:pStyle w:val="TableParagraph"/>
              <w:spacing w:before="4"/>
              <w:ind w:left="107"/>
              <w:rPr>
                <w:sz w:val="24"/>
              </w:rPr>
            </w:pPr>
            <w:r>
              <w:rPr>
                <w:spacing w:val="-4"/>
                <w:sz w:val="24"/>
              </w:rPr>
              <w:t>★交流电源供电；多路电源输入，N+N</w:t>
            </w:r>
            <w:r>
              <w:rPr>
                <w:spacing w:val="-2"/>
                <w:sz w:val="24"/>
              </w:rPr>
              <w:t xml:space="preserve"> 电源冗余</w:t>
            </w:r>
            <w:r>
              <w:rPr>
                <w:spacing w:val="-4"/>
                <w:sz w:val="24"/>
              </w:rPr>
              <w:t>，50%</w:t>
            </w:r>
            <w:r>
              <w:rPr>
                <w:spacing w:val="-5"/>
                <w:sz w:val="24"/>
              </w:rPr>
              <w:t>电源模块工作满足整机线</w:t>
            </w:r>
          </w:p>
          <w:p>
            <w:pPr>
              <w:pStyle w:val="TableParagraph"/>
              <w:spacing w:before="4" w:line="288" w:lineRule="exact"/>
              <w:ind w:left="107"/>
              <w:rPr>
                <w:sz w:val="24"/>
              </w:rPr>
            </w:pPr>
            <w:r>
              <w:rPr>
                <w:sz w:val="24"/>
              </w:rPr>
              <w:t>卡供电；N+N</w:t>
            </w:r>
            <w:r>
              <w:rPr>
                <w:spacing w:val="-9"/>
                <w:sz w:val="24"/>
              </w:rPr>
              <w:t xml:space="preserve"> 风扇冗余, </w:t>
            </w:r>
            <w:r>
              <w:rPr>
                <w:sz w:val="24"/>
              </w:rPr>
              <w:t>50%</w:t>
            </w:r>
            <w:r>
              <w:rPr>
                <w:spacing w:val="-1"/>
                <w:sz w:val="24"/>
              </w:rPr>
              <w:t>风扇模块工作满足整机散热。</w:t>
            </w:r>
          </w:p>
        </w:tc>
      </w:tr>
      <w:tr>
        <w:tblPrEx>
          <w:tblW w:w="0" w:type="auto"/>
          <w:jc w:val="left"/>
          <w:tblInd w:w="155" w:type="dxa"/>
          <w:tblLayout w:type="fixed"/>
          <w:tblCellMar>
            <w:top w:w="0" w:type="dxa"/>
            <w:left w:w="0" w:type="dxa"/>
            <w:bottom w:w="0" w:type="dxa"/>
            <w:right w:w="0" w:type="dxa"/>
          </w:tblCellMar>
          <w:tblLook w:val="01E0"/>
        </w:tblPrEx>
        <w:trPr>
          <w:trHeight w:val="311"/>
          <w:jc w:val="left"/>
        </w:trPr>
        <w:tc>
          <w:tcPr>
            <w:tcW w:w="817" w:type="dxa"/>
          </w:tcPr>
          <w:p>
            <w:pPr>
              <w:pStyle w:val="TableParagraph"/>
              <w:spacing w:before="4" w:line="288" w:lineRule="exact"/>
              <w:ind w:right="276"/>
              <w:jc w:val="right"/>
              <w:rPr>
                <w:sz w:val="24"/>
              </w:rPr>
            </w:pPr>
            <w:r>
              <w:rPr>
                <w:spacing w:val="-5"/>
                <w:sz w:val="24"/>
              </w:rPr>
              <w:t>11</w:t>
            </w:r>
          </w:p>
        </w:tc>
        <w:tc>
          <w:tcPr>
            <w:tcW w:w="8363" w:type="dxa"/>
          </w:tcPr>
          <w:p>
            <w:pPr>
              <w:pStyle w:val="TableParagraph"/>
              <w:spacing w:before="4" w:line="288" w:lineRule="exact"/>
              <w:ind w:left="107"/>
              <w:rPr>
                <w:sz w:val="24"/>
              </w:rPr>
            </w:pPr>
            <w:r>
              <w:rPr>
                <w:sz w:val="24"/>
              </w:rPr>
              <w:t>堆叠支持带外管理方式（主控板上提供专用堆叠口用于堆叠协议报文）</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624"/>
          <w:jc w:val="left"/>
        </w:trPr>
        <w:tc>
          <w:tcPr>
            <w:tcW w:w="817" w:type="dxa"/>
          </w:tcPr>
          <w:p>
            <w:pPr>
              <w:pStyle w:val="TableParagraph"/>
              <w:spacing w:before="160"/>
              <w:ind w:right="276"/>
              <w:jc w:val="right"/>
              <w:rPr>
                <w:sz w:val="24"/>
              </w:rPr>
            </w:pPr>
            <w:r>
              <w:rPr>
                <w:spacing w:val="-5"/>
                <w:sz w:val="24"/>
              </w:rPr>
              <w:t>12</w:t>
            </w:r>
          </w:p>
        </w:tc>
        <w:tc>
          <w:tcPr>
            <w:tcW w:w="8363" w:type="dxa"/>
          </w:tcPr>
          <w:p>
            <w:pPr>
              <w:pStyle w:val="TableParagraph"/>
              <w:spacing w:before="4"/>
              <w:ind w:left="107"/>
              <w:rPr>
                <w:sz w:val="24"/>
              </w:rPr>
            </w:pPr>
            <w:r>
              <w:rPr>
                <w:spacing w:val="-1"/>
                <w:sz w:val="24"/>
              </w:rPr>
              <w:t>★支持热补丁技术，升级软件不需关机；独立的硬件监控模块, 实现对单板、</w:t>
            </w:r>
          </w:p>
          <w:p>
            <w:pPr>
              <w:pStyle w:val="TableParagraph"/>
              <w:spacing w:before="4" w:line="288" w:lineRule="exact"/>
              <w:ind w:left="107"/>
              <w:rPr>
                <w:sz w:val="24"/>
              </w:rPr>
            </w:pPr>
            <w:r>
              <w:rPr>
                <w:spacing w:val="-1"/>
                <w:sz w:val="24"/>
              </w:rPr>
              <w:t>风扇和电源配电模块的管理、监控和维护，满足电信级可靠性的要求。</w:t>
            </w:r>
          </w:p>
        </w:tc>
      </w:tr>
      <w:tr>
        <w:tblPrEx>
          <w:tblW w:w="0" w:type="auto"/>
          <w:jc w:val="left"/>
          <w:tblInd w:w="155" w:type="dxa"/>
          <w:tblLayout w:type="fixed"/>
          <w:tblCellMar>
            <w:top w:w="0" w:type="dxa"/>
            <w:left w:w="0" w:type="dxa"/>
            <w:bottom w:w="0" w:type="dxa"/>
            <w:right w:w="0" w:type="dxa"/>
          </w:tblCellMar>
          <w:tblLook w:val="01E0"/>
        </w:tblPrEx>
        <w:trPr>
          <w:trHeight w:val="2807"/>
          <w:jc w:val="left"/>
        </w:trPr>
        <w:tc>
          <w:tcPr>
            <w:tcW w:w="817" w:type="dxa"/>
          </w:tcPr>
          <w:p>
            <w:pPr>
              <w:pStyle w:val="TableParagraph"/>
              <w:rPr>
                <w:rFonts w:ascii="Microsoft JhengHei"/>
                <w:b/>
                <w:sz w:val="24"/>
              </w:rPr>
            </w:pPr>
          </w:p>
          <w:p>
            <w:pPr>
              <w:pStyle w:val="TableParagraph"/>
              <w:rPr>
                <w:rFonts w:ascii="Microsoft JhengHei"/>
                <w:b/>
                <w:sz w:val="24"/>
              </w:rPr>
            </w:pPr>
          </w:p>
          <w:p>
            <w:pPr>
              <w:pStyle w:val="TableParagraph"/>
              <w:spacing w:before="1"/>
              <w:rPr>
                <w:rFonts w:ascii="Microsoft JhengHei"/>
                <w:b/>
                <w:sz w:val="20"/>
              </w:rPr>
            </w:pPr>
          </w:p>
          <w:p>
            <w:pPr>
              <w:pStyle w:val="TableParagraph"/>
              <w:ind w:right="276"/>
              <w:jc w:val="right"/>
              <w:rPr>
                <w:sz w:val="24"/>
              </w:rPr>
            </w:pPr>
            <w:r>
              <w:rPr>
                <w:spacing w:val="-5"/>
                <w:sz w:val="24"/>
              </w:rPr>
              <w:t>13</w:t>
            </w:r>
          </w:p>
        </w:tc>
        <w:tc>
          <w:tcPr>
            <w:tcW w:w="8363" w:type="dxa"/>
          </w:tcPr>
          <w:p>
            <w:pPr>
              <w:pStyle w:val="TableParagraph"/>
              <w:spacing w:before="4" w:line="242" w:lineRule="auto"/>
              <w:ind w:left="107" w:right="-29"/>
              <w:rPr>
                <w:sz w:val="24"/>
              </w:rPr>
            </w:pPr>
            <w:r>
              <w:rPr>
                <w:sz w:val="24"/>
              </w:rPr>
              <w:t>★MAC</w:t>
            </w:r>
            <w:r>
              <w:rPr>
                <w:spacing w:val="-19"/>
                <w:sz w:val="24"/>
              </w:rPr>
              <w:t xml:space="preserve"> 地址</w:t>
            </w:r>
            <w:r>
              <w:rPr>
                <w:sz w:val="24"/>
              </w:rPr>
              <w:t>≥128K（</w:t>
            </w:r>
            <w:r>
              <w:rPr>
                <w:spacing w:val="-7"/>
                <w:sz w:val="24"/>
              </w:rPr>
              <w:t xml:space="preserve">要求单端口、单 </w:t>
            </w:r>
            <w:r>
              <w:rPr>
                <w:sz w:val="24"/>
              </w:rPr>
              <w:t>vlan</w:t>
            </w:r>
            <w:r>
              <w:rPr>
                <w:spacing w:val="-10"/>
                <w:sz w:val="24"/>
              </w:rPr>
              <w:t xml:space="preserve"> 均可以支持</w:t>
            </w:r>
            <w:r>
              <w:rPr>
                <w:sz w:val="24"/>
              </w:rPr>
              <w:t>）；系统支持所列类似功能并配置相应授权，如：4K</w:t>
            </w:r>
            <w:r>
              <w:rPr>
                <w:spacing w:val="-16"/>
                <w:sz w:val="24"/>
              </w:rPr>
              <w:t xml:space="preserve"> </w:t>
            </w:r>
            <w:r>
              <w:rPr>
                <w:sz w:val="24"/>
              </w:rPr>
              <w:t>VLAN；</w:t>
            </w:r>
            <w:r>
              <w:rPr>
                <w:spacing w:val="-16"/>
                <w:sz w:val="24"/>
              </w:rPr>
              <w:t xml:space="preserve"> </w:t>
            </w:r>
            <w:r>
              <w:rPr>
                <w:sz w:val="24"/>
              </w:rPr>
              <w:t>QinQ；Super</w:t>
            </w:r>
            <w:r>
              <w:rPr>
                <w:spacing w:val="-16"/>
                <w:sz w:val="24"/>
              </w:rPr>
              <w:t xml:space="preserve"> </w:t>
            </w:r>
            <w:r>
              <w:rPr>
                <w:sz w:val="24"/>
              </w:rPr>
              <w:t>VLAN；STP/RSTP/MSTP；端口聚合；N:1</w:t>
            </w:r>
            <w:r>
              <w:rPr>
                <w:spacing w:val="-6"/>
                <w:sz w:val="24"/>
              </w:rPr>
              <w:t xml:space="preserve"> 镜像；</w:t>
            </w:r>
            <w:r>
              <w:rPr>
                <w:sz w:val="24"/>
              </w:rPr>
              <w:t>RSPAN；环路检测与避免；IPV4&amp;V6</w:t>
            </w:r>
            <w:r>
              <w:rPr>
                <w:spacing w:val="-5"/>
                <w:sz w:val="24"/>
              </w:rPr>
              <w:t xml:space="preserve"> 相应的静态路由、</w:t>
            </w:r>
            <w:r>
              <w:rPr>
                <w:sz w:val="24"/>
              </w:rPr>
              <w:t>RIP、 OSPF、IS-IS、BGP</w:t>
            </w:r>
            <w:r>
              <w:rPr>
                <w:spacing w:val="-4"/>
                <w:sz w:val="24"/>
              </w:rPr>
              <w:t xml:space="preserve"> 动态路由及策略路由协议；</w:t>
            </w:r>
            <w:r>
              <w:rPr>
                <w:sz w:val="24"/>
              </w:rPr>
              <w:t>QoS</w:t>
            </w:r>
            <w:r>
              <w:rPr>
                <w:spacing w:val="-6"/>
                <w:sz w:val="24"/>
              </w:rPr>
              <w:t xml:space="preserve"> 相应机制 </w:t>
            </w:r>
            <w:r>
              <w:rPr>
                <w:sz w:val="24"/>
              </w:rPr>
              <w:t xml:space="preserve">SP、WRR、DWRR、 </w:t>
            </w:r>
            <w:r>
              <w:rPr>
                <w:spacing w:val="-2"/>
                <w:sz w:val="24"/>
              </w:rPr>
              <w:t>SP+WRR</w:t>
            </w:r>
            <w:r>
              <w:rPr>
                <w:spacing w:val="-32"/>
                <w:sz w:val="24"/>
              </w:rPr>
              <w:t xml:space="preserve">、 </w:t>
            </w:r>
            <w:r>
              <w:rPr>
                <w:spacing w:val="-2"/>
                <w:sz w:val="24"/>
              </w:rPr>
              <w:t>SP+DWRR、CAR、WRED</w:t>
            </w:r>
            <w:r>
              <w:rPr>
                <w:spacing w:val="-11"/>
                <w:sz w:val="24"/>
              </w:rPr>
              <w:t xml:space="preserve"> 等类似功能；</w:t>
            </w:r>
            <w:r>
              <w:rPr>
                <w:spacing w:val="-2"/>
                <w:sz w:val="24"/>
              </w:rPr>
              <w:t>MPLS；风暴控制；DHCPv4</w:t>
            </w:r>
            <w:r>
              <w:rPr>
                <w:spacing w:val="-60"/>
                <w:sz w:val="24"/>
              </w:rPr>
              <w:t xml:space="preserve"> </w:t>
            </w:r>
            <w:r>
              <w:rPr>
                <w:spacing w:val="-2"/>
                <w:sz w:val="24"/>
              </w:rPr>
              <w:t>Server、</w:t>
            </w:r>
            <w:r>
              <w:rPr>
                <w:spacing w:val="-2"/>
                <w:sz w:val="24"/>
              </w:rPr>
              <w:t xml:space="preserve"> </w:t>
            </w:r>
            <w:r>
              <w:rPr>
                <w:sz w:val="24"/>
              </w:rPr>
              <w:t>Relay、snooping</w:t>
            </w:r>
            <w:r>
              <w:rPr>
                <w:spacing w:val="-32"/>
                <w:sz w:val="24"/>
              </w:rPr>
              <w:t xml:space="preserve"> 与 </w:t>
            </w:r>
            <w:r>
              <w:rPr>
                <w:sz w:val="24"/>
              </w:rPr>
              <w:t>DHCP</w:t>
            </w:r>
            <w:r>
              <w:rPr>
                <w:spacing w:val="-48"/>
                <w:sz w:val="24"/>
              </w:rPr>
              <w:t xml:space="preserve"> </w:t>
            </w:r>
            <w:r>
              <w:rPr>
                <w:sz w:val="24"/>
              </w:rPr>
              <w:t>Option</w:t>
            </w:r>
            <w:r>
              <w:rPr>
                <w:spacing w:val="-48"/>
                <w:sz w:val="24"/>
              </w:rPr>
              <w:t xml:space="preserve"> </w:t>
            </w:r>
            <w:r>
              <w:rPr>
                <w:sz w:val="24"/>
              </w:rPr>
              <w:t>82；IP/ARP/ICMP</w:t>
            </w:r>
            <w:r>
              <w:rPr>
                <w:spacing w:val="-12"/>
                <w:sz w:val="24"/>
              </w:rPr>
              <w:t xml:space="preserve"> 安全、</w:t>
            </w:r>
            <w:r>
              <w:rPr>
                <w:sz w:val="24"/>
              </w:rPr>
              <w:t>IPSG/DAI、CPU</w:t>
            </w:r>
            <w:r>
              <w:rPr>
                <w:spacing w:val="-16"/>
                <w:sz w:val="24"/>
              </w:rPr>
              <w:t xml:space="preserve"> 保护</w:t>
            </w:r>
            <w:r>
              <w:rPr>
                <w:spacing w:val="-6"/>
                <w:sz w:val="24"/>
              </w:rPr>
              <w:t xml:space="preserve">技 术 、 第 </w:t>
            </w:r>
            <w:r>
              <w:rPr>
                <w:sz w:val="24"/>
              </w:rPr>
              <w:t>2</w:t>
            </w:r>
            <w:r>
              <w:rPr>
                <w:spacing w:val="-12"/>
                <w:sz w:val="24"/>
              </w:rPr>
              <w:t xml:space="preserve">、 </w:t>
            </w:r>
            <w:r>
              <w:rPr>
                <w:sz w:val="24"/>
              </w:rPr>
              <w:t>3</w:t>
            </w:r>
            <w:r>
              <w:rPr>
                <w:spacing w:val="-12"/>
                <w:sz w:val="24"/>
              </w:rPr>
              <w:t xml:space="preserve">、 </w:t>
            </w:r>
            <w:r>
              <w:rPr>
                <w:sz w:val="24"/>
              </w:rPr>
              <w:t>4</w:t>
            </w:r>
            <w:r>
              <w:rPr>
                <w:spacing w:val="-9"/>
                <w:sz w:val="24"/>
              </w:rPr>
              <w:t xml:space="preserve"> 层 的 </w:t>
            </w:r>
            <w:r>
              <w:rPr>
                <w:sz w:val="24"/>
              </w:rPr>
              <w:t>ACL，</w:t>
            </w:r>
            <w:r>
              <w:rPr>
                <w:spacing w:val="-2"/>
                <w:sz w:val="24"/>
              </w:rPr>
              <w:t xml:space="preserve"> 双 向 </w:t>
            </w:r>
            <w:r>
              <w:rPr>
                <w:sz w:val="24"/>
              </w:rPr>
              <w:t>ACL；</w:t>
            </w:r>
            <w:r>
              <w:rPr>
                <w:spacing w:val="-23"/>
                <w:sz w:val="24"/>
              </w:rPr>
              <w:t xml:space="preserve"> </w:t>
            </w:r>
            <w:r>
              <w:rPr>
                <w:sz w:val="24"/>
              </w:rPr>
              <w:t>IGMP</w:t>
            </w:r>
            <w:r>
              <w:rPr>
                <w:spacing w:val="80"/>
                <w:sz w:val="24"/>
              </w:rPr>
              <w:t xml:space="preserve"> </w:t>
            </w:r>
            <w:r>
              <w:rPr>
                <w:sz w:val="24"/>
              </w:rPr>
              <w:t>Snooping</w:t>
            </w:r>
            <w:r>
              <w:rPr>
                <w:spacing w:val="80"/>
                <w:sz w:val="24"/>
              </w:rPr>
              <w:t xml:space="preserve"> </w:t>
            </w:r>
            <w:r>
              <w:rPr>
                <w:sz w:val="24"/>
              </w:rPr>
              <w:t>V1/2/3； PIM-SM,PIM-SSM；</w:t>
            </w:r>
            <w:r>
              <w:rPr>
                <w:spacing w:val="-44"/>
                <w:sz w:val="24"/>
              </w:rPr>
              <w:t xml:space="preserve"> </w:t>
            </w:r>
            <w:r>
              <w:rPr>
                <w:sz w:val="24"/>
              </w:rPr>
              <w:t>SNMP</w:t>
            </w:r>
            <w:r>
              <w:rPr>
                <w:spacing w:val="80"/>
                <w:sz w:val="24"/>
              </w:rPr>
              <w:t xml:space="preserve"> </w:t>
            </w:r>
            <w:r>
              <w:rPr>
                <w:sz w:val="24"/>
              </w:rPr>
              <w:t>V1/V2/V3</w:t>
            </w:r>
            <w:r>
              <w:rPr>
                <w:spacing w:val="-22"/>
                <w:sz w:val="24"/>
              </w:rPr>
              <w:t xml:space="preserve">、 </w:t>
            </w:r>
            <w:r>
              <w:rPr>
                <w:sz w:val="24"/>
              </w:rPr>
              <w:t>Telnet</w:t>
            </w:r>
            <w:r>
              <w:rPr>
                <w:spacing w:val="-22"/>
                <w:sz w:val="24"/>
              </w:rPr>
              <w:t xml:space="preserve">、 </w:t>
            </w:r>
            <w:r>
              <w:rPr>
                <w:sz w:val="24"/>
              </w:rPr>
              <w:t>RMON</w:t>
            </w:r>
            <w:r>
              <w:rPr>
                <w:spacing w:val="-22"/>
                <w:sz w:val="24"/>
              </w:rPr>
              <w:t xml:space="preserve">、 </w:t>
            </w:r>
            <w:r>
              <w:rPr>
                <w:sz w:val="24"/>
              </w:rPr>
              <w:t>SSH；</w:t>
            </w:r>
            <w:r>
              <w:rPr>
                <w:spacing w:val="-44"/>
                <w:sz w:val="24"/>
              </w:rPr>
              <w:t xml:space="preserve"> </w:t>
            </w:r>
            <w:r>
              <w:rPr>
                <w:sz w:val="24"/>
              </w:rPr>
              <w:t>802.1X</w:t>
            </w:r>
            <w:r>
              <w:rPr>
                <w:spacing w:val="-22"/>
                <w:sz w:val="24"/>
              </w:rPr>
              <w:t xml:space="preserve">、 </w:t>
            </w:r>
            <w:r>
              <w:rPr>
                <w:sz w:val="24"/>
              </w:rPr>
              <w:t>VRRP；</w:t>
            </w:r>
          </w:p>
          <w:p>
            <w:pPr>
              <w:pStyle w:val="TableParagraph"/>
              <w:spacing w:before="11" w:line="288" w:lineRule="exact"/>
              <w:ind w:left="107"/>
              <w:rPr>
                <w:sz w:val="24"/>
              </w:rPr>
            </w:pPr>
            <w:r>
              <w:rPr>
                <w:sz w:val="24"/>
              </w:rPr>
              <w:t>FCoE\TRILL\EVB</w:t>
            </w:r>
            <w:r>
              <w:rPr>
                <w:spacing w:val="-9"/>
                <w:sz w:val="24"/>
              </w:rPr>
              <w:t xml:space="preserve"> 等数据中心特性。</w:t>
            </w:r>
          </w:p>
        </w:tc>
      </w:tr>
      <w:tr>
        <w:tblPrEx>
          <w:tblW w:w="0" w:type="auto"/>
          <w:jc w:val="left"/>
          <w:tblInd w:w="155" w:type="dxa"/>
          <w:tblLayout w:type="fixed"/>
          <w:tblCellMar>
            <w:top w:w="0" w:type="dxa"/>
            <w:left w:w="0" w:type="dxa"/>
            <w:bottom w:w="0" w:type="dxa"/>
            <w:right w:w="0" w:type="dxa"/>
          </w:tblCellMar>
          <w:tblLook w:val="01E0"/>
        </w:tblPrEx>
        <w:trPr>
          <w:trHeight w:val="312"/>
          <w:jc w:val="left"/>
        </w:trPr>
        <w:tc>
          <w:tcPr>
            <w:tcW w:w="817" w:type="dxa"/>
          </w:tcPr>
          <w:p>
            <w:pPr>
              <w:pStyle w:val="TableParagraph"/>
              <w:spacing w:before="4" w:line="288" w:lineRule="exact"/>
              <w:ind w:right="276"/>
              <w:jc w:val="right"/>
              <w:rPr>
                <w:sz w:val="24"/>
              </w:rPr>
            </w:pPr>
            <w:r>
              <w:rPr>
                <w:spacing w:val="-5"/>
                <w:sz w:val="24"/>
              </w:rPr>
              <w:t>14</w:t>
            </w:r>
          </w:p>
        </w:tc>
        <w:tc>
          <w:tcPr>
            <w:tcW w:w="8363" w:type="dxa"/>
          </w:tcPr>
          <w:p>
            <w:pPr>
              <w:pStyle w:val="TableParagraph"/>
              <w:spacing w:before="4" w:line="288" w:lineRule="exact"/>
              <w:ind w:left="107"/>
              <w:rPr>
                <w:sz w:val="24"/>
              </w:rPr>
            </w:pPr>
            <w:r>
              <w:rPr>
                <w:spacing w:val="-8"/>
                <w:sz w:val="24"/>
              </w:rPr>
              <w:t>具有工信部入网证（Ipv4、</w:t>
            </w:r>
            <w:r>
              <w:rPr>
                <w:spacing w:val="16"/>
                <w:sz w:val="24"/>
              </w:rPr>
              <w:t>Ipv6</w:t>
            </w:r>
            <w:r>
              <w:rPr>
                <w:spacing w:val="-104"/>
                <w:sz w:val="24"/>
              </w:rPr>
              <w:t>）</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312"/>
          <w:jc w:val="left"/>
        </w:trPr>
        <w:tc>
          <w:tcPr>
            <w:tcW w:w="817" w:type="dxa"/>
          </w:tcPr>
          <w:p>
            <w:pPr>
              <w:pStyle w:val="TableParagraph"/>
              <w:spacing w:before="4" w:line="288" w:lineRule="exact"/>
              <w:ind w:right="276"/>
              <w:jc w:val="right"/>
              <w:rPr>
                <w:sz w:val="24"/>
              </w:rPr>
            </w:pPr>
            <w:r>
              <w:rPr>
                <w:spacing w:val="-5"/>
                <w:sz w:val="24"/>
              </w:rPr>
              <w:t>15</w:t>
            </w:r>
          </w:p>
        </w:tc>
        <w:tc>
          <w:tcPr>
            <w:tcW w:w="8363" w:type="dxa"/>
          </w:tcPr>
          <w:p>
            <w:pPr>
              <w:pStyle w:val="TableParagraph"/>
              <w:spacing w:before="4" w:line="288" w:lineRule="exact"/>
              <w:ind w:left="107"/>
              <w:rPr>
                <w:sz w:val="24"/>
              </w:rPr>
            </w:pPr>
            <w:r>
              <w:rPr>
                <w:spacing w:val="-1"/>
                <w:sz w:val="24"/>
              </w:rPr>
              <w:t>★与数据中心核心交换机同一品牌。</w:t>
            </w:r>
          </w:p>
        </w:tc>
      </w:tr>
    </w:tbl>
    <w:p>
      <w:pPr>
        <w:pStyle w:val="Heading4"/>
        <w:numPr>
          <w:ilvl w:val="1"/>
          <w:numId w:val="10"/>
        </w:numPr>
        <w:tabs>
          <w:tab w:val="left" w:pos="1041"/>
        </w:tabs>
        <w:spacing w:before="5" w:after="0" w:line="240" w:lineRule="auto"/>
        <w:ind w:left="1040" w:right="0" w:hanging="363"/>
        <w:jc w:val="left"/>
      </w:pPr>
      <w:r>
        <w:t>、 外联单位接入交换机技术要求（单套</w:t>
      </w:r>
      <w:r>
        <w:rPr>
          <w:spacing w:val="-10"/>
        </w:rPr>
        <w:t>）</w:t>
      </w:r>
    </w:p>
    <w:p>
      <w:pPr>
        <w:pStyle w:val="BodyText"/>
        <w:spacing w:before="10"/>
        <w:rPr>
          <w:rFonts w:ascii="Microsoft JhengHei"/>
          <w:b/>
          <w:sz w:val="4"/>
        </w:rPr>
      </w:pPr>
    </w:p>
    <w:tbl>
      <w:tblPr>
        <w:tblStyle w:val="TableNormal8"/>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7"/>
        <w:gridCol w:w="8363"/>
      </w:tblGrid>
      <w:tr>
        <w:tblPrEx>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94"/>
          <w:jc w:val="left"/>
        </w:trPr>
        <w:tc>
          <w:tcPr>
            <w:tcW w:w="817" w:type="dxa"/>
          </w:tcPr>
          <w:p>
            <w:pPr>
              <w:pStyle w:val="TableParagraph"/>
              <w:spacing w:line="374" w:lineRule="exact"/>
              <w:ind w:left="153" w:right="144"/>
              <w:jc w:val="center"/>
              <w:rPr>
                <w:rFonts w:ascii="Microsoft JhengHei" w:eastAsia="Microsoft JhengHei"/>
                <w:b/>
                <w:sz w:val="24"/>
              </w:rPr>
            </w:pPr>
            <w:r>
              <w:rPr>
                <w:rFonts w:ascii="Microsoft JhengHei" w:eastAsia="Microsoft JhengHei"/>
                <w:b/>
                <w:spacing w:val="-5"/>
                <w:sz w:val="24"/>
              </w:rPr>
              <w:t>序号</w:t>
            </w:r>
          </w:p>
        </w:tc>
        <w:tc>
          <w:tcPr>
            <w:tcW w:w="8363" w:type="dxa"/>
          </w:tcPr>
          <w:p>
            <w:pPr>
              <w:pStyle w:val="TableParagraph"/>
              <w:spacing w:line="374" w:lineRule="exact"/>
              <w:ind w:left="22" w:right="13"/>
              <w:jc w:val="center"/>
              <w:rPr>
                <w:rFonts w:ascii="Microsoft JhengHei" w:eastAsia="Microsoft JhengHei"/>
                <w:b/>
                <w:sz w:val="24"/>
              </w:rPr>
            </w:pPr>
            <w:r>
              <w:rPr>
                <w:rFonts w:ascii="Microsoft JhengHei" w:eastAsia="Microsoft JhengHei"/>
                <w:b/>
                <w:spacing w:val="-2"/>
                <w:sz w:val="24"/>
              </w:rPr>
              <w:t>技术指标要求</w:t>
            </w:r>
          </w:p>
        </w:tc>
      </w:tr>
      <w:tr>
        <w:tblPrEx>
          <w:tblW w:w="0" w:type="auto"/>
          <w:jc w:val="left"/>
          <w:tblInd w:w="155" w:type="dxa"/>
          <w:tblLayout w:type="fixed"/>
          <w:tblCellMar>
            <w:top w:w="0" w:type="dxa"/>
            <w:left w:w="0" w:type="dxa"/>
            <w:bottom w:w="0" w:type="dxa"/>
            <w:right w:w="0" w:type="dxa"/>
          </w:tblCellMar>
          <w:tblLook w:val="01E0"/>
        </w:tblPrEx>
        <w:trPr>
          <w:trHeight w:val="935"/>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1</w:t>
            </w:r>
          </w:p>
        </w:tc>
        <w:tc>
          <w:tcPr>
            <w:tcW w:w="8363" w:type="dxa"/>
          </w:tcPr>
          <w:p>
            <w:pPr>
              <w:pStyle w:val="TableParagraph"/>
              <w:spacing w:before="4"/>
              <w:ind w:left="107"/>
              <w:rPr>
                <w:sz w:val="24"/>
              </w:rPr>
            </w:pPr>
            <w:r>
              <w:rPr>
                <w:spacing w:val="-2"/>
                <w:sz w:val="24"/>
              </w:rPr>
              <w:t>★实配双主控， 主控、交换分离， 支持独立交换网板； 整机交换容量≥</w:t>
            </w:r>
          </w:p>
          <w:p>
            <w:pPr>
              <w:pStyle w:val="TableParagraph"/>
              <w:spacing w:line="310" w:lineRule="atLeast"/>
              <w:ind w:left="107" w:right="95"/>
              <w:rPr>
                <w:sz w:val="24"/>
              </w:rPr>
            </w:pPr>
            <w:r>
              <w:rPr>
                <w:spacing w:val="-2"/>
                <w:sz w:val="24"/>
              </w:rPr>
              <w:t>16Tbps，转发性能≥5000Mpps，</w:t>
            </w:r>
            <w:r>
              <w:rPr>
                <w:spacing w:val="-8"/>
                <w:sz w:val="24"/>
              </w:rPr>
              <w:t xml:space="preserve">交换网板支持 </w:t>
            </w:r>
            <w:r>
              <w:rPr>
                <w:spacing w:val="-2"/>
                <w:sz w:val="24"/>
              </w:rPr>
              <w:t>N+1</w:t>
            </w:r>
            <w:r>
              <w:rPr>
                <w:spacing w:val="-9"/>
                <w:sz w:val="24"/>
              </w:rPr>
              <w:t xml:space="preserve"> 备份；数据转发板卡可用槽</w:t>
            </w:r>
            <w:r>
              <w:rPr>
                <w:spacing w:val="-2"/>
                <w:sz w:val="24"/>
              </w:rPr>
              <w:t>位数≥8；支持堆叠，配置堆叠授权，单向堆叠带宽≥320G。</w:t>
            </w:r>
          </w:p>
        </w:tc>
      </w:tr>
      <w:tr>
        <w:tblPrEx>
          <w:tblW w:w="0" w:type="auto"/>
          <w:jc w:val="left"/>
          <w:tblInd w:w="155" w:type="dxa"/>
          <w:tblLayout w:type="fixed"/>
          <w:tblCellMar>
            <w:top w:w="0" w:type="dxa"/>
            <w:left w:w="0" w:type="dxa"/>
            <w:bottom w:w="0" w:type="dxa"/>
            <w:right w:w="0" w:type="dxa"/>
          </w:tblCellMar>
          <w:tblLook w:val="01E0"/>
        </w:tblPrEx>
        <w:trPr>
          <w:trHeight w:val="623"/>
          <w:jc w:val="left"/>
        </w:trPr>
        <w:tc>
          <w:tcPr>
            <w:tcW w:w="817" w:type="dxa"/>
          </w:tcPr>
          <w:p>
            <w:pPr>
              <w:pStyle w:val="TableParagraph"/>
              <w:spacing w:before="160"/>
              <w:ind w:left="10"/>
              <w:jc w:val="center"/>
              <w:rPr>
                <w:sz w:val="24"/>
              </w:rPr>
            </w:pPr>
            <w:r>
              <w:rPr>
                <w:sz w:val="24"/>
              </w:rPr>
              <w:t>2</w:t>
            </w:r>
          </w:p>
        </w:tc>
        <w:tc>
          <w:tcPr>
            <w:tcW w:w="8363" w:type="dxa"/>
          </w:tcPr>
          <w:p>
            <w:pPr>
              <w:pStyle w:val="TableParagraph"/>
              <w:spacing w:before="4"/>
              <w:ind w:left="107"/>
              <w:rPr>
                <w:sz w:val="24"/>
              </w:rPr>
            </w:pPr>
            <w:r>
              <w:rPr>
                <w:spacing w:val="38"/>
                <w:sz w:val="24"/>
              </w:rPr>
              <w:t xml:space="preserve">具备全可编程和 </w:t>
            </w:r>
            <w:r>
              <w:rPr>
                <w:sz w:val="24"/>
              </w:rPr>
              <w:t>SDN</w:t>
            </w:r>
            <w:r>
              <w:rPr>
                <w:spacing w:val="30"/>
                <w:sz w:val="24"/>
              </w:rPr>
              <w:t xml:space="preserve"> 能力， 支持协议无关转发 </w:t>
            </w:r>
            <w:r>
              <w:rPr>
                <w:sz w:val="24"/>
              </w:rPr>
              <w:t>Protocol</w:t>
            </w:r>
            <w:r>
              <w:rPr>
                <w:spacing w:val="53"/>
                <w:sz w:val="24"/>
              </w:rPr>
              <w:t xml:space="preserve"> </w:t>
            </w:r>
            <w:r>
              <w:rPr>
                <w:spacing w:val="-2"/>
                <w:sz w:val="24"/>
              </w:rPr>
              <w:t>Oblivious</w:t>
            </w:r>
          </w:p>
          <w:p>
            <w:pPr>
              <w:pStyle w:val="TableParagraph"/>
              <w:spacing w:before="4" w:line="288" w:lineRule="exact"/>
              <w:ind w:left="107"/>
              <w:rPr>
                <w:sz w:val="24"/>
              </w:rPr>
            </w:pPr>
            <w:r>
              <w:rPr>
                <w:sz w:val="24"/>
              </w:rPr>
              <w:t>Forwarding（POF）(</w:t>
            </w:r>
            <w:r>
              <w:rPr>
                <w:spacing w:val="-1"/>
                <w:sz w:val="24"/>
              </w:rPr>
              <w:t>提供第三方测试报告)。</w:t>
            </w:r>
          </w:p>
        </w:tc>
      </w:tr>
      <w:tr>
        <w:tblPrEx>
          <w:tblW w:w="0" w:type="auto"/>
          <w:jc w:val="left"/>
          <w:tblInd w:w="155" w:type="dxa"/>
          <w:tblLayout w:type="fixed"/>
          <w:tblCellMar>
            <w:top w:w="0" w:type="dxa"/>
            <w:left w:w="0" w:type="dxa"/>
            <w:bottom w:w="0" w:type="dxa"/>
            <w:right w:w="0" w:type="dxa"/>
          </w:tblCellMar>
          <w:tblLook w:val="01E0"/>
        </w:tblPrEx>
        <w:trPr>
          <w:trHeight w:val="311"/>
          <w:jc w:val="left"/>
        </w:trPr>
        <w:tc>
          <w:tcPr>
            <w:tcW w:w="817" w:type="dxa"/>
          </w:tcPr>
          <w:p>
            <w:pPr>
              <w:pStyle w:val="TableParagraph"/>
              <w:spacing w:before="4" w:line="288" w:lineRule="exact"/>
              <w:ind w:left="10"/>
              <w:jc w:val="center"/>
              <w:rPr>
                <w:sz w:val="24"/>
              </w:rPr>
            </w:pPr>
            <w:r>
              <w:rPr>
                <w:sz w:val="24"/>
              </w:rPr>
              <w:t>3</w:t>
            </w:r>
          </w:p>
        </w:tc>
        <w:tc>
          <w:tcPr>
            <w:tcW w:w="8363" w:type="dxa"/>
          </w:tcPr>
          <w:p>
            <w:pPr>
              <w:pStyle w:val="TableParagraph"/>
              <w:spacing w:line="292" w:lineRule="exact"/>
              <w:ind w:left="107"/>
              <w:rPr>
                <w:sz w:val="24"/>
              </w:rPr>
            </w:pPr>
            <w:r>
              <w:rPr>
                <w:rFonts w:ascii="Microsoft JhengHei" w:eastAsia="Microsoft JhengHei" w:hAnsi="Microsoft JhengHei"/>
                <w:b/>
                <w:sz w:val="24"/>
              </w:rPr>
              <w:t>▲</w:t>
            </w:r>
            <w:r>
              <w:rPr>
                <w:spacing w:val="-20"/>
                <w:sz w:val="24"/>
              </w:rPr>
              <w:t xml:space="preserve">支持 </w:t>
            </w:r>
            <w:r>
              <w:rPr>
                <w:sz w:val="24"/>
              </w:rPr>
              <w:t>10GE</w:t>
            </w:r>
            <w:r>
              <w:rPr>
                <w:spacing w:val="-10"/>
                <w:sz w:val="24"/>
              </w:rPr>
              <w:t xml:space="preserve"> 端口大缓存</w:t>
            </w:r>
            <w:r>
              <w:rPr>
                <w:sz w:val="24"/>
              </w:rPr>
              <w:t>（≥200ms）(</w:t>
            </w:r>
            <w:r>
              <w:rPr>
                <w:spacing w:val="-1"/>
                <w:sz w:val="24"/>
              </w:rPr>
              <w:t>提供第三方测试报告)。</w:t>
            </w:r>
          </w:p>
        </w:tc>
      </w:tr>
      <w:tr>
        <w:tblPrEx>
          <w:tblW w:w="0" w:type="auto"/>
          <w:jc w:val="left"/>
          <w:tblInd w:w="155" w:type="dxa"/>
          <w:tblLayout w:type="fixed"/>
          <w:tblCellMar>
            <w:top w:w="0" w:type="dxa"/>
            <w:left w:w="0" w:type="dxa"/>
            <w:bottom w:w="0" w:type="dxa"/>
            <w:right w:w="0" w:type="dxa"/>
          </w:tblCellMar>
          <w:tblLook w:val="01E0"/>
        </w:tblPrEx>
        <w:trPr>
          <w:trHeight w:val="935"/>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4</w:t>
            </w:r>
          </w:p>
        </w:tc>
        <w:tc>
          <w:tcPr>
            <w:tcW w:w="8363" w:type="dxa"/>
          </w:tcPr>
          <w:p>
            <w:pPr>
              <w:pStyle w:val="TableParagraph"/>
              <w:spacing w:before="4" w:line="242" w:lineRule="auto"/>
              <w:ind w:left="107"/>
              <w:rPr>
                <w:sz w:val="24"/>
              </w:rPr>
            </w:pPr>
            <w:r>
              <w:rPr>
                <w:spacing w:val="-6"/>
                <w:sz w:val="24"/>
              </w:rPr>
              <w:t xml:space="preserve">★实配 </w:t>
            </w:r>
            <w:r>
              <w:rPr>
                <w:sz w:val="24"/>
              </w:rPr>
              <w:t>48*10/100/1000Mbps</w:t>
            </w:r>
            <w:r>
              <w:rPr>
                <w:spacing w:val="-6"/>
                <w:sz w:val="24"/>
              </w:rPr>
              <w:t xml:space="preserve"> 电接口板卡≥</w:t>
            </w:r>
            <w:r>
              <w:rPr>
                <w:sz w:val="24"/>
              </w:rPr>
              <w:t>2</w:t>
            </w:r>
            <w:r>
              <w:rPr>
                <w:spacing w:val="-13"/>
                <w:sz w:val="24"/>
              </w:rPr>
              <w:t xml:space="preserve"> 块；</w:t>
            </w:r>
            <w:r>
              <w:rPr>
                <w:sz w:val="24"/>
              </w:rPr>
              <w:t>48*10G</w:t>
            </w:r>
            <w:r>
              <w:rPr>
                <w:spacing w:val="-6"/>
                <w:sz w:val="24"/>
              </w:rPr>
              <w:t xml:space="preserve"> 光接口板卡≥</w:t>
            </w:r>
            <w:r>
              <w:rPr>
                <w:sz w:val="24"/>
              </w:rPr>
              <w:t>1</w:t>
            </w:r>
            <w:r>
              <w:rPr>
                <w:spacing w:val="-13"/>
                <w:sz w:val="24"/>
              </w:rPr>
              <w:t xml:space="preserve"> 块，</w:t>
            </w:r>
            <w:r>
              <w:rPr>
                <w:sz w:val="24"/>
              </w:rPr>
              <w:t xml:space="preserve"> </w:t>
            </w:r>
            <w:r>
              <w:rPr>
                <w:spacing w:val="-4"/>
                <w:sz w:val="24"/>
              </w:rPr>
              <w:t>10Gbps</w:t>
            </w:r>
            <w:r>
              <w:rPr>
                <w:spacing w:val="-13"/>
                <w:sz w:val="24"/>
              </w:rPr>
              <w:t xml:space="preserve"> 多模光模块</w:t>
            </w:r>
            <w:r>
              <w:rPr>
                <w:spacing w:val="-4"/>
                <w:sz w:val="24"/>
              </w:rPr>
              <w:t>≥4</w:t>
            </w:r>
            <w:r>
              <w:rPr>
                <w:spacing w:val="-38"/>
                <w:sz w:val="24"/>
              </w:rPr>
              <w:t xml:space="preserve"> 个；</w:t>
            </w:r>
            <w:r>
              <w:rPr>
                <w:spacing w:val="-4"/>
                <w:sz w:val="24"/>
              </w:rPr>
              <w:t>40G</w:t>
            </w:r>
            <w:r>
              <w:rPr>
                <w:spacing w:val="-13"/>
                <w:sz w:val="24"/>
              </w:rPr>
              <w:t xml:space="preserve"> 光接口板卡</w:t>
            </w:r>
            <w:r>
              <w:rPr>
                <w:spacing w:val="-4"/>
                <w:sz w:val="24"/>
              </w:rPr>
              <w:t>≥1</w:t>
            </w:r>
            <w:r>
              <w:rPr>
                <w:spacing w:val="-13"/>
                <w:sz w:val="24"/>
              </w:rPr>
              <w:t xml:space="preserve"> 块，接口数</w:t>
            </w:r>
            <w:r>
              <w:rPr>
                <w:spacing w:val="-4"/>
                <w:sz w:val="24"/>
              </w:rPr>
              <w:t>≥2</w:t>
            </w:r>
            <w:r>
              <w:rPr>
                <w:spacing w:val="-20"/>
                <w:sz w:val="24"/>
              </w:rPr>
              <w:t xml:space="preserve"> 个，多模 </w:t>
            </w:r>
            <w:r>
              <w:rPr>
                <w:spacing w:val="-4"/>
                <w:sz w:val="24"/>
              </w:rPr>
              <w:t>40Gbp</w:t>
            </w:r>
            <w:r>
              <w:rPr>
                <w:spacing w:val="-4"/>
                <w:sz w:val="24"/>
              </w:rPr>
              <w:t>s</w:t>
            </w:r>
          </w:p>
          <w:p>
            <w:pPr>
              <w:pStyle w:val="TableParagraph"/>
              <w:spacing w:before="3" w:line="288" w:lineRule="exact"/>
              <w:ind w:left="107"/>
              <w:rPr>
                <w:sz w:val="24"/>
              </w:rPr>
            </w:pPr>
            <w:r>
              <w:rPr>
                <w:sz w:val="24"/>
              </w:rPr>
              <w:t>光模块≥2</w:t>
            </w:r>
            <w:r>
              <w:rPr>
                <w:spacing w:val="-24"/>
                <w:sz w:val="24"/>
              </w:rPr>
              <w:t xml:space="preserve"> 个。</w:t>
            </w:r>
          </w:p>
        </w:tc>
      </w:tr>
      <w:tr>
        <w:tblPrEx>
          <w:tblW w:w="0" w:type="auto"/>
          <w:jc w:val="left"/>
          <w:tblInd w:w="155" w:type="dxa"/>
          <w:tblLayout w:type="fixed"/>
          <w:tblCellMar>
            <w:top w:w="0" w:type="dxa"/>
            <w:left w:w="0" w:type="dxa"/>
            <w:bottom w:w="0" w:type="dxa"/>
            <w:right w:w="0" w:type="dxa"/>
          </w:tblCellMar>
          <w:tblLook w:val="01E0"/>
        </w:tblPrEx>
        <w:trPr>
          <w:trHeight w:val="412"/>
          <w:jc w:val="left"/>
        </w:trPr>
        <w:tc>
          <w:tcPr>
            <w:tcW w:w="817" w:type="dxa"/>
          </w:tcPr>
          <w:p>
            <w:pPr>
              <w:pStyle w:val="TableParagraph"/>
              <w:spacing w:before="54"/>
              <w:ind w:left="10"/>
              <w:jc w:val="center"/>
              <w:rPr>
                <w:sz w:val="24"/>
              </w:rPr>
            </w:pPr>
            <w:r>
              <w:rPr>
                <w:sz w:val="24"/>
              </w:rPr>
              <w:t>5</w:t>
            </w:r>
          </w:p>
        </w:tc>
        <w:tc>
          <w:tcPr>
            <w:tcW w:w="8363" w:type="dxa"/>
          </w:tcPr>
          <w:p>
            <w:pPr>
              <w:pStyle w:val="TableParagraph"/>
              <w:spacing w:before="4"/>
              <w:ind w:left="107"/>
              <w:rPr>
                <w:sz w:val="24"/>
              </w:rPr>
            </w:pPr>
            <w:r>
              <w:rPr>
                <w:sz w:val="24"/>
              </w:rPr>
              <w:t>▲FIBv4</w:t>
            </w:r>
            <w:r>
              <w:rPr>
                <w:spacing w:val="-8"/>
                <w:sz w:val="24"/>
              </w:rPr>
              <w:t xml:space="preserve"> 路由转发表项容量</w:t>
            </w:r>
            <w:r>
              <w:rPr>
                <w:sz w:val="24"/>
              </w:rPr>
              <w:t>≥3,000,000，</w:t>
            </w:r>
            <w:r>
              <w:rPr>
                <w:spacing w:val="-1"/>
                <w:sz w:val="24"/>
              </w:rPr>
              <w:t>提供第三方测试报告。</w:t>
            </w:r>
          </w:p>
        </w:tc>
      </w:tr>
      <w:tr>
        <w:tblPrEx>
          <w:tblW w:w="0" w:type="auto"/>
          <w:jc w:val="left"/>
          <w:tblInd w:w="155" w:type="dxa"/>
          <w:tblLayout w:type="fixed"/>
          <w:tblCellMar>
            <w:top w:w="0" w:type="dxa"/>
            <w:left w:w="0" w:type="dxa"/>
            <w:bottom w:w="0" w:type="dxa"/>
            <w:right w:w="0" w:type="dxa"/>
          </w:tblCellMar>
          <w:tblLook w:val="01E0"/>
        </w:tblPrEx>
        <w:trPr>
          <w:trHeight w:val="312"/>
          <w:jc w:val="left"/>
        </w:trPr>
        <w:tc>
          <w:tcPr>
            <w:tcW w:w="817" w:type="dxa"/>
          </w:tcPr>
          <w:p>
            <w:pPr>
              <w:pStyle w:val="TableParagraph"/>
              <w:spacing w:before="4" w:line="288" w:lineRule="exact"/>
              <w:ind w:left="10"/>
              <w:jc w:val="center"/>
              <w:rPr>
                <w:sz w:val="24"/>
              </w:rPr>
            </w:pPr>
            <w:r>
              <w:rPr>
                <w:sz w:val="24"/>
              </w:rPr>
              <w:t>6</w:t>
            </w:r>
          </w:p>
        </w:tc>
        <w:tc>
          <w:tcPr>
            <w:tcW w:w="8363" w:type="dxa"/>
          </w:tcPr>
          <w:p>
            <w:pPr>
              <w:pStyle w:val="TableParagraph"/>
              <w:spacing w:before="4" w:line="288" w:lineRule="exact"/>
              <w:ind w:left="107"/>
              <w:rPr>
                <w:sz w:val="24"/>
              </w:rPr>
            </w:pPr>
            <w:r>
              <w:rPr>
                <w:sz w:val="24"/>
              </w:rPr>
              <w:t>▲FIBv6</w:t>
            </w:r>
            <w:r>
              <w:rPr>
                <w:spacing w:val="-8"/>
                <w:sz w:val="24"/>
              </w:rPr>
              <w:t xml:space="preserve"> 路由转发表项容量</w:t>
            </w:r>
            <w:r>
              <w:rPr>
                <w:sz w:val="24"/>
              </w:rPr>
              <w:t>≥1,000,000，</w:t>
            </w:r>
            <w:r>
              <w:rPr>
                <w:spacing w:val="-1"/>
                <w:sz w:val="24"/>
              </w:rPr>
              <w:t>提供第三方测试报告。</w:t>
            </w:r>
          </w:p>
        </w:tc>
      </w:tr>
      <w:tr>
        <w:tblPrEx>
          <w:tblW w:w="0" w:type="auto"/>
          <w:jc w:val="left"/>
          <w:tblInd w:w="155" w:type="dxa"/>
          <w:tblLayout w:type="fixed"/>
          <w:tblCellMar>
            <w:top w:w="0" w:type="dxa"/>
            <w:left w:w="0" w:type="dxa"/>
            <w:bottom w:w="0" w:type="dxa"/>
            <w:right w:w="0" w:type="dxa"/>
          </w:tblCellMar>
          <w:tblLook w:val="01E0"/>
        </w:tblPrEx>
        <w:trPr>
          <w:trHeight w:val="623"/>
          <w:jc w:val="left"/>
        </w:trPr>
        <w:tc>
          <w:tcPr>
            <w:tcW w:w="817" w:type="dxa"/>
          </w:tcPr>
          <w:p>
            <w:pPr>
              <w:pStyle w:val="TableParagraph"/>
              <w:spacing w:before="160"/>
              <w:ind w:left="10"/>
              <w:jc w:val="center"/>
              <w:rPr>
                <w:sz w:val="24"/>
              </w:rPr>
            </w:pPr>
            <w:r>
              <w:rPr>
                <w:sz w:val="24"/>
              </w:rPr>
              <w:t>7</w:t>
            </w:r>
          </w:p>
        </w:tc>
        <w:tc>
          <w:tcPr>
            <w:tcW w:w="8363" w:type="dxa"/>
          </w:tcPr>
          <w:p>
            <w:pPr>
              <w:pStyle w:val="TableParagraph"/>
              <w:spacing w:before="4"/>
              <w:ind w:left="107"/>
              <w:rPr>
                <w:sz w:val="24"/>
              </w:rPr>
            </w:pPr>
            <w:r>
              <w:rPr>
                <w:spacing w:val="-3"/>
                <w:sz w:val="24"/>
              </w:rPr>
              <w:t>支持在线设备批量补丁，配置文件，启动文件等自动按需下发升级；支持坏件</w:t>
            </w:r>
          </w:p>
          <w:p>
            <w:pPr>
              <w:pStyle w:val="TableParagraph"/>
              <w:spacing w:before="4" w:line="288" w:lineRule="exact"/>
              <w:ind w:left="107"/>
              <w:rPr>
                <w:sz w:val="24"/>
              </w:rPr>
            </w:pPr>
            <w:r>
              <w:rPr>
                <w:spacing w:val="-2"/>
                <w:sz w:val="24"/>
              </w:rPr>
              <w:t>零配置更换升级。</w:t>
            </w:r>
          </w:p>
        </w:tc>
      </w:tr>
      <w:tr>
        <w:tblPrEx>
          <w:tblW w:w="0" w:type="auto"/>
          <w:jc w:val="left"/>
          <w:tblInd w:w="155" w:type="dxa"/>
          <w:tblLayout w:type="fixed"/>
          <w:tblCellMar>
            <w:top w:w="0" w:type="dxa"/>
            <w:left w:w="0" w:type="dxa"/>
            <w:bottom w:w="0" w:type="dxa"/>
            <w:right w:w="0" w:type="dxa"/>
          </w:tblCellMar>
          <w:tblLook w:val="01E0"/>
        </w:tblPrEx>
        <w:trPr>
          <w:trHeight w:val="624"/>
          <w:jc w:val="left"/>
        </w:trPr>
        <w:tc>
          <w:tcPr>
            <w:tcW w:w="817" w:type="dxa"/>
          </w:tcPr>
          <w:p>
            <w:pPr>
              <w:pStyle w:val="TableParagraph"/>
              <w:spacing w:before="160"/>
              <w:ind w:left="10"/>
              <w:jc w:val="center"/>
              <w:rPr>
                <w:sz w:val="24"/>
              </w:rPr>
            </w:pPr>
            <w:r>
              <w:rPr>
                <w:sz w:val="24"/>
              </w:rPr>
              <w:t>8</w:t>
            </w:r>
          </w:p>
        </w:tc>
        <w:tc>
          <w:tcPr>
            <w:tcW w:w="8363" w:type="dxa"/>
          </w:tcPr>
          <w:p>
            <w:pPr>
              <w:pStyle w:val="TableParagraph"/>
              <w:spacing w:before="4"/>
              <w:ind w:left="107"/>
              <w:rPr>
                <w:sz w:val="24"/>
              </w:rPr>
            </w:pPr>
            <w:r>
              <w:rPr>
                <w:spacing w:val="-4"/>
                <w:sz w:val="24"/>
              </w:rPr>
              <w:t xml:space="preserve">▲单交换网板失效不影响转发性能，如 </w:t>
            </w:r>
            <w:r>
              <w:rPr>
                <w:spacing w:val="-2"/>
                <w:sz w:val="24"/>
              </w:rPr>
              <w:t>48*10GE</w:t>
            </w:r>
            <w:r>
              <w:rPr>
                <w:spacing w:val="-9"/>
                <w:sz w:val="24"/>
              </w:rPr>
              <w:t xml:space="preserve"> 线卡在单交换网板失效时，要</w:t>
            </w:r>
          </w:p>
          <w:p>
            <w:pPr>
              <w:pStyle w:val="TableParagraph"/>
              <w:spacing w:before="4" w:line="288" w:lineRule="exact"/>
              <w:ind w:left="107"/>
              <w:rPr>
                <w:sz w:val="24"/>
              </w:rPr>
            </w:pPr>
            <w:r>
              <w:rPr>
                <w:spacing w:val="-1"/>
                <w:sz w:val="24"/>
              </w:rPr>
              <w:t>求所有万兆端口仍能线速转发，提供第三方测试报告。</w:t>
            </w:r>
          </w:p>
        </w:tc>
      </w:tr>
      <w:tr>
        <w:tblPrEx>
          <w:tblW w:w="0" w:type="auto"/>
          <w:jc w:val="left"/>
          <w:tblInd w:w="155" w:type="dxa"/>
          <w:tblLayout w:type="fixed"/>
          <w:tblCellMar>
            <w:top w:w="0" w:type="dxa"/>
            <w:left w:w="0" w:type="dxa"/>
            <w:bottom w:w="0" w:type="dxa"/>
            <w:right w:w="0" w:type="dxa"/>
          </w:tblCellMar>
          <w:tblLook w:val="01E0"/>
        </w:tblPrEx>
        <w:trPr>
          <w:trHeight w:val="2807"/>
          <w:jc w:val="left"/>
        </w:trPr>
        <w:tc>
          <w:tcPr>
            <w:tcW w:w="817" w:type="dxa"/>
          </w:tcPr>
          <w:p>
            <w:pPr>
              <w:pStyle w:val="TableParagraph"/>
              <w:rPr>
                <w:rFonts w:ascii="Microsoft JhengHei"/>
                <w:b/>
                <w:sz w:val="24"/>
              </w:rPr>
            </w:pPr>
          </w:p>
          <w:p>
            <w:pPr>
              <w:pStyle w:val="TableParagraph"/>
              <w:rPr>
                <w:rFonts w:ascii="Microsoft JhengHei"/>
                <w:b/>
                <w:sz w:val="24"/>
              </w:rPr>
            </w:pPr>
          </w:p>
          <w:p>
            <w:pPr>
              <w:pStyle w:val="TableParagraph"/>
              <w:spacing w:before="1"/>
              <w:rPr>
                <w:rFonts w:ascii="Microsoft JhengHei"/>
                <w:b/>
                <w:sz w:val="20"/>
              </w:rPr>
            </w:pPr>
          </w:p>
          <w:p>
            <w:pPr>
              <w:pStyle w:val="TableParagraph"/>
              <w:ind w:left="10"/>
              <w:jc w:val="center"/>
              <w:rPr>
                <w:sz w:val="24"/>
              </w:rPr>
            </w:pPr>
            <w:r>
              <w:rPr>
                <w:sz w:val="24"/>
              </w:rPr>
              <w:t>9</w:t>
            </w:r>
          </w:p>
        </w:tc>
        <w:tc>
          <w:tcPr>
            <w:tcW w:w="8363" w:type="dxa"/>
          </w:tcPr>
          <w:p>
            <w:pPr>
              <w:pStyle w:val="TableParagraph"/>
              <w:spacing w:before="4" w:line="242" w:lineRule="auto"/>
              <w:ind w:left="107" w:right="-29"/>
              <w:rPr>
                <w:sz w:val="24"/>
              </w:rPr>
            </w:pPr>
            <w:r>
              <w:rPr>
                <w:sz w:val="24"/>
              </w:rPr>
              <w:t>★MAC</w:t>
            </w:r>
            <w:r>
              <w:rPr>
                <w:spacing w:val="-19"/>
                <w:sz w:val="24"/>
              </w:rPr>
              <w:t xml:space="preserve"> 地址</w:t>
            </w:r>
            <w:r>
              <w:rPr>
                <w:sz w:val="24"/>
              </w:rPr>
              <w:t>≥128K（</w:t>
            </w:r>
            <w:r>
              <w:rPr>
                <w:spacing w:val="-7"/>
                <w:sz w:val="24"/>
              </w:rPr>
              <w:t xml:space="preserve">要求单端口、单 </w:t>
            </w:r>
            <w:r>
              <w:rPr>
                <w:sz w:val="24"/>
              </w:rPr>
              <w:t>vlan</w:t>
            </w:r>
            <w:r>
              <w:rPr>
                <w:spacing w:val="-10"/>
                <w:sz w:val="24"/>
              </w:rPr>
              <w:t xml:space="preserve"> 均可以支持</w:t>
            </w:r>
            <w:r>
              <w:rPr>
                <w:sz w:val="24"/>
              </w:rPr>
              <w:t>）。操作系统支持所列类似功能并配置相应授权，如：4K</w:t>
            </w:r>
            <w:r>
              <w:rPr>
                <w:spacing w:val="-15"/>
                <w:sz w:val="24"/>
              </w:rPr>
              <w:t xml:space="preserve"> </w:t>
            </w:r>
            <w:r>
              <w:rPr>
                <w:sz w:val="24"/>
              </w:rPr>
              <w:t>VLAN；</w:t>
            </w:r>
            <w:r>
              <w:rPr>
                <w:spacing w:val="-17"/>
                <w:sz w:val="24"/>
              </w:rPr>
              <w:t xml:space="preserve"> </w:t>
            </w:r>
            <w:r>
              <w:rPr>
                <w:sz w:val="24"/>
              </w:rPr>
              <w:t>QinQ；Super</w:t>
            </w:r>
            <w:r>
              <w:rPr>
                <w:spacing w:val="-15"/>
                <w:sz w:val="24"/>
              </w:rPr>
              <w:t xml:space="preserve"> </w:t>
            </w:r>
            <w:r>
              <w:rPr>
                <w:sz w:val="24"/>
              </w:rPr>
              <w:t>VLAN；STP/RSTP/MSTP；端口聚合；N:1</w:t>
            </w:r>
            <w:r>
              <w:rPr>
                <w:spacing w:val="-6"/>
                <w:sz w:val="24"/>
              </w:rPr>
              <w:t xml:space="preserve"> 镜像；</w:t>
            </w:r>
            <w:r>
              <w:rPr>
                <w:sz w:val="24"/>
              </w:rPr>
              <w:t>RSPAN；环路检测与避免；IPV4&amp;V6</w:t>
            </w:r>
            <w:r>
              <w:rPr>
                <w:spacing w:val="-5"/>
                <w:sz w:val="24"/>
              </w:rPr>
              <w:t xml:space="preserve"> 相应的静态路由、</w:t>
            </w:r>
            <w:r>
              <w:rPr>
                <w:sz w:val="24"/>
              </w:rPr>
              <w:t xml:space="preserve"> RIP、OSPF、IS-IS、BGP</w:t>
            </w:r>
            <w:r>
              <w:rPr>
                <w:spacing w:val="-7"/>
                <w:sz w:val="24"/>
              </w:rPr>
              <w:t xml:space="preserve"> 动态路由及策略路由协议；</w:t>
            </w:r>
            <w:r>
              <w:rPr>
                <w:sz w:val="24"/>
              </w:rPr>
              <w:t>Diff-Serv QoS、QoS</w:t>
            </w:r>
            <w:r>
              <w:rPr>
                <w:spacing w:val="-14"/>
                <w:sz w:val="24"/>
              </w:rPr>
              <w:t xml:space="preserve"> 相应</w:t>
            </w:r>
            <w:r>
              <w:rPr>
                <w:spacing w:val="-5"/>
                <w:sz w:val="24"/>
              </w:rPr>
              <w:t xml:space="preserve">队列机制 </w:t>
            </w:r>
            <w:r>
              <w:rPr>
                <w:sz w:val="24"/>
              </w:rPr>
              <w:t>SP、WRR、DWRR、SP+WRR、SP+DWRR、CAR、WRED</w:t>
            </w:r>
            <w:r>
              <w:rPr>
                <w:spacing w:val="-5"/>
                <w:sz w:val="24"/>
              </w:rPr>
              <w:t xml:space="preserve"> 等类似功能</w:t>
            </w:r>
            <w:r>
              <w:rPr>
                <w:sz w:val="24"/>
              </w:rPr>
              <w:t>；MPLS；</w:t>
            </w:r>
            <w:r>
              <w:rPr>
                <w:spacing w:val="-12"/>
                <w:sz w:val="24"/>
              </w:rPr>
              <w:t>风暴控制；</w:t>
            </w:r>
            <w:r>
              <w:rPr>
                <w:sz w:val="24"/>
              </w:rPr>
              <w:t>DHCPv4</w:t>
            </w:r>
            <w:r>
              <w:rPr>
                <w:spacing w:val="-30"/>
                <w:sz w:val="24"/>
              </w:rPr>
              <w:t xml:space="preserve"> </w:t>
            </w:r>
            <w:r>
              <w:rPr>
                <w:sz w:val="24"/>
              </w:rPr>
              <w:t>Server、Relay、snooping</w:t>
            </w:r>
            <w:r>
              <w:rPr>
                <w:spacing w:val="-40"/>
                <w:sz w:val="24"/>
              </w:rPr>
              <w:t xml:space="preserve"> 与 </w:t>
            </w:r>
            <w:r>
              <w:rPr>
                <w:sz w:val="24"/>
              </w:rPr>
              <w:t>DHCP</w:t>
            </w:r>
            <w:r>
              <w:rPr>
                <w:spacing w:val="-30"/>
                <w:sz w:val="24"/>
              </w:rPr>
              <w:t xml:space="preserve"> </w:t>
            </w:r>
            <w:r>
              <w:rPr>
                <w:sz w:val="24"/>
              </w:rPr>
              <w:t>Option</w:t>
            </w:r>
            <w:r>
              <w:rPr>
                <w:spacing w:val="-30"/>
                <w:sz w:val="24"/>
              </w:rPr>
              <w:t xml:space="preserve"> </w:t>
            </w:r>
            <w:r>
              <w:rPr>
                <w:sz w:val="24"/>
              </w:rPr>
              <w:t>82；IP/ARP/ICMP</w:t>
            </w:r>
            <w:r>
              <w:rPr>
                <w:spacing w:val="35"/>
                <w:sz w:val="24"/>
              </w:rPr>
              <w:t>安全、</w:t>
            </w:r>
            <w:r>
              <w:rPr>
                <w:sz w:val="24"/>
              </w:rPr>
              <w:t>IPSG/DAI</w:t>
            </w:r>
            <w:r>
              <w:rPr>
                <w:spacing w:val="36"/>
                <w:sz w:val="24"/>
              </w:rPr>
              <w:t>、</w:t>
            </w:r>
            <w:r>
              <w:rPr>
                <w:sz w:val="24"/>
              </w:rPr>
              <w:t>CPU</w:t>
            </w:r>
            <w:r>
              <w:rPr>
                <w:spacing w:val="14"/>
                <w:sz w:val="24"/>
              </w:rPr>
              <w:t xml:space="preserve"> 保护技术、第 </w:t>
            </w:r>
            <w:r>
              <w:rPr>
                <w:sz w:val="24"/>
              </w:rPr>
              <w:t>2</w:t>
            </w:r>
            <w:r>
              <w:rPr>
                <w:spacing w:val="36"/>
                <w:sz w:val="24"/>
              </w:rPr>
              <w:t>、</w:t>
            </w:r>
            <w:r>
              <w:rPr>
                <w:sz w:val="24"/>
              </w:rPr>
              <w:t>3</w:t>
            </w:r>
            <w:r>
              <w:rPr>
                <w:spacing w:val="36"/>
                <w:sz w:val="24"/>
              </w:rPr>
              <w:t>、</w:t>
            </w:r>
            <w:r>
              <w:rPr>
                <w:sz w:val="24"/>
              </w:rPr>
              <w:t>4</w:t>
            </w:r>
            <w:r>
              <w:rPr>
                <w:spacing w:val="-6"/>
                <w:sz w:val="24"/>
              </w:rPr>
              <w:t xml:space="preserve"> 层的 </w:t>
            </w:r>
            <w:r>
              <w:rPr>
                <w:sz w:val="24"/>
              </w:rPr>
              <w:t>ACL，</w:t>
            </w:r>
            <w:r>
              <w:rPr>
                <w:spacing w:val="-12"/>
                <w:sz w:val="24"/>
              </w:rPr>
              <w:t xml:space="preserve"> 双向 </w:t>
            </w:r>
            <w:r>
              <w:rPr>
                <w:sz w:val="24"/>
              </w:rPr>
              <w:t>ACL；</w:t>
            </w:r>
            <w:r>
              <w:rPr>
                <w:spacing w:val="-78"/>
                <w:sz w:val="24"/>
              </w:rPr>
              <w:t xml:space="preserve"> </w:t>
            </w:r>
            <w:r>
              <w:rPr>
                <w:sz w:val="24"/>
              </w:rPr>
              <w:t>IGMP Snooping V1/2/3；PIM-SM,PIM-SSM；SNMP V1/V2/V3</w:t>
            </w:r>
            <w:r>
              <w:rPr>
                <w:spacing w:val="15"/>
                <w:sz w:val="24"/>
              </w:rPr>
              <w:t>、</w:t>
            </w:r>
            <w:r>
              <w:rPr>
                <w:sz w:val="24"/>
              </w:rPr>
              <w:t>Telnet</w:t>
            </w:r>
            <w:r>
              <w:rPr>
                <w:spacing w:val="15"/>
                <w:sz w:val="24"/>
              </w:rPr>
              <w:t>、</w:t>
            </w:r>
            <w:r>
              <w:rPr>
                <w:sz w:val="24"/>
              </w:rPr>
              <w:t>RMON</w:t>
            </w:r>
            <w:r>
              <w:rPr>
                <w:spacing w:val="15"/>
                <w:sz w:val="24"/>
              </w:rPr>
              <w:t>、</w:t>
            </w:r>
            <w:r>
              <w:rPr>
                <w:sz w:val="24"/>
              </w:rPr>
              <w:t>SSH；</w:t>
            </w:r>
          </w:p>
          <w:p>
            <w:pPr>
              <w:pStyle w:val="TableParagraph"/>
              <w:spacing w:before="11" w:line="288" w:lineRule="exact"/>
              <w:ind w:left="107"/>
              <w:rPr>
                <w:sz w:val="24"/>
              </w:rPr>
            </w:pPr>
            <w:r>
              <w:rPr>
                <w:sz w:val="24"/>
              </w:rPr>
              <w:t>802.1X、VRRP</w:t>
            </w:r>
            <w:r>
              <w:rPr>
                <w:spacing w:val="-24"/>
                <w:sz w:val="24"/>
              </w:rPr>
              <w:t xml:space="preserve"> 等。</w:t>
            </w:r>
          </w:p>
        </w:tc>
      </w:tr>
      <w:tr>
        <w:tblPrEx>
          <w:tblW w:w="0" w:type="auto"/>
          <w:jc w:val="left"/>
          <w:tblInd w:w="155" w:type="dxa"/>
          <w:tblLayout w:type="fixed"/>
          <w:tblCellMar>
            <w:top w:w="0" w:type="dxa"/>
            <w:left w:w="0" w:type="dxa"/>
            <w:bottom w:w="0" w:type="dxa"/>
            <w:right w:w="0" w:type="dxa"/>
          </w:tblCellMar>
          <w:tblLook w:val="01E0"/>
        </w:tblPrEx>
        <w:trPr>
          <w:trHeight w:val="312"/>
          <w:jc w:val="left"/>
        </w:trPr>
        <w:tc>
          <w:tcPr>
            <w:tcW w:w="817" w:type="dxa"/>
          </w:tcPr>
          <w:p>
            <w:pPr>
              <w:pStyle w:val="TableParagraph"/>
              <w:spacing w:before="4" w:line="288" w:lineRule="exact"/>
              <w:ind w:left="153" w:right="143"/>
              <w:jc w:val="center"/>
              <w:rPr>
                <w:sz w:val="24"/>
              </w:rPr>
            </w:pPr>
            <w:r>
              <w:rPr>
                <w:spacing w:val="-5"/>
                <w:sz w:val="24"/>
              </w:rPr>
              <w:t>10</w:t>
            </w:r>
          </w:p>
        </w:tc>
        <w:tc>
          <w:tcPr>
            <w:tcW w:w="8363" w:type="dxa"/>
          </w:tcPr>
          <w:p>
            <w:pPr>
              <w:pStyle w:val="TableParagraph"/>
              <w:spacing w:before="4" w:line="288" w:lineRule="exact"/>
              <w:ind w:left="107"/>
              <w:rPr>
                <w:sz w:val="24"/>
              </w:rPr>
            </w:pPr>
            <w:r>
              <w:rPr>
                <w:spacing w:val="-4"/>
                <w:sz w:val="24"/>
              </w:rPr>
              <w:t>★支持多路电源输入；实配交流电源供电，N+N</w:t>
            </w:r>
            <w:r>
              <w:rPr>
                <w:spacing w:val="-2"/>
                <w:sz w:val="24"/>
              </w:rPr>
              <w:t xml:space="preserve"> 电源冗余</w:t>
            </w:r>
            <w:r>
              <w:rPr>
                <w:spacing w:val="-4"/>
                <w:sz w:val="24"/>
              </w:rPr>
              <w:t>，50%</w:t>
            </w:r>
            <w:r>
              <w:rPr>
                <w:spacing w:val="-5"/>
                <w:sz w:val="24"/>
              </w:rPr>
              <w:t>电源模块工作满</w:t>
            </w:r>
          </w:p>
        </w:tc>
      </w:tr>
    </w:tbl>
    <w:p>
      <w:pPr>
        <w:spacing w:after="0" w:line="288" w:lineRule="exact"/>
        <w:rPr>
          <w:sz w:val="24"/>
        </w:rPr>
        <w:sectPr>
          <w:headerReference w:type="default" r:id="rId56"/>
          <w:footerReference w:type="default" r:id="rId57"/>
          <w:pgSz w:w="11910" w:h="16840"/>
          <w:pgMar w:top="1080" w:right="1060" w:bottom="1040" w:left="1160" w:header="700" w:footer="841"/>
          <w:pgNumType w:start="25"/>
          <w:cols w:space="708"/>
        </w:sectPr>
      </w:pPr>
    </w:p>
    <w:p>
      <w:pPr>
        <w:pStyle w:val="BodyText"/>
        <w:spacing w:before="15"/>
        <w:rPr>
          <w:rFonts w:ascii="Microsoft JhengHei"/>
          <w:b/>
          <w:sz w:val="2"/>
        </w:rPr>
      </w:pPr>
    </w:p>
    <w:tbl>
      <w:tblPr>
        <w:tblStyle w:val="TableNormal9"/>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7"/>
        <w:gridCol w:w="8363"/>
      </w:tblGrid>
      <w:tr>
        <w:tblPrEx>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817" w:type="dxa"/>
          </w:tcPr>
          <w:p>
            <w:pPr>
              <w:pStyle w:val="TableParagraph"/>
              <w:rPr>
                <w:rFonts w:ascii="Times New Roman"/>
                <w:sz w:val="22"/>
              </w:rPr>
            </w:pPr>
          </w:p>
        </w:tc>
        <w:tc>
          <w:tcPr>
            <w:tcW w:w="8363" w:type="dxa"/>
          </w:tcPr>
          <w:p>
            <w:pPr>
              <w:pStyle w:val="TableParagraph"/>
              <w:spacing w:before="4" w:line="288" w:lineRule="exact"/>
              <w:ind w:left="107"/>
              <w:rPr>
                <w:sz w:val="24"/>
              </w:rPr>
            </w:pPr>
            <w:r>
              <w:rPr>
                <w:sz w:val="24"/>
              </w:rPr>
              <w:t>足整机线卡供电；N+N</w:t>
            </w:r>
            <w:r>
              <w:rPr>
                <w:spacing w:val="-9"/>
                <w:sz w:val="24"/>
              </w:rPr>
              <w:t xml:space="preserve"> 风扇冗余, </w:t>
            </w:r>
            <w:r>
              <w:rPr>
                <w:sz w:val="24"/>
              </w:rPr>
              <w:t>50%</w:t>
            </w:r>
            <w:r>
              <w:rPr>
                <w:spacing w:val="-1"/>
                <w:sz w:val="24"/>
              </w:rPr>
              <w:t>风扇模块工作满足整机散热。</w:t>
            </w:r>
          </w:p>
        </w:tc>
      </w:tr>
      <w:tr>
        <w:tblPrEx>
          <w:tblW w:w="0" w:type="auto"/>
          <w:jc w:val="left"/>
          <w:tblInd w:w="155" w:type="dxa"/>
          <w:tblLayout w:type="fixed"/>
          <w:tblCellMar>
            <w:top w:w="0" w:type="dxa"/>
            <w:left w:w="0" w:type="dxa"/>
            <w:bottom w:w="0" w:type="dxa"/>
            <w:right w:w="0" w:type="dxa"/>
          </w:tblCellMar>
          <w:tblLook w:val="01E0"/>
        </w:tblPrEx>
        <w:trPr>
          <w:trHeight w:val="369"/>
          <w:jc w:val="left"/>
        </w:trPr>
        <w:tc>
          <w:tcPr>
            <w:tcW w:w="817" w:type="dxa"/>
          </w:tcPr>
          <w:p>
            <w:pPr>
              <w:pStyle w:val="TableParagraph"/>
              <w:spacing w:before="32"/>
              <w:ind w:left="153" w:right="143"/>
              <w:jc w:val="center"/>
              <w:rPr>
                <w:sz w:val="24"/>
              </w:rPr>
            </w:pPr>
            <w:r>
              <w:rPr>
                <w:spacing w:val="-5"/>
                <w:sz w:val="24"/>
              </w:rPr>
              <w:t>11</w:t>
            </w:r>
          </w:p>
        </w:tc>
        <w:tc>
          <w:tcPr>
            <w:tcW w:w="8363" w:type="dxa"/>
          </w:tcPr>
          <w:p>
            <w:pPr>
              <w:pStyle w:val="TableParagraph"/>
              <w:spacing w:before="4"/>
              <w:ind w:left="107"/>
              <w:rPr>
                <w:sz w:val="24"/>
              </w:rPr>
            </w:pPr>
            <w:r>
              <w:rPr>
                <w:spacing w:val="-1"/>
                <w:sz w:val="24"/>
              </w:rPr>
              <w:t>支持热补丁技术，升级软件不需关机。</w:t>
            </w:r>
          </w:p>
        </w:tc>
      </w:tr>
      <w:tr>
        <w:tblPrEx>
          <w:tblW w:w="0" w:type="auto"/>
          <w:jc w:val="left"/>
          <w:tblInd w:w="155" w:type="dxa"/>
          <w:tblLayout w:type="fixed"/>
          <w:tblCellMar>
            <w:top w:w="0" w:type="dxa"/>
            <w:left w:w="0" w:type="dxa"/>
            <w:bottom w:w="0" w:type="dxa"/>
            <w:right w:w="0" w:type="dxa"/>
          </w:tblCellMar>
          <w:tblLook w:val="01E0"/>
        </w:tblPrEx>
        <w:trPr>
          <w:trHeight w:val="428"/>
          <w:jc w:val="left"/>
        </w:trPr>
        <w:tc>
          <w:tcPr>
            <w:tcW w:w="817" w:type="dxa"/>
          </w:tcPr>
          <w:p>
            <w:pPr>
              <w:pStyle w:val="TableParagraph"/>
              <w:spacing w:before="62"/>
              <w:ind w:left="153" w:right="143"/>
              <w:jc w:val="center"/>
              <w:rPr>
                <w:sz w:val="24"/>
              </w:rPr>
            </w:pPr>
            <w:r>
              <w:rPr>
                <w:spacing w:val="-5"/>
                <w:sz w:val="24"/>
              </w:rPr>
              <w:t>12</w:t>
            </w:r>
          </w:p>
        </w:tc>
        <w:tc>
          <w:tcPr>
            <w:tcW w:w="8363" w:type="dxa"/>
          </w:tcPr>
          <w:p>
            <w:pPr>
              <w:pStyle w:val="TableParagraph"/>
              <w:spacing w:before="4"/>
              <w:ind w:left="107"/>
              <w:rPr>
                <w:sz w:val="24"/>
              </w:rPr>
            </w:pPr>
            <w:r>
              <w:rPr>
                <w:spacing w:val="-8"/>
                <w:sz w:val="24"/>
              </w:rPr>
              <w:t>具有工信部入网证（Ipv4、</w:t>
            </w:r>
            <w:r>
              <w:rPr>
                <w:spacing w:val="16"/>
                <w:sz w:val="24"/>
              </w:rPr>
              <w:t>Ipv6</w:t>
            </w:r>
            <w:r>
              <w:rPr>
                <w:spacing w:val="-104"/>
                <w:sz w:val="24"/>
              </w:rPr>
              <w:t>）</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311"/>
          <w:jc w:val="left"/>
        </w:trPr>
        <w:tc>
          <w:tcPr>
            <w:tcW w:w="817" w:type="dxa"/>
          </w:tcPr>
          <w:p>
            <w:pPr>
              <w:pStyle w:val="TableParagraph"/>
              <w:spacing w:before="4" w:line="288" w:lineRule="exact"/>
              <w:ind w:left="153" w:right="143"/>
              <w:jc w:val="center"/>
              <w:rPr>
                <w:sz w:val="24"/>
              </w:rPr>
            </w:pPr>
            <w:r>
              <w:rPr>
                <w:spacing w:val="-5"/>
                <w:sz w:val="24"/>
              </w:rPr>
              <w:t>13</w:t>
            </w:r>
          </w:p>
        </w:tc>
        <w:tc>
          <w:tcPr>
            <w:tcW w:w="8363" w:type="dxa"/>
          </w:tcPr>
          <w:p>
            <w:pPr>
              <w:pStyle w:val="TableParagraph"/>
              <w:spacing w:before="4" w:line="288" w:lineRule="exact"/>
              <w:ind w:left="107"/>
              <w:rPr>
                <w:sz w:val="24"/>
              </w:rPr>
            </w:pPr>
            <w:r>
              <w:rPr>
                <w:spacing w:val="-1"/>
                <w:sz w:val="24"/>
              </w:rPr>
              <w:t>★与数据中心核心交换机同一品牌。</w:t>
            </w:r>
          </w:p>
        </w:tc>
      </w:tr>
    </w:tbl>
    <w:p>
      <w:pPr>
        <w:pStyle w:val="Heading4"/>
        <w:numPr>
          <w:ilvl w:val="1"/>
          <w:numId w:val="10"/>
        </w:numPr>
        <w:tabs>
          <w:tab w:val="left" w:pos="1041"/>
        </w:tabs>
        <w:spacing w:before="4" w:after="0" w:line="240" w:lineRule="auto"/>
        <w:ind w:left="1040" w:right="0" w:hanging="363"/>
        <w:jc w:val="left"/>
      </w:pPr>
      <w:r>
        <w:t>、 万兆光接口服务器接入交换机要求（单套</w:t>
      </w:r>
      <w:r>
        <w:rPr>
          <w:spacing w:val="-10"/>
        </w:rPr>
        <w:t>）</w:t>
      </w:r>
    </w:p>
    <w:p>
      <w:pPr>
        <w:pStyle w:val="BodyText"/>
        <w:spacing w:before="10"/>
        <w:rPr>
          <w:rFonts w:ascii="Microsoft JhengHei"/>
          <w:b/>
          <w:sz w:val="4"/>
        </w:rPr>
      </w:pPr>
    </w:p>
    <w:tbl>
      <w:tblPr>
        <w:tblStyle w:val="TableNormal9"/>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7"/>
        <w:gridCol w:w="8363"/>
      </w:tblGrid>
      <w:tr>
        <w:tblPrEx>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54"/>
          <w:jc w:val="left"/>
        </w:trPr>
        <w:tc>
          <w:tcPr>
            <w:tcW w:w="817" w:type="dxa"/>
          </w:tcPr>
          <w:p>
            <w:pPr>
              <w:pStyle w:val="TableParagraph"/>
              <w:spacing w:line="434" w:lineRule="exact"/>
              <w:ind w:left="153" w:right="144"/>
              <w:jc w:val="center"/>
              <w:rPr>
                <w:rFonts w:ascii="Microsoft JhengHei" w:eastAsia="Microsoft JhengHei"/>
                <w:b/>
                <w:sz w:val="24"/>
              </w:rPr>
            </w:pPr>
            <w:r>
              <w:rPr>
                <w:rFonts w:ascii="Microsoft JhengHei" w:eastAsia="Microsoft JhengHei"/>
                <w:b/>
                <w:spacing w:val="-5"/>
                <w:sz w:val="24"/>
              </w:rPr>
              <w:t>序号</w:t>
            </w:r>
          </w:p>
        </w:tc>
        <w:tc>
          <w:tcPr>
            <w:tcW w:w="8363" w:type="dxa"/>
          </w:tcPr>
          <w:p>
            <w:pPr>
              <w:pStyle w:val="TableParagraph"/>
              <w:spacing w:line="434" w:lineRule="exact"/>
              <w:ind w:left="22" w:right="13"/>
              <w:jc w:val="center"/>
              <w:rPr>
                <w:rFonts w:ascii="Microsoft JhengHei" w:eastAsia="Microsoft JhengHei"/>
                <w:b/>
                <w:sz w:val="24"/>
              </w:rPr>
            </w:pPr>
            <w:r>
              <w:rPr>
                <w:rFonts w:ascii="Microsoft JhengHei" w:eastAsia="Microsoft JhengHei"/>
                <w:b/>
                <w:spacing w:val="-2"/>
                <w:sz w:val="24"/>
              </w:rPr>
              <w:t>技术指标要求</w:t>
            </w:r>
          </w:p>
        </w:tc>
      </w:tr>
      <w:tr>
        <w:tblPrEx>
          <w:tblW w:w="0" w:type="auto"/>
          <w:jc w:val="left"/>
          <w:tblInd w:w="155" w:type="dxa"/>
          <w:tblLayout w:type="fixed"/>
          <w:tblCellMar>
            <w:top w:w="0" w:type="dxa"/>
            <w:left w:w="0" w:type="dxa"/>
            <w:bottom w:w="0" w:type="dxa"/>
            <w:right w:w="0" w:type="dxa"/>
          </w:tblCellMar>
          <w:tblLook w:val="01E0"/>
        </w:tblPrEx>
        <w:trPr>
          <w:trHeight w:val="624"/>
          <w:jc w:val="left"/>
        </w:trPr>
        <w:tc>
          <w:tcPr>
            <w:tcW w:w="817" w:type="dxa"/>
          </w:tcPr>
          <w:p>
            <w:pPr>
              <w:pStyle w:val="TableParagraph"/>
              <w:spacing w:before="160"/>
              <w:ind w:left="10"/>
              <w:jc w:val="center"/>
              <w:rPr>
                <w:sz w:val="24"/>
              </w:rPr>
            </w:pPr>
            <w:r>
              <w:rPr>
                <w:sz w:val="24"/>
              </w:rPr>
              <w:t>1</w:t>
            </w:r>
          </w:p>
        </w:tc>
        <w:tc>
          <w:tcPr>
            <w:tcW w:w="8363" w:type="dxa"/>
          </w:tcPr>
          <w:p>
            <w:pPr>
              <w:pStyle w:val="TableParagraph"/>
              <w:spacing w:before="4"/>
              <w:ind w:left="107"/>
              <w:rPr>
                <w:sz w:val="24"/>
              </w:rPr>
            </w:pPr>
            <w:r>
              <w:rPr>
                <w:sz w:val="24"/>
              </w:rPr>
              <w:t>★实配交换容量≥1200Gbps，转发性能≥900Mpps。1+1</w:t>
            </w:r>
            <w:r>
              <w:rPr>
                <w:spacing w:val="-11"/>
                <w:sz w:val="24"/>
              </w:rPr>
              <w:t xml:space="preserve"> 电源备份,风扇框 </w:t>
            </w:r>
            <w:r>
              <w:rPr>
                <w:spacing w:val="-5"/>
                <w:sz w:val="24"/>
              </w:rPr>
              <w:t>1+1</w:t>
            </w:r>
          </w:p>
          <w:p>
            <w:pPr>
              <w:pStyle w:val="TableParagraph"/>
              <w:spacing w:before="4" w:line="288" w:lineRule="exact"/>
              <w:ind w:left="107"/>
              <w:rPr>
                <w:sz w:val="24"/>
              </w:rPr>
            </w:pPr>
            <w:r>
              <w:rPr>
                <w:spacing w:val="-4"/>
                <w:sz w:val="24"/>
              </w:rPr>
              <w:t>备份。</w:t>
            </w:r>
          </w:p>
        </w:tc>
      </w:tr>
      <w:tr>
        <w:tblPrEx>
          <w:tblW w:w="0" w:type="auto"/>
          <w:jc w:val="left"/>
          <w:tblInd w:w="155" w:type="dxa"/>
          <w:tblLayout w:type="fixed"/>
          <w:tblCellMar>
            <w:top w:w="0" w:type="dxa"/>
            <w:left w:w="0" w:type="dxa"/>
            <w:bottom w:w="0" w:type="dxa"/>
            <w:right w:w="0" w:type="dxa"/>
          </w:tblCellMar>
          <w:tblLook w:val="01E0"/>
        </w:tblPrEx>
        <w:trPr>
          <w:trHeight w:val="935"/>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2</w:t>
            </w:r>
          </w:p>
        </w:tc>
        <w:tc>
          <w:tcPr>
            <w:tcW w:w="8363" w:type="dxa"/>
          </w:tcPr>
          <w:p>
            <w:pPr>
              <w:pStyle w:val="TableParagraph"/>
              <w:spacing w:before="4"/>
              <w:ind w:left="107"/>
              <w:rPr>
                <w:sz w:val="24"/>
              </w:rPr>
            </w:pPr>
            <w:r>
              <w:rPr>
                <w:spacing w:val="-10"/>
                <w:sz w:val="24"/>
              </w:rPr>
              <w:t xml:space="preserve">★实配固化 </w:t>
            </w:r>
            <w:r>
              <w:rPr>
                <w:spacing w:val="-2"/>
                <w:sz w:val="24"/>
              </w:rPr>
              <w:t>10Gbps</w:t>
            </w:r>
            <w:r>
              <w:rPr>
                <w:spacing w:val="-11"/>
                <w:sz w:val="24"/>
              </w:rPr>
              <w:t xml:space="preserve"> 光接口数量</w:t>
            </w:r>
            <w:r>
              <w:rPr>
                <w:spacing w:val="-2"/>
                <w:sz w:val="24"/>
              </w:rPr>
              <w:t>≥48</w:t>
            </w:r>
            <w:r>
              <w:rPr>
                <w:spacing w:val="-14"/>
                <w:sz w:val="24"/>
              </w:rPr>
              <w:t xml:space="preserve"> 个，可自适应为 </w:t>
            </w:r>
            <w:r>
              <w:rPr>
                <w:spacing w:val="-2"/>
                <w:sz w:val="24"/>
              </w:rPr>
              <w:t>1000M</w:t>
            </w:r>
            <w:r>
              <w:rPr>
                <w:spacing w:val="-14"/>
                <w:sz w:val="24"/>
              </w:rPr>
              <w:t xml:space="preserve"> 接口，</w:t>
            </w:r>
            <w:r>
              <w:rPr>
                <w:spacing w:val="-2"/>
                <w:sz w:val="24"/>
              </w:rPr>
              <w:t>40Gbps</w:t>
            </w:r>
            <w:r>
              <w:rPr>
                <w:spacing w:val="-20"/>
                <w:sz w:val="24"/>
              </w:rPr>
              <w:t xml:space="preserve"> 光接</w:t>
            </w:r>
          </w:p>
          <w:p>
            <w:pPr>
              <w:pStyle w:val="TableParagraph"/>
              <w:spacing w:line="310" w:lineRule="atLeast"/>
              <w:ind w:left="107" w:right="96"/>
              <w:rPr>
                <w:sz w:val="24"/>
              </w:rPr>
            </w:pPr>
            <w:r>
              <w:rPr>
                <w:sz w:val="24"/>
              </w:rPr>
              <w:t>口数量≥4</w:t>
            </w:r>
            <w:r>
              <w:rPr>
                <w:spacing w:val="-15"/>
                <w:sz w:val="24"/>
              </w:rPr>
              <w:t xml:space="preserve">，实配 </w:t>
            </w:r>
            <w:r>
              <w:rPr>
                <w:sz w:val="24"/>
              </w:rPr>
              <w:t>40Gbps</w:t>
            </w:r>
            <w:r>
              <w:rPr>
                <w:spacing w:val="-12"/>
                <w:sz w:val="24"/>
              </w:rPr>
              <w:t xml:space="preserve"> 多模模块</w:t>
            </w:r>
            <w:r>
              <w:rPr>
                <w:sz w:val="24"/>
              </w:rPr>
              <w:t>（</w:t>
            </w:r>
            <w:r>
              <w:rPr>
                <w:spacing w:val="-20"/>
                <w:sz w:val="24"/>
              </w:rPr>
              <w:t xml:space="preserve">支持 </w:t>
            </w:r>
            <w:r>
              <w:rPr>
                <w:sz w:val="24"/>
              </w:rPr>
              <w:t>300</w:t>
            </w:r>
            <w:r>
              <w:rPr>
                <w:spacing w:val="-30"/>
                <w:sz w:val="24"/>
              </w:rPr>
              <w:t xml:space="preserve"> 米</w:t>
            </w:r>
            <w:r>
              <w:rPr>
                <w:sz w:val="24"/>
              </w:rPr>
              <w:t>）≥4</w:t>
            </w:r>
            <w:r>
              <w:rPr>
                <w:spacing w:val="-8"/>
                <w:sz w:val="24"/>
              </w:rPr>
              <w:t xml:space="preserve"> 个；堆叠线缆及相应接</w:t>
            </w:r>
            <w:r>
              <w:rPr>
                <w:spacing w:val="-6"/>
                <w:sz w:val="24"/>
              </w:rPr>
              <w:t xml:space="preserve">口模块 </w:t>
            </w:r>
            <w:r>
              <w:rPr>
                <w:sz w:val="24"/>
              </w:rPr>
              <w:t>1</w:t>
            </w:r>
            <w:r>
              <w:rPr>
                <w:spacing w:val="-8"/>
                <w:sz w:val="24"/>
              </w:rPr>
              <w:t xml:space="preserve"> 套。</w:t>
            </w:r>
          </w:p>
        </w:tc>
      </w:tr>
      <w:tr>
        <w:tblPrEx>
          <w:tblW w:w="0" w:type="auto"/>
          <w:jc w:val="left"/>
          <w:tblInd w:w="155" w:type="dxa"/>
          <w:tblLayout w:type="fixed"/>
          <w:tblCellMar>
            <w:top w:w="0" w:type="dxa"/>
            <w:left w:w="0" w:type="dxa"/>
            <w:bottom w:w="0" w:type="dxa"/>
            <w:right w:w="0" w:type="dxa"/>
          </w:tblCellMar>
          <w:tblLook w:val="01E0"/>
        </w:tblPrEx>
        <w:trPr>
          <w:trHeight w:val="623"/>
          <w:jc w:val="left"/>
        </w:trPr>
        <w:tc>
          <w:tcPr>
            <w:tcW w:w="817" w:type="dxa"/>
          </w:tcPr>
          <w:p>
            <w:pPr>
              <w:pStyle w:val="TableParagraph"/>
              <w:spacing w:before="160"/>
              <w:ind w:left="10"/>
              <w:jc w:val="center"/>
              <w:rPr>
                <w:sz w:val="24"/>
              </w:rPr>
            </w:pPr>
            <w:r>
              <w:rPr>
                <w:sz w:val="24"/>
              </w:rPr>
              <w:t>3</w:t>
            </w:r>
          </w:p>
        </w:tc>
        <w:tc>
          <w:tcPr>
            <w:tcW w:w="8363" w:type="dxa"/>
          </w:tcPr>
          <w:p>
            <w:pPr>
              <w:pStyle w:val="TableParagraph"/>
              <w:spacing w:before="4"/>
              <w:ind w:left="107"/>
              <w:rPr>
                <w:sz w:val="24"/>
              </w:rPr>
            </w:pPr>
            <w:r>
              <w:rPr>
                <w:spacing w:val="-4"/>
                <w:sz w:val="24"/>
              </w:rPr>
              <w:t xml:space="preserve">为保证在大流量环境下的网络稳定性，要求设备的时延在 </w:t>
            </w:r>
            <w:r>
              <w:rPr>
                <w:spacing w:val="-2"/>
                <w:sz w:val="24"/>
              </w:rPr>
              <w:t>3</w:t>
            </w:r>
            <w:r>
              <w:rPr>
                <w:spacing w:val="-9"/>
                <w:sz w:val="24"/>
              </w:rPr>
              <w:t xml:space="preserve"> 微秒之内，提供第</w:t>
            </w:r>
          </w:p>
          <w:p>
            <w:pPr>
              <w:pStyle w:val="TableParagraph"/>
              <w:spacing w:before="4" w:line="288" w:lineRule="exact"/>
              <w:ind w:left="107"/>
              <w:rPr>
                <w:sz w:val="24"/>
              </w:rPr>
            </w:pPr>
            <w:r>
              <w:rPr>
                <w:spacing w:val="-2"/>
                <w:sz w:val="24"/>
              </w:rPr>
              <w:t>三方权威测试报告。</w:t>
            </w:r>
          </w:p>
        </w:tc>
      </w:tr>
      <w:tr>
        <w:tblPrEx>
          <w:tblW w:w="0" w:type="auto"/>
          <w:jc w:val="left"/>
          <w:tblInd w:w="155" w:type="dxa"/>
          <w:tblLayout w:type="fixed"/>
          <w:tblCellMar>
            <w:top w:w="0" w:type="dxa"/>
            <w:left w:w="0" w:type="dxa"/>
            <w:bottom w:w="0" w:type="dxa"/>
            <w:right w:w="0" w:type="dxa"/>
          </w:tblCellMar>
          <w:tblLook w:val="01E0"/>
        </w:tblPrEx>
        <w:trPr>
          <w:trHeight w:val="427"/>
          <w:jc w:val="left"/>
        </w:trPr>
        <w:tc>
          <w:tcPr>
            <w:tcW w:w="817" w:type="dxa"/>
          </w:tcPr>
          <w:p>
            <w:pPr>
              <w:pStyle w:val="TableParagraph"/>
              <w:spacing w:before="62"/>
              <w:ind w:left="10"/>
              <w:jc w:val="center"/>
              <w:rPr>
                <w:sz w:val="24"/>
              </w:rPr>
            </w:pPr>
            <w:r>
              <w:rPr>
                <w:sz w:val="24"/>
              </w:rPr>
              <w:t>4</w:t>
            </w:r>
          </w:p>
        </w:tc>
        <w:tc>
          <w:tcPr>
            <w:tcW w:w="8363" w:type="dxa"/>
          </w:tcPr>
          <w:p>
            <w:pPr>
              <w:pStyle w:val="TableParagraph"/>
              <w:spacing w:before="4"/>
              <w:ind w:left="107"/>
              <w:rPr>
                <w:sz w:val="24"/>
              </w:rPr>
            </w:pPr>
            <w:r>
              <w:rPr>
                <w:spacing w:val="-20"/>
                <w:sz w:val="24"/>
              </w:rPr>
              <w:t xml:space="preserve">支持 </w:t>
            </w:r>
            <w:r>
              <w:rPr>
                <w:sz w:val="24"/>
              </w:rPr>
              <w:t>Jumbo≥9K，缓存≥9M，</w:t>
            </w:r>
            <w:r>
              <w:rPr>
                <w:spacing w:val="-6"/>
                <w:sz w:val="24"/>
              </w:rPr>
              <w:t xml:space="preserve">支持端口聚合，最大 </w:t>
            </w:r>
            <w:r>
              <w:rPr>
                <w:sz w:val="24"/>
              </w:rPr>
              <w:t>128</w:t>
            </w:r>
            <w:r>
              <w:rPr>
                <w:spacing w:val="-24"/>
                <w:sz w:val="24"/>
              </w:rPr>
              <w:t xml:space="preserve"> 个。</w:t>
            </w:r>
          </w:p>
        </w:tc>
      </w:tr>
      <w:tr>
        <w:tblPrEx>
          <w:tblW w:w="0" w:type="auto"/>
          <w:jc w:val="left"/>
          <w:tblInd w:w="155" w:type="dxa"/>
          <w:tblLayout w:type="fixed"/>
          <w:tblCellMar>
            <w:top w:w="0" w:type="dxa"/>
            <w:left w:w="0" w:type="dxa"/>
            <w:bottom w:w="0" w:type="dxa"/>
            <w:right w:w="0" w:type="dxa"/>
          </w:tblCellMar>
          <w:tblLook w:val="01E0"/>
        </w:tblPrEx>
        <w:trPr>
          <w:trHeight w:val="427"/>
          <w:jc w:val="left"/>
        </w:trPr>
        <w:tc>
          <w:tcPr>
            <w:tcW w:w="817" w:type="dxa"/>
          </w:tcPr>
          <w:p>
            <w:pPr>
              <w:pStyle w:val="TableParagraph"/>
              <w:spacing w:before="62"/>
              <w:ind w:left="10"/>
              <w:jc w:val="center"/>
              <w:rPr>
                <w:sz w:val="24"/>
              </w:rPr>
            </w:pPr>
            <w:r>
              <w:rPr>
                <w:sz w:val="24"/>
              </w:rPr>
              <w:t>5</w:t>
            </w:r>
          </w:p>
        </w:tc>
        <w:tc>
          <w:tcPr>
            <w:tcW w:w="8363" w:type="dxa"/>
          </w:tcPr>
          <w:p>
            <w:pPr>
              <w:pStyle w:val="TableParagraph"/>
              <w:spacing w:before="4"/>
              <w:ind w:left="107"/>
              <w:rPr>
                <w:sz w:val="24"/>
              </w:rPr>
            </w:pPr>
            <w:r>
              <w:rPr>
                <w:spacing w:val="-1"/>
                <w:sz w:val="24"/>
              </w:rPr>
              <w:t>支持前后、后前风道。</w:t>
            </w:r>
          </w:p>
        </w:tc>
      </w:tr>
      <w:tr>
        <w:tblPrEx>
          <w:tblW w:w="0" w:type="auto"/>
          <w:jc w:val="left"/>
          <w:tblInd w:w="155" w:type="dxa"/>
          <w:tblLayout w:type="fixed"/>
          <w:tblCellMar>
            <w:top w:w="0" w:type="dxa"/>
            <w:left w:w="0" w:type="dxa"/>
            <w:bottom w:w="0" w:type="dxa"/>
            <w:right w:w="0" w:type="dxa"/>
          </w:tblCellMar>
          <w:tblLook w:val="01E0"/>
        </w:tblPrEx>
        <w:trPr>
          <w:trHeight w:val="2807"/>
          <w:jc w:val="left"/>
        </w:trPr>
        <w:tc>
          <w:tcPr>
            <w:tcW w:w="817" w:type="dxa"/>
          </w:tcPr>
          <w:p>
            <w:pPr>
              <w:pStyle w:val="TableParagraph"/>
              <w:rPr>
                <w:rFonts w:ascii="Microsoft JhengHei"/>
                <w:b/>
                <w:sz w:val="24"/>
              </w:rPr>
            </w:pPr>
          </w:p>
          <w:p>
            <w:pPr>
              <w:pStyle w:val="TableParagraph"/>
              <w:rPr>
                <w:rFonts w:ascii="Microsoft JhengHei"/>
                <w:b/>
                <w:sz w:val="24"/>
              </w:rPr>
            </w:pPr>
          </w:p>
          <w:p>
            <w:pPr>
              <w:pStyle w:val="TableParagraph"/>
              <w:spacing w:before="1"/>
              <w:rPr>
                <w:rFonts w:ascii="Microsoft JhengHei"/>
                <w:b/>
                <w:sz w:val="20"/>
              </w:rPr>
            </w:pPr>
          </w:p>
          <w:p>
            <w:pPr>
              <w:pStyle w:val="TableParagraph"/>
              <w:ind w:left="10"/>
              <w:jc w:val="center"/>
              <w:rPr>
                <w:sz w:val="24"/>
              </w:rPr>
            </w:pPr>
            <w:r>
              <w:rPr>
                <w:sz w:val="24"/>
              </w:rPr>
              <w:t>6</w:t>
            </w:r>
          </w:p>
        </w:tc>
        <w:tc>
          <w:tcPr>
            <w:tcW w:w="8363" w:type="dxa"/>
          </w:tcPr>
          <w:p>
            <w:pPr>
              <w:pStyle w:val="TableParagraph"/>
              <w:spacing w:before="4" w:line="242" w:lineRule="auto"/>
              <w:ind w:left="107" w:right="-29"/>
              <w:rPr>
                <w:sz w:val="24"/>
              </w:rPr>
            </w:pPr>
            <w:r>
              <w:rPr>
                <w:sz w:val="24"/>
              </w:rPr>
              <w:t>★MAC</w:t>
            </w:r>
            <w:r>
              <w:rPr>
                <w:spacing w:val="-19"/>
                <w:sz w:val="24"/>
              </w:rPr>
              <w:t xml:space="preserve"> 地址</w:t>
            </w:r>
            <w:r>
              <w:rPr>
                <w:sz w:val="24"/>
              </w:rPr>
              <w:t>≥128K（</w:t>
            </w:r>
            <w:r>
              <w:rPr>
                <w:spacing w:val="-7"/>
                <w:sz w:val="24"/>
              </w:rPr>
              <w:t xml:space="preserve">要求单端口、单 </w:t>
            </w:r>
            <w:r>
              <w:rPr>
                <w:sz w:val="24"/>
              </w:rPr>
              <w:t>vlan</w:t>
            </w:r>
            <w:r>
              <w:rPr>
                <w:spacing w:val="-10"/>
                <w:sz w:val="24"/>
              </w:rPr>
              <w:t xml:space="preserve"> 均可以支持</w:t>
            </w:r>
            <w:r>
              <w:rPr>
                <w:sz w:val="24"/>
              </w:rPr>
              <w:t>）；系统支持所列类似功能并配置相应授权，如：4K</w:t>
            </w:r>
            <w:r>
              <w:rPr>
                <w:spacing w:val="-16"/>
                <w:sz w:val="24"/>
              </w:rPr>
              <w:t xml:space="preserve"> </w:t>
            </w:r>
            <w:r>
              <w:rPr>
                <w:sz w:val="24"/>
              </w:rPr>
              <w:t>VLAN；</w:t>
            </w:r>
            <w:r>
              <w:rPr>
                <w:spacing w:val="-16"/>
                <w:sz w:val="24"/>
              </w:rPr>
              <w:t xml:space="preserve"> </w:t>
            </w:r>
            <w:r>
              <w:rPr>
                <w:sz w:val="24"/>
              </w:rPr>
              <w:t>QinQ；Super</w:t>
            </w:r>
            <w:r>
              <w:rPr>
                <w:spacing w:val="-16"/>
                <w:sz w:val="24"/>
              </w:rPr>
              <w:t xml:space="preserve"> </w:t>
            </w:r>
            <w:r>
              <w:rPr>
                <w:sz w:val="24"/>
              </w:rPr>
              <w:t>VLAN；STP/RSTP/MSTP；端口聚合；N:1</w:t>
            </w:r>
            <w:r>
              <w:rPr>
                <w:spacing w:val="-6"/>
                <w:sz w:val="24"/>
              </w:rPr>
              <w:t xml:space="preserve"> 镜像；</w:t>
            </w:r>
            <w:r>
              <w:rPr>
                <w:sz w:val="24"/>
              </w:rPr>
              <w:t>RSPAN；环路检测与避免；IPV4&amp;V6</w:t>
            </w:r>
            <w:r>
              <w:rPr>
                <w:spacing w:val="-5"/>
                <w:sz w:val="24"/>
              </w:rPr>
              <w:t xml:space="preserve"> 相应的静态路由、</w:t>
            </w:r>
            <w:r>
              <w:rPr>
                <w:sz w:val="24"/>
              </w:rPr>
              <w:t>RIP、 OSPF、IS-IS、BGP</w:t>
            </w:r>
            <w:r>
              <w:rPr>
                <w:spacing w:val="-4"/>
                <w:sz w:val="24"/>
              </w:rPr>
              <w:t xml:space="preserve"> 动态路由及策略路由协议；</w:t>
            </w:r>
            <w:r>
              <w:rPr>
                <w:sz w:val="24"/>
              </w:rPr>
              <w:t>QoS</w:t>
            </w:r>
            <w:r>
              <w:rPr>
                <w:spacing w:val="-6"/>
                <w:sz w:val="24"/>
              </w:rPr>
              <w:t xml:space="preserve"> 相应机制 </w:t>
            </w:r>
            <w:r>
              <w:rPr>
                <w:sz w:val="24"/>
              </w:rPr>
              <w:t xml:space="preserve">SP、WRR、DWRR、 </w:t>
            </w:r>
            <w:r>
              <w:rPr>
                <w:spacing w:val="-2"/>
                <w:sz w:val="24"/>
              </w:rPr>
              <w:t>SP+WRR</w:t>
            </w:r>
            <w:r>
              <w:rPr>
                <w:spacing w:val="-32"/>
                <w:sz w:val="24"/>
              </w:rPr>
              <w:t xml:space="preserve">、 </w:t>
            </w:r>
            <w:r>
              <w:rPr>
                <w:spacing w:val="-2"/>
                <w:sz w:val="24"/>
              </w:rPr>
              <w:t>SP+DWRR、CAR、WRED</w:t>
            </w:r>
            <w:r>
              <w:rPr>
                <w:spacing w:val="-11"/>
                <w:sz w:val="24"/>
              </w:rPr>
              <w:t xml:space="preserve"> 等类似功能；</w:t>
            </w:r>
            <w:r>
              <w:rPr>
                <w:spacing w:val="-2"/>
                <w:sz w:val="24"/>
              </w:rPr>
              <w:t>MPLS；风暴控制；DHCPv4</w:t>
            </w:r>
            <w:r>
              <w:rPr>
                <w:spacing w:val="-60"/>
                <w:sz w:val="24"/>
              </w:rPr>
              <w:t xml:space="preserve"> </w:t>
            </w:r>
            <w:r>
              <w:rPr>
                <w:spacing w:val="-2"/>
                <w:sz w:val="24"/>
              </w:rPr>
              <w:t>Server、</w:t>
            </w:r>
            <w:r>
              <w:rPr>
                <w:spacing w:val="-2"/>
                <w:sz w:val="24"/>
              </w:rPr>
              <w:t xml:space="preserve"> </w:t>
            </w:r>
            <w:r>
              <w:rPr>
                <w:sz w:val="24"/>
              </w:rPr>
              <w:t>Relay、snooping</w:t>
            </w:r>
            <w:r>
              <w:rPr>
                <w:spacing w:val="-32"/>
                <w:sz w:val="24"/>
              </w:rPr>
              <w:t xml:space="preserve"> 与 </w:t>
            </w:r>
            <w:r>
              <w:rPr>
                <w:sz w:val="24"/>
              </w:rPr>
              <w:t>DHCP</w:t>
            </w:r>
            <w:r>
              <w:rPr>
                <w:spacing w:val="-48"/>
                <w:sz w:val="24"/>
              </w:rPr>
              <w:t xml:space="preserve"> </w:t>
            </w:r>
            <w:r>
              <w:rPr>
                <w:sz w:val="24"/>
              </w:rPr>
              <w:t>Option</w:t>
            </w:r>
            <w:r>
              <w:rPr>
                <w:spacing w:val="-48"/>
                <w:sz w:val="24"/>
              </w:rPr>
              <w:t xml:space="preserve"> </w:t>
            </w:r>
            <w:r>
              <w:rPr>
                <w:sz w:val="24"/>
              </w:rPr>
              <w:t>82；IP/ARP/ICMP</w:t>
            </w:r>
            <w:r>
              <w:rPr>
                <w:spacing w:val="-12"/>
                <w:sz w:val="24"/>
              </w:rPr>
              <w:t xml:space="preserve"> 安全、</w:t>
            </w:r>
            <w:r>
              <w:rPr>
                <w:sz w:val="24"/>
              </w:rPr>
              <w:t>IPSG/DAI、CPU</w:t>
            </w:r>
            <w:r>
              <w:rPr>
                <w:spacing w:val="-16"/>
                <w:sz w:val="24"/>
              </w:rPr>
              <w:t xml:space="preserve"> 保护</w:t>
            </w:r>
            <w:r>
              <w:rPr>
                <w:spacing w:val="-6"/>
                <w:sz w:val="24"/>
              </w:rPr>
              <w:t xml:space="preserve">技 术 、 第 </w:t>
            </w:r>
            <w:r>
              <w:rPr>
                <w:sz w:val="24"/>
              </w:rPr>
              <w:t>2</w:t>
            </w:r>
            <w:r>
              <w:rPr>
                <w:spacing w:val="-12"/>
                <w:sz w:val="24"/>
              </w:rPr>
              <w:t xml:space="preserve">、 </w:t>
            </w:r>
            <w:r>
              <w:rPr>
                <w:sz w:val="24"/>
              </w:rPr>
              <w:t>3</w:t>
            </w:r>
            <w:r>
              <w:rPr>
                <w:spacing w:val="-12"/>
                <w:sz w:val="24"/>
              </w:rPr>
              <w:t xml:space="preserve">、 </w:t>
            </w:r>
            <w:r>
              <w:rPr>
                <w:sz w:val="24"/>
              </w:rPr>
              <w:t>4</w:t>
            </w:r>
            <w:r>
              <w:rPr>
                <w:spacing w:val="-9"/>
                <w:sz w:val="24"/>
              </w:rPr>
              <w:t xml:space="preserve"> 层 的 </w:t>
            </w:r>
            <w:r>
              <w:rPr>
                <w:sz w:val="24"/>
              </w:rPr>
              <w:t>ACL，</w:t>
            </w:r>
            <w:r>
              <w:rPr>
                <w:spacing w:val="-2"/>
                <w:sz w:val="24"/>
              </w:rPr>
              <w:t xml:space="preserve"> 双 向 </w:t>
            </w:r>
            <w:r>
              <w:rPr>
                <w:sz w:val="24"/>
              </w:rPr>
              <w:t>ACL；</w:t>
            </w:r>
            <w:r>
              <w:rPr>
                <w:spacing w:val="-23"/>
                <w:sz w:val="24"/>
              </w:rPr>
              <w:t xml:space="preserve"> </w:t>
            </w:r>
            <w:r>
              <w:rPr>
                <w:sz w:val="24"/>
              </w:rPr>
              <w:t>IGMP</w:t>
            </w:r>
            <w:r>
              <w:rPr>
                <w:spacing w:val="80"/>
                <w:sz w:val="24"/>
              </w:rPr>
              <w:t xml:space="preserve"> </w:t>
            </w:r>
            <w:r>
              <w:rPr>
                <w:sz w:val="24"/>
              </w:rPr>
              <w:t>Snooping</w:t>
            </w:r>
            <w:r>
              <w:rPr>
                <w:spacing w:val="80"/>
                <w:sz w:val="24"/>
              </w:rPr>
              <w:t xml:space="preserve"> </w:t>
            </w:r>
            <w:r>
              <w:rPr>
                <w:sz w:val="24"/>
              </w:rPr>
              <w:t>V1/2/3； PIM-SM,PIM-SSM；</w:t>
            </w:r>
            <w:r>
              <w:rPr>
                <w:spacing w:val="-44"/>
                <w:sz w:val="24"/>
              </w:rPr>
              <w:t xml:space="preserve"> </w:t>
            </w:r>
            <w:r>
              <w:rPr>
                <w:sz w:val="24"/>
              </w:rPr>
              <w:t>SNMP</w:t>
            </w:r>
            <w:r>
              <w:rPr>
                <w:spacing w:val="80"/>
                <w:sz w:val="24"/>
              </w:rPr>
              <w:t xml:space="preserve"> </w:t>
            </w:r>
            <w:r>
              <w:rPr>
                <w:sz w:val="24"/>
              </w:rPr>
              <w:t>V1/V2/V3</w:t>
            </w:r>
            <w:r>
              <w:rPr>
                <w:spacing w:val="-22"/>
                <w:sz w:val="24"/>
              </w:rPr>
              <w:t xml:space="preserve">、 </w:t>
            </w:r>
            <w:r>
              <w:rPr>
                <w:sz w:val="24"/>
              </w:rPr>
              <w:t>Telnet</w:t>
            </w:r>
            <w:r>
              <w:rPr>
                <w:spacing w:val="-22"/>
                <w:sz w:val="24"/>
              </w:rPr>
              <w:t xml:space="preserve">、 </w:t>
            </w:r>
            <w:r>
              <w:rPr>
                <w:sz w:val="24"/>
              </w:rPr>
              <w:t>RMON</w:t>
            </w:r>
            <w:r>
              <w:rPr>
                <w:spacing w:val="-22"/>
                <w:sz w:val="24"/>
              </w:rPr>
              <w:t xml:space="preserve">、 </w:t>
            </w:r>
            <w:r>
              <w:rPr>
                <w:sz w:val="24"/>
              </w:rPr>
              <w:t>SSH；</w:t>
            </w:r>
            <w:r>
              <w:rPr>
                <w:spacing w:val="-44"/>
                <w:sz w:val="24"/>
              </w:rPr>
              <w:t xml:space="preserve"> </w:t>
            </w:r>
            <w:r>
              <w:rPr>
                <w:sz w:val="24"/>
              </w:rPr>
              <w:t>802.1X</w:t>
            </w:r>
            <w:r>
              <w:rPr>
                <w:spacing w:val="-22"/>
                <w:sz w:val="24"/>
              </w:rPr>
              <w:t xml:space="preserve">、 </w:t>
            </w:r>
            <w:r>
              <w:rPr>
                <w:sz w:val="24"/>
              </w:rPr>
              <w:t>VRRP；</w:t>
            </w:r>
          </w:p>
          <w:p>
            <w:pPr>
              <w:pStyle w:val="TableParagraph"/>
              <w:spacing w:before="11" w:line="288" w:lineRule="exact"/>
              <w:ind w:left="107"/>
              <w:rPr>
                <w:sz w:val="24"/>
              </w:rPr>
            </w:pPr>
            <w:r>
              <w:rPr>
                <w:sz w:val="24"/>
              </w:rPr>
              <w:t>FCoE\TRILL\EVB</w:t>
            </w:r>
            <w:r>
              <w:rPr>
                <w:spacing w:val="-9"/>
                <w:sz w:val="24"/>
              </w:rPr>
              <w:t xml:space="preserve"> 等数据中心特性。</w:t>
            </w:r>
          </w:p>
        </w:tc>
      </w:tr>
      <w:tr>
        <w:tblPrEx>
          <w:tblW w:w="0" w:type="auto"/>
          <w:jc w:val="left"/>
          <w:tblInd w:w="155" w:type="dxa"/>
          <w:tblLayout w:type="fixed"/>
          <w:tblCellMar>
            <w:top w:w="0" w:type="dxa"/>
            <w:left w:w="0" w:type="dxa"/>
            <w:bottom w:w="0" w:type="dxa"/>
            <w:right w:w="0" w:type="dxa"/>
          </w:tblCellMar>
          <w:tblLook w:val="01E0"/>
        </w:tblPrEx>
        <w:trPr>
          <w:trHeight w:val="427"/>
          <w:jc w:val="left"/>
        </w:trPr>
        <w:tc>
          <w:tcPr>
            <w:tcW w:w="817" w:type="dxa"/>
          </w:tcPr>
          <w:p>
            <w:pPr>
              <w:pStyle w:val="TableParagraph"/>
              <w:spacing w:before="62"/>
              <w:ind w:left="10"/>
              <w:jc w:val="center"/>
              <w:rPr>
                <w:sz w:val="24"/>
              </w:rPr>
            </w:pPr>
            <w:r>
              <w:rPr>
                <w:sz w:val="24"/>
              </w:rPr>
              <w:t>7</w:t>
            </w:r>
          </w:p>
        </w:tc>
        <w:tc>
          <w:tcPr>
            <w:tcW w:w="8363" w:type="dxa"/>
          </w:tcPr>
          <w:p>
            <w:pPr>
              <w:pStyle w:val="TableParagraph"/>
              <w:spacing w:before="4"/>
              <w:ind w:left="107"/>
              <w:rPr>
                <w:sz w:val="24"/>
              </w:rPr>
            </w:pPr>
            <w:r>
              <w:rPr>
                <w:spacing w:val="-8"/>
                <w:sz w:val="24"/>
              </w:rPr>
              <w:t>具有工信部入网证（Ipv4、</w:t>
            </w:r>
            <w:r>
              <w:rPr>
                <w:spacing w:val="16"/>
                <w:sz w:val="24"/>
              </w:rPr>
              <w:t>Ipv6</w:t>
            </w:r>
            <w:r>
              <w:rPr>
                <w:spacing w:val="-104"/>
                <w:sz w:val="24"/>
              </w:rPr>
              <w:t>）</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427"/>
          <w:jc w:val="left"/>
        </w:trPr>
        <w:tc>
          <w:tcPr>
            <w:tcW w:w="817" w:type="dxa"/>
          </w:tcPr>
          <w:p>
            <w:pPr>
              <w:pStyle w:val="TableParagraph"/>
              <w:spacing w:before="62"/>
              <w:ind w:left="10"/>
              <w:jc w:val="center"/>
              <w:rPr>
                <w:sz w:val="24"/>
              </w:rPr>
            </w:pPr>
            <w:r>
              <w:rPr>
                <w:sz w:val="24"/>
              </w:rPr>
              <w:t>8</w:t>
            </w:r>
          </w:p>
        </w:tc>
        <w:tc>
          <w:tcPr>
            <w:tcW w:w="8363" w:type="dxa"/>
          </w:tcPr>
          <w:p>
            <w:pPr>
              <w:pStyle w:val="TableParagraph"/>
              <w:spacing w:before="4"/>
              <w:ind w:left="107"/>
              <w:rPr>
                <w:sz w:val="24"/>
              </w:rPr>
            </w:pPr>
            <w:r>
              <w:rPr>
                <w:spacing w:val="-1"/>
                <w:sz w:val="24"/>
              </w:rPr>
              <w:t>★与数据中心核心交换机同一品牌。</w:t>
            </w:r>
          </w:p>
        </w:tc>
      </w:tr>
    </w:tbl>
    <w:p>
      <w:pPr>
        <w:pStyle w:val="Heading4"/>
        <w:numPr>
          <w:ilvl w:val="1"/>
          <w:numId w:val="10"/>
        </w:numPr>
        <w:tabs>
          <w:tab w:val="left" w:pos="1041"/>
        </w:tabs>
        <w:spacing w:before="10" w:after="0" w:line="240" w:lineRule="auto"/>
        <w:ind w:left="1040" w:right="0" w:hanging="363"/>
        <w:jc w:val="left"/>
      </w:pPr>
      <w:r>
        <w:t>、 千兆服务器接入交换机要求（单套</w:t>
      </w:r>
      <w:r>
        <w:rPr>
          <w:spacing w:val="-10"/>
        </w:rPr>
        <w:t>）</w:t>
      </w:r>
    </w:p>
    <w:p>
      <w:pPr>
        <w:pStyle w:val="BodyText"/>
        <w:spacing w:before="10"/>
        <w:rPr>
          <w:rFonts w:ascii="Microsoft JhengHei"/>
          <w:b/>
          <w:sz w:val="4"/>
        </w:rPr>
      </w:pPr>
    </w:p>
    <w:tbl>
      <w:tblPr>
        <w:tblStyle w:val="TableNormal9"/>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7"/>
        <w:gridCol w:w="8363"/>
      </w:tblGrid>
      <w:tr>
        <w:tblPrEx>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92"/>
          <w:jc w:val="left"/>
        </w:trPr>
        <w:tc>
          <w:tcPr>
            <w:tcW w:w="817" w:type="dxa"/>
          </w:tcPr>
          <w:p>
            <w:pPr>
              <w:pStyle w:val="TableParagraph"/>
              <w:spacing w:line="372" w:lineRule="exact"/>
              <w:ind w:left="153" w:right="144"/>
              <w:jc w:val="center"/>
              <w:rPr>
                <w:rFonts w:ascii="Microsoft JhengHei" w:eastAsia="Microsoft JhengHei"/>
                <w:b/>
                <w:sz w:val="24"/>
              </w:rPr>
            </w:pPr>
            <w:r>
              <w:rPr>
                <w:rFonts w:ascii="Microsoft JhengHei" w:eastAsia="Microsoft JhengHei"/>
                <w:b/>
                <w:spacing w:val="-5"/>
                <w:sz w:val="24"/>
              </w:rPr>
              <w:t>序号</w:t>
            </w:r>
          </w:p>
        </w:tc>
        <w:tc>
          <w:tcPr>
            <w:tcW w:w="8363" w:type="dxa"/>
          </w:tcPr>
          <w:p>
            <w:pPr>
              <w:pStyle w:val="TableParagraph"/>
              <w:spacing w:line="372" w:lineRule="exact"/>
              <w:ind w:left="22" w:right="13"/>
              <w:jc w:val="center"/>
              <w:rPr>
                <w:rFonts w:ascii="Microsoft JhengHei" w:eastAsia="Microsoft JhengHei"/>
                <w:b/>
                <w:sz w:val="24"/>
              </w:rPr>
            </w:pPr>
            <w:r>
              <w:rPr>
                <w:rFonts w:ascii="Microsoft JhengHei" w:eastAsia="Microsoft JhengHei"/>
                <w:b/>
                <w:spacing w:val="-2"/>
                <w:sz w:val="24"/>
              </w:rPr>
              <w:t>技术指标要求</w:t>
            </w:r>
          </w:p>
        </w:tc>
      </w:tr>
      <w:tr>
        <w:tblPrEx>
          <w:tblW w:w="0" w:type="auto"/>
          <w:jc w:val="left"/>
          <w:tblInd w:w="155" w:type="dxa"/>
          <w:tblLayout w:type="fixed"/>
          <w:tblCellMar>
            <w:top w:w="0" w:type="dxa"/>
            <w:left w:w="0" w:type="dxa"/>
            <w:bottom w:w="0" w:type="dxa"/>
            <w:right w:w="0" w:type="dxa"/>
          </w:tblCellMar>
          <w:tblLook w:val="01E0"/>
        </w:tblPrEx>
        <w:trPr>
          <w:trHeight w:val="936"/>
          <w:jc w:val="left"/>
        </w:trPr>
        <w:tc>
          <w:tcPr>
            <w:tcW w:w="817" w:type="dxa"/>
          </w:tcPr>
          <w:p>
            <w:pPr>
              <w:pStyle w:val="TableParagraph"/>
              <w:spacing w:before="3"/>
              <w:rPr>
                <w:rFonts w:ascii="Microsoft JhengHei"/>
                <w:b/>
                <w:sz w:val="17"/>
              </w:rPr>
            </w:pPr>
          </w:p>
          <w:p>
            <w:pPr>
              <w:pStyle w:val="TableParagraph"/>
              <w:ind w:left="10"/>
              <w:jc w:val="center"/>
              <w:rPr>
                <w:sz w:val="24"/>
              </w:rPr>
            </w:pPr>
            <w:r>
              <w:rPr>
                <w:sz w:val="24"/>
              </w:rPr>
              <w:t>1</w:t>
            </w:r>
          </w:p>
        </w:tc>
        <w:tc>
          <w:tcPr>
            <w:tcW w:w="8363" w:type="dxa"/>
          </w:tcPr>
          <w:p>
            <w:pPr>
              <w:pStyle w:val="TableParagraph"/>
              <w:spacing w:before="4" w:line="242" w:lineRule="auto"/>
              <w:ind w:left="107" w:right="95"/>
              <w:rPr>
                <w:sz w:val="24"/>
              </w:rPr>
            </w:pPr>
            <w:r>
              <w:rPr>
                <w:spacing w:val="-17"/>
                <w:sz w:val="24"/>
              </w:rPr>
              <w:t xml:space="preserve">★实配 </w:t>
            </w:r>
            <w:r>
              <w:rPr>
                <w:spacing w:val="-2"/>
                <w:sz w:val="24"/>
              </w:rPr>
              <w:t>48</w:t>
            </w:r>
            <w:r>
              <w:rPr>
                <w:spacing w:val="-11"/>
                <w:sz w:val="24"/>
              </w:rPr>
              <w:t xml:space="preserve"> 个千兆电口；</w:t>
            </w:r>
            <w:r>
              <w:rPr>
                <w:spacing w:val="-2"/>
                <w:sz w:val="24"/>
              </w:rPr>
              <w:t>4*10Gbps</w:t>
            </w:r>
            <w:r>
              <w:rPr>
                <w:spacing w:val="-60"/>
                <w:sz w:val="24"/>
              </w:rPr>
              <w:t xml:space="preserve"> </w:t>
            </w:r>
            <w:r>
              <w:rPr>
                <w:spacing w:val="-2"/>
                <w:sz w:val="24"/>
              </w:rPr>
              <w:t>SFP+</w:t>
            </w:r>
            <w:r>
              <w:rPr>
                <w:spacing w:val="-12"/>
                <w:sz w:val="24"/>
              </w:rPr>
              <w:t xml:space="preserve">光口；实配 </w:t>
            </w:r>
            <w:r>
              <w:rPr>
                <w:spacing w:val="-2"/>
                <w:sz w:val="24"/>
              </w:rPr>
              <w:t>1+1</w:t>
            </w:r>
            <w:r>
              <w:rPr>
                <w:spacing w:val="-14"/>
                <w:sz w:val="24"/>
              </w:rPr>
              <w:t xml:space="preserve"> 电源冗余</w:t>
            </w:r>
            <w:r>
              <w:rPr>
                <w:spacing w:val="-2"/>
                <w:sz w:val="24"/>
              </w:rPr>
              <w:t>，50%数量电源</w:t>
            </w:r>
            <w:r>
              <w:rPr>
                <w:spacing w:val="-7"/>
                <w:sz w:val="24"/>
              </w:rPr>
              <w:t xml:space="preserve">模块设备可正常工作；风扇框 </w:t>
            </w:r>
            <w:r>
              <w:rPr>
                <w:spacing w:val="-2"/>
                <w:sz w:val="24"/>
              </w:rPr>
              <w:t>1+1</w:t>
            </w:r>
            <w:r>
              <w:rPr>
                <w:spacing w:val="-16"/>
                <w:sz w:val="24"/>
              </w:rPr>
              <w:t xml:space="preserve"> 备份；实配相应 </w:t>
            </w:r>
            <w:r>
              <w:rPr>
                <w:spacing w:val="-2"/>
                <w:sz w:val="24"/>
              </w:rPr>
              <w:t>10Gbps</w:t>
            </w:r>
            <w:r>
              <w:rPr>
                <w:spacing w:val="-32"/>
                <w:sz w:val="24"/>
              </w:rPr>
              <w:t xml:space="preserve"> 多模 </w:t>
            </w:r>
            <w:r>
              <w:rPr>
                <w:spacing w:val="-2"/>
                <w:sz w:val="24"/>
              </w:rPr>
              <w:t>SFP+光模块≥4</w:t>
            </w:r>
          </w:p>
          <w:p>
            <w:pPr>
              <w:pStyle w:val="TableParagraph"/>
              <w:spacing w:before="3" w:line="288" w:lineRule="exact"/>
              <w:ind w:left="107"/>
              <w:rPr>
                <w:sz w:val="24"/>
              </w:rPr>
            </w:pPr>
            <w:r>
              <w:rPr>
                <w:spacing w:val="-5"/>
                <w:sz w:val="24"/>
              </w:rPr>
              <w:t>个。</w:t>
            </w:r>
          </w:p>
        </w:tc>
      </w:tr>
      <w:tr>
        <w:tblPrEx>
          <w:tblW w:w="0" w:type="auto"/>
          <w:jc w:val="left"/>
          <w:tblInd w:w="155" w:type="dxa"/>
          <w:tblLayout w:type="fixed"/>
          <w:tblCellMar>
            <w:top w:w="0" w:type="dxa"/>
            <w:left w:w="0" w:type="dxa"/>
            <w:bottom w:w="0" w:type="dxa"/>
            <w:right w:w="0" w:type="dxa"/>
          </w:tblCellMar>
          <w:tblLook w:val="01E0"/>
        </w:tblPrEx>
        <w:trPr>
          <w:trHeight w:val="414"/>
          <w:jc w:val="left"/>
        </w:trPr>
        <w:tc>
          <w:tcPr>
            <w:tcW w:w="817" w:type="dxa"/>
          </w:tcPr>
          <w:p>
            <w:pPr>
              <w:pStyle w:val="TableParagraph"/>
              <w:spacing w:before="55"/>
              <w:ind w:left="10"/>
              <w:jc w:val="center"/>
              <w:rPr>
                <w:sz w:val="24"/>
              </w:rPr>
            </w:pPr>
            <w:r>
              <w:rPr>
                <w:sz w:val="24"/>
              </w:rPr>
              <w:t>2</w:t>
            </w:r>
          </w:p>
        </w:tc>
        <w:tc>
          <w:tcPr>
            <w:tcW w:w="8363" w:type="dxa"/>
          </w:tcPr>
          <w:p>
            <w:pPr>
              <w:pStyle w:val="TableParagraph"/>
              <w:spacing w:before="4"/>
              <w:ind w:left="107"/>
              <w:rPr>
                <w:sz w:val="24"/>
              </w:rPr>
            </w:pPr>
            <w:r>
              <w:rPr>
                <w:sz w:val="24"/>
              </w:rPr>
              <w:t>IPv4</w:t>
            </w:r>
            <w:r>
              <w:rPr>
                <w:spacing w:val="-15"/>
                <w:sz w:val="24"/>
              </w:rPr>
              <w:t xml:space="preserve"> 路由表</w:t>
            </w:r>
            <w:r>
              <w:rPr>
                <w:sz w:val="24"/>
              </w:rPr>
              <w:t>≥12K</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623"/>
          <w:jc w:val="left"/>
        </w:trPr>
        <w:tc>
          <w:tcPr>
            <w:tcW w:w="817" w:type="dxa"/>
          </w:tcPr>
          <w:p>
            <w:pPr>
              <w:pStyle w:val="TableParagraph"/>
              <w:spacing w:before="160"/>
              <w:ind w:left="10"/>
              <w:jc w:val="center"/>
              <w:rPr>
                <w:sz w:val="24"/>
              </w:rPr>
            </w:pPr>
            <w:r>
              <w:rPr>
                <w:sz w:val="24"/>
              </w:rPr>
              <w:t>3</w:t>
            </w:r>
          </w:p>
        </w:tc>
        <w:tc>
          <w:tcPr>
            <w:tcW w:w="8363" w:type="dxa"/>
          </w:tcPr>
          <w:p>
            <w:pPr>
              <w:pStyle w:val="TableParagraph"/>
              <w:spacing w:before="4"/>
              <w:ind w:left="107"/>
              <w:rPr>
                <w:sz w:val="24"/>
              </w:rPr>
            </w:pPr>
            <w:r>
              <w:rPr>
                <w:sz w:val="24"/>
              </w:rPr>
              <w:t>★包转发率≥132Mpps（L2、L3</w:t>
            </w:r>
            <w:r>
              <w:rPr>
                <w:spacing w:val="4"/>
                <w:sz w:val="24"/>
              </w:rPr>
              <w:t xml:space="preserve"> 都必须满足</w:t>
            </w:r>
            <w:r>
              <w:rPr>
                <w:sz w:val="24"/>
              </w:rPr>
              <w:t>）；交换容量≥176Gbps（L2、</w:t>
            </w:r>
            <w:r>
              <w:rPr>
                <w:spacing w:val="-5"/>
                <w:sz w:val="24"/>
              </w:rPr>
              <w:t>L3</w:t>
            </w:r>
          </w:p>
          <w:p>
            <w:pPr>
              <w:pStyle w:val="TableParagraph"/>
              <w:spacing w:before="4" w:line="288" w:lineRule="exact"/>
              <w:ind w:left="107"/>
              <w:rPr>
                <w:sz w:val="24"/>
              </w:rPr>
            </w:pPr>
            <w:r>
              <w:rPr>
                <w:sz w:val="24"/>
              </w:rPr>
              <w:t>都必须满足）；MAC</w:t>
            </w:r>
            <w:r>
              <w:rPr>
                <w:spacing w:val="-20"/>
                <w:sz w:val="24"/>
              </w:rPr>
              <w:t xml:space="preserve"> 地址</w:t>
            </w:r>
            <w:r>
              <w:rPr>
                <w:sz w:val="24"/>
              </w:rPr>
              <w:t>≥32K</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413"/>
          <w:jc w:val="left"/>
        </w:trPr>
        <w:tc>
          <w:tcPr>
            <w:tcW w:w="817" w:type="dxa"/>
          </w:tcPr>
          <w:p>
            <w:pPr>
              <w:pStyle w:val="TableParagraph"/>
              <w:spacing w:before="55"/>
              <w:ind w:left="10"/>
              <w:jc w:val="center"/>
              <w:rPr>
                <w:sz w:val="24"/>
              </w:rPr>
            </w:pPr>
            <w:r>
              <w:rPr>
                <w:sz w:val="24"/>
              </w:rPr>
              <w:t>4</w:t>
            </w:r>
          </w:p>
        </w:tc>
        <w:tc>
          <w:tcPr>
            <w:tcW w:w="8363" w:type="dxa"/>
          </w:tcPr>
          <w:p>
            <w:pPr>
              <w:pStyle w:val="TableParagraph"/>
              <w:spacing w:before="4"/>
              <w:ind w:left="107"/>
              <w:rPr>
                <w:sz w:val="24"/>
              </w:rPr>
            </w:pPr>
            <w:r>
              <w:rPr>
                <w:spacing w:val="-1"/>
                <w:sz w:val="24"/>
              </w:rPr>
              <w:t>支持并配置带外管理接口。</w:t>
            </w:r>
          </w:p>
        </w:tc>
      </w:tr>
      <w:tr>
        <w:tblPrEx>
          <w:tblW w:w="0" w:type="auto"/>
          <w:jc w:val="left"/>
          <w:tblInd w:w="155" w:type="dxa"/>
          <w:tblLayout w:type="fixed"/>
          <w:tblCellMar>
            <w:top w:w="0" w:type="dxa"/>
            <w:left w:w="0" w:type="dxa"/>
            <w:bottom w:w="0" w:type="dxa"/>
            <w:right w:w="0" w:type="dxa"/>
          </w:tblCellMar>
          <w:tblLook w:val="01E0"/>
        </w:tblPrEx>
        <w:trPr>
          <w:trHeight w:val="623"/>
          <w:jc w:val="left"/>
        </w:trPr>
        <w:tc>
          <w:tcPr>
            <w:tcW w:w="817" w:type="dxa"/>
          </w:tcPr>
          <w:p>
            <w:pPr>
              <w:pStyle w:val="TableParagraph"/>
              <w:spacing w:before="160"/>
              <w:ind w:left="10"/>
              <w:jc w:val="center"/>
              <w:rPr>
                <w:sz w:val="24"/>
              </w:rPr>
            </w:pPr>
            <w:r>
              <w:rPr>
                <w:sz w:val="24"/>
              </w:rPr>
              <w:t>5</w:t>
            </w:r>
          </w:p>
        </w:tc>
        <w:tc>
          <w:tcPr>
            <w:tcW w:w="8363" w:type="dxa"/>
          </w:tcPr>
          <w:p>
            <w:pPr>
              <w:pStyle w:val="TableParagraph"/>
              <w:spacing w:before="4"/>
              <w:ind w:left="107"/>
              <w:rPr>
                <w:sz w:val="24"/>
              </w:rPr>
            </w:pPr>
            <w:r>
              <w:rPr>
                <w:sz w:val="24"/>
              </w:rPr>
              <w:t>★支持堆叠,堆叠带宽≥40Gbps,主机堆叠数≥4</w:t>
            </w:r>
            <w:r>
              <w:rPr>
                <w:spacing w:val="-7"/>
                <w:sz w:val="24"/>
              </w:rPr>
              <w:t xml:space="preserve"> 台，实配堆叠线缆及相应接口</w:t>
            </w:r>
          </w:p>
          <w:p>
            <w:pPr>
              <w:pStyle w:val="TableParagraph"/>
              <w:spacing w:before="4" w:line="288" w:lineRule="exact"/>
              <w:ind w:left="107"/>
              <w:rPr>
                <w:sz w:val="24"/>
              </w:rPr>
            </w:pPr>
            <w:r>
              <w:rPr>
                <w:spacing w:val="-20"/>
                <w:sz w:val="24"/>
              </w:rPr>
              <w:t xml:space="preserve">模块 </w:t>
            </w:r>
            <w:r>
              <w:rPr>
                <w:sz w:val="24"/>
              </w:rPr>
              <w:t>1</w:t>
            </w:r>
            <w:r>
              <w:rPr>
                <w:spacing w:val="-9"/>
                <w:sz w:val="24"/>
              </w:rPr>
              <w:t xml:space="preserve"> 套；支持并配置多虚一技术及配置相关配件。</w:t>
            </w:r>
          </w:p>
        </w:tc>
      </w:tr>
      <w:tr>
        <w:tblPrEx>
          <w:tblW w:w="0" w:type="auto"/>
          <w:jc w:val="left"/>
          <w:tblInd w:w="155" w:type="dxa"/>
          <w:tblLayout w:type="fixed"/>
          <w:tblCellMar>
            <w:top w:w="0" w:type="dxa"/>
            <w:left w:w="0" w:type="dxa"/>
            <w:bottom w:w="0" w:type="dxa"/>
            <w:right w:w="0" w:type="dxa"/>
          </w:tblCellMar>
          <w:tblLook w:val="01E0"/>
        </w:tblPrEx>
        <w:trPr>
          <w:trHeight w:val="1248"/>
          <w:jc w:val="left"/>
        </w:trPr>
        <w:tc>
          <w:tcPr>
            <w:tcW w:w="817" w:type="dxa"/>
          </w:tcPr>
          <w:p>
            <w:pPr>
              <w:pStyle w:val="TableParagraph"/>
              <w:spacing w:before="12"/>
              <w:rPr>
                <w:rFonts w:ascii="Microsoft JhengHei"/>
                <w:b/>
                <w:sz w:val="25"/>
              </w:rPr>
            </w:pPr>
          </w:p>
          <w:p>
            <w:pPr>
              <w:pStyle w:val="TableParagraph"/>
              <w:ind w:left="10"/>
              <w:jc w:val="center"/>
              <w:rPr>
                <w:sz w:val="24"/>
              </w:rPr>
            </w:pPr>
            <w:r>
              <w:rPr>
                <w:sz w:val="24"/>
              </w:rPr>
              <w:t>6</w:t>
            </w:r>
          </w:p>
        </w:tc>
        <w:tc>
          <w:tcPr>
            <w:tcW w:w="8363" w:type="dxa"/>
          </w:tcPr>
          <w:p>
            <w:pPr>
              <w:pStyle w:val="TableParagraph"/>
              <w:spacing w:before="4" w:line="242" w:lineRule="auto"/>
              <w:ind w:left="107" w:right="-29"/>
              <w:rPr>
                <w:sz w:val="24"/>
              </w:rPr>
            </w:pPr>
            <w:r>
              <w:rPr>
                <w:sz w:val="24"/>
              </w:rPr>
              <w:t xml:space="preserve">★系统支持所列类似功能并配置相应授权，如：IPV4&amp;IPV6；4K VLAN；QinQ； </w:t>
            </w:r>
            <w:r>
              <w:rPr>
                <w:spacing w:val="-2"/>
                <w:sz w:val="24"/>
              </w:rPr>
              <w:t>Super</w:t>
            </w:r>
            <w:r>
              <w:rPr>
                <w:spacing w:val="-8"/>
                <w:sz w:val="24"/>
              </w:rPr>
              <w:t xml:space="preserve"> </w:t>
            </w:r>
            <w:r>
              <w:rPr>
                <w:spacing w:val="-2"/>
                <w:sz w:val="24"/>
              </w:rPr>
              <w:t>VLAN；STP/RSTP/MSTP；端口聚合；N:1</w:t>
            </w:r>
            <w:r>
              <w:rPr>
                <w:spacing w:val="-17"/>
                <w:sz w:val="24"/>
              </w:rPr>
              <w:t xml:space="preserve"> 镜像；</w:t>
            </w:r>
            <w:r>
              <w:rPr>
                <w:spacing w:val="-2"/>
                <w:sz w:val="24"/>
              </w:rPr>
              <w:t>RSPAN；环路检测与避免； IPV4&amp;V6</w:t>
            </w:r>
            <w:r>
              <w:rPr>
                <w:spacing w:val="-7"/>
                <w:sz w:val="24"/>
              </w:rPr>
              <w:t xml:space="preserve"> 相应的静态路由、</w:t>
            </w:r>
            <w:r>
              <w:rPr>
                <w:spacing w:val="-2"/>
                <w:sz w:val="24"/>
              </w:rPr>
              <w:t>RIP、OSPF、IS-IS、BGP</w:t>
            </w:r>
            <w:r>
              <w:rPr>
                <w:spacing w:val="-8"/>
                <w:sz w:val="24"/>
              </w:rPr>
              <w:t xml:space="preserve"> 动态路由及策略路由协议；</w:t>
            </w:r>
          </w:p>
          <w:p>
            <w:pPr>
              <w:pStyle w:val="TableParagraph"/>
              <w:spacing w:before="4" w:line="288" w:lineRule="exact"/>
              <w:ind w:left="107"/>
              <w:rPr>
                <w:sz w:val="24"/>
              </w:rPr>
            </w:pPr>
            <w:r>
              <w:rPr>
                <w:sz w:val="24"/>
              </w:rPr>
              <w:t>QoS</w:t>
            </w:r>
            <w:r>
              <w:rPr>
                <w:spacing w:val="-9"/>
                <w:sz w:val="24"/>
              </w:rPr>
              <w:t xml:space="preserve"> 相应机制 </w:t>
            </w:r>
            <w:r>
              <w:rPr>
                <w:sz w:val="24"/>
              </w:rPr>
              <w:t>SP</w:t>
            </w:r>
            <w:r>
              <w:rPr>
                <w:spacing w:val="18"/>
                <w:sz w:val="24"/>
              </w:rPr>
              <w:t>、</w:t>
            </w:r>
            <w:r>
              <w:rPr>
                <w:sz w:val="24"/>
              </w:rPr>
              <w:t>WRR</w:t>
            </w:r>
            <w:r>
              <w:rPr>
                <w:spacing w:val="19"/>
                <w:sz w:val="24"/>
              </w:rPr>
              <w:t>、</w:t>
            </w:r>
            <w:r>
              <w:rPr>
                <w:sz w:val="24"/>
              </w:rPr>
              <w:t>DWRR</w:t>
            </w:r>
            <w:r>
              <w:rPr>
                <w:spacing w:val="19"/>
                <w:sz w:val="24"/>
              </w:rPr>
              <w:t>、</w:t>
            </w:r>
            <w:r>
              <w:rPr>
                <w:sz w:val="24"/>
              </w:rPr>
              <w:t>SP+WRR</w:t>
            </w:r>
            <w:r>
              <w:rPr>
                <w:spacing w:val="18"/>
                <w:sz w:val="24"/>
              </w:rPr>
              <w:t>、</w:t>
            </w:r>
            <w:r>
              <w:rPr>
                <w:sz w:val="24"/>
              </w:rPr>
              <w:t>SP+DWRR</w:t>
            </w:r>
            <w:r>
              <w:rPr>
                <w:spacing w:val="19"/>
                <w:sz w:val="24"/>
              </w:rPr>
              <w:t>、</w:t>
            </w:r>
            <w:r>
              <w:rPr>
                <w:sz w:val="24"/>
              </w:rPr>
              <w:t>CAR</w:t>
            </w:r>
            <w:r>
              <w:rPr>
                <w:spacing w:val="19"/>
                <w:sz w:val="24"/>
              </w:rPr>
              <w:t>、</w:t>
            </w:r>
            <w:r>
              <w:rPr>
                <w:sz w:val="24"/>
              </w:rPr>
              <w:t>WRED</w:t>
            </w:r>
            <w:r>
              <w:rPr>
                <w:spacing w:val="2"/>
                <w:sz w:val="24"/>
              </w:rPr>
              <w:t xml:space="preserve"> 等类似功能；</w:t>
            </w:r>
          </w:p>
        </w:tc>
      </w:tr>
    </w:tbl>
    <w:p>
      <w:pPr>
        <w:spacing w:after="0" w:line="288" w:lineRule="exact"/>
        <w:rPr>
          <w:sz w:val="24"/>
        </w:rPr>
        <w:sectPr>
          <w:headerReference w:type="default" r:id="rId58"/>
          <w:footerReference w:type="default" r:id="rId59"/>
          <w:pgSz w:w="11910" w:h="16840"/>
          <w:pgMar w:top="1080" w:right="1060" w:bottom="1040" w:left="1160" w:header="700" w:footer="841"/>
          <w:pgNumType w:start="26"/>
          <w:cols w:space="708"/>
        </w:sectPr>
      </w:pPr>
    </w:p>
    <w:p>
      <w:pPr>
        <w:pStyle w:val="BodyText"/>
        <w:spacing w:before="15"/>
        <w:rPr>
          <w:rFonts w:ascii="Microsoft JhengHei"/>
          <w:b/>
          <w:sz w:val="2"/>
        </w:rPr>
      </w:pPr>
    </w:p>
    <w:tbl>
      <w:tblPr>
        <w:tblStyle w:val="TableNormal10"/>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7"/>
        <w:gridCol w:w="8363"/>
      </w:tblGrid>
      <w:tr>
        <w:tblPrEx>
          <w:tblW w:w="0" w:type="auto"/>
          <w:jc w:val="left"/>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248"/>
          <w:jc w:val="left"/>
        </w:trPr>
        <w:tc>
          <w:tcPr>
            <w:tcW w:w="817" w:type="dxa"/>
          </w:tcPr>
          <w:p>
            <w:pPr>
              <w:pStyle w:val="TableParagraph"/>
              <w:rPr>
                <w:rFonts w:ascii="Times New Roman"/>
                <w:sz w:val="22"/>
              </w:rPr>
            </w:pPr>
          </w:p>
        </w:tc>
        <w:tc>
          <w:tcPr>
            <w:tcW w:w="8363" w:type="dxa"/>
          </w:tcPr>
          <w:p>
            <w:pPr>
              <w:pStyle w:val="TableParagraph"/>
              <w:spacing w:before="4" w:line="242" w:lineRule="auto"/>
              <w:ind w:left="107" w:right="95"/>
              <w:jc w:val="both"/>
              <w:rPr>
                <w:sz w:val="24"/>
              </w:rPr>
            </w:pPr>
            <w:r>
              <w:rPr>
                <w:sz w:val="24"/>
              </w:rPr>
              <w:t>MPLS；</w:t>
            </w:r>
            <w:r>
              <w:rPr>
                <w:spacing w:val="6"/>
                <w:sz w:val="24"/>
              </w:rPr>
              <w:t xml:space="preserve"> 风暴控制； </w:t>
            </w:r>
            <w:r>
              <w:rPr>
                <w:sz w:val="24"/>
              </w:rPr>
              <w:t>DHCPv4</w:t>
            </w:r>
            <w:r>
              <w:rPr>
                <w:spacing w:val="-30"/>
                <w:sz w:val="24"/>
              </w:rPr>
              <w:t xml:space="preserve"> </w:t>
            </w:r>
            <w:r>
              <w:rPr>
                <w:sz w:val="24"/>
              </w:rPr>
              <w:t>Server</w:t>
            </w:r>
            <w:r>
              <w:rPr>
                <w:spacing w:val="28"/>
                <w:sz w:val="24"/>
              </w:rPr>
              <w:t>、</w:t>
            </w:r>
            <w:r>
              <w:rPr>
                <w:sz w:val="24"/>
              </w:rPr>
              <w:t>Relay</w:t>
            </w:r>
            <w:r>
              <w:rPr>
                <w:spacing w:val="29"/>
                <w:sz w:val="24"/>
              </w:rPr>
              <w:t>、</w:t>
            </w:r>
            <w:r>
              <w:rPr>
                <w:sz w:val="24"/>
              </w:rPr>
              <w:t>snooping</w:t>
            </w:r>
            <w:r>
              <w:rPr>
                <w:spacing w:val="-20"/>
                <w:sz w:val="24"/>
              </w:rPr>
              <w:t xml:space="preserve"> 与 </w:t>
            </w:r>
            <w:r>
              <w:rPr>
                <w:sz w:val="24"/>
              </w:rPr>
              <w:t>DHCP</w:t>
            </w:r>
            <w:r>
              <w:rPr>
                <w:spacing w:val="-30"/>
                <w:sz w:val="24"/>
              </w:rPr>
              <w:t xml:space="preserve"> </w:t>
            </w:r>
            <w:r>
              <w:rPr>
                <w:sz w:val="24"/>
              </w:rPr>
              <w:t>Option</w:t>
            </w:r>
            <w:r>
              <w:rPr>
                <w:spacing w:val="-30"/>
                <w:sz w:val="24"/>
              </w:rPr>
              <w:t xml:space="preserve"> </w:t>
            </w:r>
            <w:r>
              <w:rPr>
                <w:sz w:val="24"/>
              </w:rPr>
              <w:t>82； IP/ARP/ICMP</w:t>
            </w:r>
            <w:r>
              <w:rPr>
                <w:spacing w:val="6"/>
                <w:sz w:val="24"/>
              </w:rPr>
              <w:t xml:space="preserve"> 安全、</w:t>
            </w:r>
            <w:r>
              <w:rPr>
                <w:sz w:val="24"/>
              </w:rPr>
              <w:t>IPSG/DAI</w:t>
            </w:r>
            <w:r>
              <w:rPr>
                <w:spacing w:val="17"/>
                <w:sz w:val="24"/>
              </w:rPr>
              <w:t>、</w:t>
            </w:r>
            <w:r>
              <w:rPr>
                <w:sz w:val="24"/>
              </w:rPr>
              <w:t>CPU</w:t>
            </w:r>
            <w:r>
              <w:rPr>
                <w:spacing w:val="1"/>
                <w:sz w:val="24"/>
              </w:rPr>
              <w:t xml:space="preserve"> 保护技术、第 </w:t>
            </w:r>
            <w:r>
              <w:rPr>
                <w:sz w:val="24"/>
              </w:rPr>
              <w:t>2</w:t>
            </w:r>
            <w:r>
              <w:rPr>
                <w:spacing w:val="16"/>
                <w:sz w:val="24"/>
              </w:rPr>
              <w:t>、</w:t>
            </w:r>
            <w:r>
              <w:rPr>
                <w:sz w:val="24"/>
              </w:rPr>
              <w:t>3</w:t>
            </w:r>
            <w:r>
              <w:rPr>
                <w:spacing w:val="16"/>
                <w:sz w:val="24"/>
              </w:rPr>
              <w:t>、</w:t>
            </w:r>
            <w:r>
              <w:rPr>
                <w:sz w:val="24"/>
              </w:rPr>
              <w:t>4</w:t>
            </w:r>
            <w:r>
              <w:rPr>
                <w:spacing w:val="-12"/>
                <w:sz w:val="24"/>
              </w:rPr>
              <w:t xml:space="preserve"> 层的 </w:t>
            </w:r>
            <w:r>
              <w:rPr>
                <w:sz w:val="24"/>
              </w:rPr>
              <w:t>ACL</w:t>
            </w:r>
            <w:r>
              <w:rPr>
                <w:spacing w:val="5"/>
                <w:sz w:val="24"/>
              </w:rPr>
              <w:t>，双向</w:t>
            </w:r>
            <w:r>
              <w:rPr>
                <w:sz w:val="24"/>
              </w:rPr>
              <w:t xml:space="preserve"> ACL；</w:t>
            </w:r>
            <w:r>
              <w:rPr>
                <w:spacing w:val="-88"/>
                <w:sz w:val="24"/>
              </w:rPr>
              <w:t xml:space="preserve"> </w:t>
            </w:r>
            <w:r>
              <w:rPr>
                <w:sz w:val="24"/>
              </w:rPr>
              <w:t>IGMP</w:t>
            </w:r>
            <w:r>
              <w:rPr>
                <w:spacing w:val="32"/>
                <w:sz w:val="24"/>
              </w:rPr>
              <w:t xml:space="preserve"> </w:t>
            </w:r>
            <w:r>
              <w:rPr>
                <w:sz w:val="24"/>
              </w:rPr>
              <w:t>Snooping</w:t>
            </w:r>
            <w:r>
              <w:rPr>
                <w:spacing w:val="32"/>
                <w:sz w:val="24"/>
              </w:rPr>
              <w:t xml:space="preserve"> </w:t>
            </w:r>
            <w:r>
              <w:rPr>
                <w:sz w:val="24"/>
              </w:rPr>
              <w:t>V1/2/3；</w:t>
            </w:r>
            <w:r>
              <w:rPr>
                <w:spacing w:val="-88"/>
                <w:sz w:val="24"/>
              </w:rPr>
              <w:t xml:space="preserve"> </w:t>
            </w:r>
            <w:r>
              <w:rPr>
                <w:sz w:val="24"/>
              </w:rPr>
              <w:t>PIM-SM,PIM-SSM；</w:t>
            </w:r>
            <w:r>
              <w:rPr>
                <w:spacing w:val="-88"/>
                <w:sz w:val="24"/>
              </w:rPr>
              <w:t xml:space="preserve"> </w:t>
            </w:r>
            <w:r>
              <w:rPr>
                <w:sz w:val="24"/>
              </w:rPr>
              <w:t>SNMP</w:t>
            </w:r>
            <w:r>
              <w:rPr>
                <w:spacing w:val="32"/>
                <w:sz w:val="24"/>
              </w:rPr>
              <w:t xml:space="preserve"> </w:t>
            </w:r>
            <w:r>
              <w:rPr>
                <w:sz w:val="24"/>
              </w:rPr>
              <w:t>V1/V2/V3</w:t>
            </w:r>
            <w:r>
              <w:rPr>
                <w:spacing w:val="32"/>
                <w:sz w:val="24"/>
              </w:rPr>
              <w:t>、</w:t>
            </w:r>
            <w:r>
              <w:rPr>
                <w:sz w:val="24"/>
              </w:rPr>
              <w:t>Telnet</w:t>
            </w:r>
            <w:r>
              <w:rPr>
                <w:spacing w:val="-10"/>
                <w:sz w:val="24"/>
              </w:rPr>
              <w:t>、</w:t>
            </w:r>
          </w:p>
          <w:p>
            <w:pPr>
              <w:pStyle w:val="TableParagraph"/>
              <w:spacing w:before="4" w:line="288" w:lineRule="exact"/>
              <w:ind w:left="107"/>
              <w:jc w:val="both"/>
              <w:rPr>
                <w:sz w:val="24"/>
              </w:rPr>
            </w:pPr>
            <w:r>
              <w:rPr>
                <w:sz w:val="24"/>
              </w:rPr>
              <w:t>RMON、SSH； 802.1X、VRRP</w:t>
            </w:r>
            <w:r>
              <w:rPr>
                <w:spacing w:val="-24"/>
                <w:sz w:val="24"/>
              </w:rPr>
              <w:t xml:space="preserve"> 等。</w:t>
            </w:r>
          </w:p>
        </w:tc>
      </w:tr>
      <w:tr>
        <w:tblPrEx>
          <w:tblW w:w="0" w:type="auto"/>
          <w:jc w:val="left"/>
          <w:tblInd w:w="155" w:type="dxa"/>
          <w:tblLayout w:type="fixed"/>
          <w:tblCellMar>
            <w:top w:w="0" w:type="dxa"/>
            <w:left w:w="0" w:type="dxa"/>
            <w:bottom w:w="0" w:type="dxa"/>
            <w:right w:w="0" w:type="dxa"/>
          </w:tblCellMar>
          <w:tblLook w:val="01E0"/>
        </w:tblPrEx>
        <w:trPr>
          <w:trHeight w:val="315"/>
          <w:jc w:val="left"/>
        </w:trPr>
        <w:tc>
          <w:tcPr>
            <w:tcW w:w="817" w:type="dxa"/>
          </w:tcPr>
          <w:p>
            <w:pPr>
              <w:pStyle w:val="TableParagraph"/>
              <w:spacing w:before="4" w:line="292" w:lineRule="exact"/>
              <w:ind w:left="10"/>
              <w:jc w:val="center"/>
              <w:rPr>
                <w:sz w:val="24"/>
              </w:rPr>
            </w:pPr>
            <w:r>
              <w:rPr>
                <w:sz w:val="24"/>
              </w:rPr>
              <w:t>7</w:t>
            </w:r>
          </w:p>
        </w:tc>
        <w:tc>
          <w:tcPr>
            <w:tcW w:w="8363" w:type="dxa"/>
          </w:tcPr>
          <w:p>
            <w:pPr>
              <w:pStyle w:val="TableParagraph"/>
              <w:spacing w:before="4" w:line="292" w:lineRule="exact"/>
              <w:ind w:left="107"/>
              <w:rPr>
                <w:sz w:val="24"/>
              </w:rPr>
            </w:pPr>
            <w:r>
              <w:rPr>
                <w:spacing w:val="-8"/>
                <w:sz w:val="24"/>
              </w:rPr>
              <w:t>具有工信部入网证（Ipv4、</w:t>
            </w:r>
            <w:r>
              <w:rPr>
                <w:spacing w:val="16"/>
                <w:sz w:val="24"/>
              </w:rPr>
              <w:t>Ipv6</w:t>
            </w:r>
            <w:r>
              <w:rPr>
                <w:spacing w:val="-104"/>
                <w:sz w:val="24"/>
              </w:rPr>
              <w:t>）</w:t>
            </w:r>
            <w:r>
              <w:rPr>
                <w:spacing w:val="-10"/>
                <w:sz w:val="24"/>
              </w:rPr>
              <w:t>。</w:t>
            </w:r>
          </w:p>
        </w:tc>
      </w:tr>
      <w:tr>
        <w:tblPrEx>
          <w:tblW w:w="0" w:type="auto"/>
          <w:jc w:val="left"/>
          <w:tblInd w:w="155" w:type="dxa"/>
          <w:tblLayout w:type="fixed"/>
          <w:tblCellMar>
            <w:top w:w="0" w:type="dxa"/>
            <w:left w:w="0" w:type="dxa"/>
            <w:bottom w:w="0" w:type="dxa"/>
            <w:right w:w="0" w:type="dxa"/>
          </w:tblCellMar>
          <w:tblLook w:val="01E0"/>
        </w:tblPrEx>
        <w:trPr>
          <w:trHeight w:val="316"/>
          <w:jc w:val="left"/>
        </w:trPr>
        <w:tc>
          <w:tcPr>
            <w:tcW w:w="817" w:type="dxa"/>
          </w:tcPr>
          <w:p>
            <w:pPr>
              <w:pStyle w:val="TableParagraph"/>
              <w:spacing w:before="4" w:line="292" w:lineRule="exact"/>
              <w:ind w:left="10"/>
              <w:jc w:val="center"/>
              <w:rPr>
                <w:sz w:val="24"/>
              </w:rPr>
            </w:pPr>
            <w:r>
              <w:rPr>
                <w:sz w:val="24"/>
              </w:rPr>
              <w:t>8</w:t>
            </w:r>
          </w:p>
        </w:tc>
        <w:tc>
          <w:tcPr>
            <w:tcW w:w="8363" w:type="dxa"/>
          </w:tcPr>
          <w:p>
            <w:pPr>
              <w:pStyle w:val="TableParagraph"/>
              <w:spacing w:before="4" w:line="292" w:lineRule="exact"/>
              <w:ind w:left="107"/>
              <w:rPr>
                <w:sz w:val="24"/>
              </w:rPr>
            </w:pPr>
            <w:r>
              <w:rPr>
                <w:spacing w:val="-1"/>
                <w:sz w:val="24"/>
              </w:rPr>
              <w:t>★与数据中心核心交换机同一品牌。</w:t>
            </w:r>
          </w:p>
        </w:tc>
      </w:tr>
    </w:tbl>
    <w:p>
      <w:pPr>
        <w:pStyle w:val="Heading4"/>
        <w:numPr>
          <w:ilvl w:val="1"/>
          <w:numId w:val="10"/>
        </w:numPr>
        <w:tabs>
          <w:tab w:val="left" w:pos="1041"/>
        </w:tabs>
        <w:spacing w:before="4" w:after="0" w:line="240" w:lineRule="auto"/>
        <w:ind w:left="1040" w:right="0" w:hanging="363"/>
        <w:jc w:val="left"/>
      </w:pPr>
      <w:r>
        <w:rPr>
          <w:spacing w:val="1"/>
        </w:rPr>
        <w:t>、 通用网管软件技术要求</w:t>
      </w:r>
    </w:p>
    <w:p>
      <w:pPr>
        <w:pStyle w:val="BodyText"/>
        <w:spacing w:before="10"/>
        <w:rPr>
          <w:rFonts w:ascii="Microsoft JhengHei"/>
          <w:b/>
          <w:sz w:val="4"/>
        </w:rPr>
      </w:pPr>
    </w:p>
    <w:tbl>
      <w:tblPr>
        <w:tblStyle w:val="TableNormal10"/>
        <w:tblW w:w="0" w:type="auto"/>
        <w:jc w:val="left"/>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0"/>
        <w:gridCol w:w="8332"/>
      </w:tblGrid>
      <w:tr>
        <w:tblPrEx>
          <w:tblW w:w="0" w:type="auto"/>
          <w:jc w:val="left"/>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820" w:type="dxa"/>
          </w:tcPr>
          <w:p>
            <w:pPr>
              <w:pStyle w:val="TableParagraph"/>
              <w:spacing w:line="292" w:lineRule="exact"/>
              <w:ind w:left="154" w:right="145"/>
              <w:jc w:val="center"/>
              <w:rPr>
                <w:rFonts w:ascii="Microsoft JhengHei" w:eastAsia="Microsoft JhengHei"/>
                <w:b/>
                <w:sz w:val="24"/>
              </w:rPr>
            </w:pPr>
            <w:r>
              <w:rPr>
                <w:rFonts w:ascii="Microsoft JhengHei" w:eastAsia="Microsoft JhengHei"/>
                <w:b/>
                <w:spacing w:val="-5"/>
                <w:sz w:val="24"/>
              </w:rPr>
              <w:t>序号</w:t>
            </w:r>
          </w:p>
        </w:tc>
        <w:tc>
          <w:tcPr>
            <w:tcW w:w="8332" w:type="dxa"/>
          </w:tcPr>
          <w:p>
            <w:pPr>
              <w:pStyle w:val="TableParagraph"/>
              <w:spacing w:line="292" w:lineRule="exact"/>
              <w:ind w:left="3431" w:right="3422"/>
              <w:jc w:val="center"/>
              <w:rPr>
                <w:rFonts w:ascii="Microsoft JhengHei" w:eastAsia="Microsoft JhengHei"/>
                <w:b/>
                <w:sz w:val="24"/>
              </w:rPr>
            </w:pPr>
            <w:r>
              <w:rPr>
                <w:rFonts w:ascii="Microsoft JhengHei" w:eastAsia="Microsoft JhengHei"/>
                <w:b/>
                <w:spacing w:val="-2"/>
                <w:sz w:val="24"/>
              </w:rPr>
              <w:t>技术指标要求</w:t>
            </w:r>
          </w:p>
        </w:tc>
      </w:tr>
      <w:tr>
        <w:tblPrEx>
          <w:tblW w:w="0" w:type="auto"/>
          <w:jc w:val="left"/>
          <w:tblInd w:w="222" w:type="dxa"/>
          <w:tblLayout w:type="fixed"/>
          <w:tblCellMar>
            <w:top w:w="0" w:type="dxa"/>
            <w:left w:w="0" w:type="dxa"/>
            <w:bottom w:w="0" w:type="dxa"/>
            <w:right w:w="0" w:type="dxa"/>
          </w:tblCellMar>
          <w:tblLook w:val="01E0"/>
        </w:tblPrEx>
        <w:trPr>
          <w:trHeight w:val="312"/>
          <w:jc w:val="left"/>
        </w:trPr>
        <w:tc>
          <w:tcPr>
            <w:tcW w:w="820" w:type="dxa"/>
          </w:tcPr>
          <w:p>
            <w:pPr>
              <w:pStyle w:val="TableParagraph"/>
              <w:spacing w:line="292" w:lineRule="exact"/>
              <w:ind w:left="9"/>
              <w:jc w:val="center"/>
              <w:rPr>
                <w:rFonts w:ascii="Microsoft JhengHei" w:hAnsi="Microsoft JhengHei"/>
                <w:b/>
                <w:sz w:val="24"/>
              </w:rPr>
            </w:pPr>
            <w:r>
              <w:rPr>
                <w:rFonts w:ascii="Microsoft JhengHei" w:hAnsi="Microsoft JhengHei"/>
                <w:b/>
                <w:w w:val="92"/>
                <w:sz w:val="24"/>
              </w:rPr>
              <w:t>—</w:t>
            </w:r>
          </w:p>
        </w:tc>
        <w:tc>
          <w:tcPr>
            <w:tcW w:w="8332" w:type="dxa"/>
          </w:tcPr>
          <w:p>
            <w:pPr>
              <w:pStyle w:val="TableParagraph"/>
              <w:spacing w:line="292" w:lineRule="exact"/>
              <w:ind w:left="108"/>
              <w:rPr>
                <w:rFonts w:ascii="Microsoft JhengHei" w:eastAsia="Microsoft JhengHei"/>
                <w:b/>
                <w:sz w:val="24"/>
              </w:rPr>
            </w:pPr>
            <w:r>
              <w:rPr>
                <w:rFonts w:ascii="Microsoft JhengHei" w:eastAsia="Microsoft JhengHei"/>
                <w:b/>
                <w:spacing w:val="-3"/>
                <w:sz w:val="24"/>
              </w:rPr>
              <w:t>系统平台</w:t>
            </w:r>
          </w:p>
        </w:tc>
      </w:tr>
      <w:tr>
        <w:tblPrEx>
          <w:tblW w:w="0" w:type="auto"/>
          <w:jc w:val="left"/>
          <w:tblInd w:w="222" w:type="dxa"/>
          <w:tblLayout w:type="fixed"/>
          <w:tblCellMar>
            <w:top w:w="0" w:type="dxa"/>
            <w:left w:w="0" w:type="dxa"/>
            <w:bottom w:w="0" w:type="dxa"/>
            <w:right w:w="0" w:type="dxa"/>
          </w:tblCellMar>
          <w:tblLook w:val="01E0"/>
        </w:tblPrEx>
        <w:trPr>
          <w:trHeight w:val="312"/>
          <w:jc w:val="left"/>
        </w:trPr>
        <w:tc>
          <w:tcPr>
            <w:tcW w:w="820" w:type="dxa"/>
          </w:tcPr>
          <w:p>
            <w:pPr>
              <w:pStyle w:val="TableParagraph"/>
              <w:spacing w:before="4" w:line="288" w:lineRule="exact"/>
              <w:ind w:left="10"/>
              <w:jc w:val="center"/>
              <w:rPr>
                <w:sz w:val="24"/>
              </w:rPr>
            </w:pPr>
            <w:r>
              <w:rPr>
                <w:sz w:val="24"/>
              </w:rPr>
              <w:t>1</w:t>
            </w:r>
          </w:p>
        </w:tc>
        <w:tc>
          <w:tcPr>
            <w:tcW w:w="8332" w:type="dxa"/>
          </w:tcPr>
          <w:p>
            <w:pPr>
              <w:pStyle w:val="TableParagraph"/>
              <w:spacing w:before="4" w:line="288" w:lineRule="exact"/>
              <w:ind w:left="108"/>
              <w:rPr>
                <w:sz w:val="24"/>
              </w:rPr>
            </w:pPr>
            <w:r>
              <w:rPr>
                <w:spacing w:val="-8"/>
                <w:sz w:val="24"/>
              </w:rPr>
              <w:t xml:space="preserve">全中文界面，纯 </w:t>
            </w:r>
            <w:r>
              <w:rPr>
                <w:sz w:val="24"/>
              </w:rPr>
              <w:t>B/S</w:t>
            </w:r>
            <w:r>
              <w:rPr>
                <w:spacing w:val="-9"/>
                <w:sz w:val="24"/>
              </w:rPr>
              <w:t xml:space="preserve"> 架构：可以在任何地方随时通过浏览器远程管理；</w:t>
            </w:r>
          </w:p>
        </w:tc>
      </w:tr>
      <w:tr>
        <w:tblPrEx>
          <w:tblW w:w="0" w:type="auto"/>
          <w:jc w:val="left"/>
          <w:tblInd w:w="222" w:type="dxa"/>
          <w:tblLayout w:type="fixed"/>
          <w:tblCellMar>
            <w:top w:w="0" w:type="dxa"/>
            <w:left w:w="0" w:type="dxa"/>
            <w:bottom w:w="0" w:type="dxa"/>
            <w:right w:w="0" w:type="dxa"/>
          </w:tblCellMar>
          <w:tblLook w:val="01E0"/>
        </w:tblPrEx>
        <w:trPr>
          <w:trHeight w:val="311"/>
          <w:jc w:val="left"/>
        </w:trPr>
        <w:tc>
          <w:tcPr>
            <w:tcW w:w="820" w:type="dxa"/>
          </w:tcPr>
          <w:p>
            <w:pPr>
              <w:pStyle w:val="TableParagraph"/>
              <w:spacing w:before="4" w:line="288" w:lineRule="exact"/>
              <w:ind w:left="10"/>
              <w:jc w:val="center"/>
              <w:rPr>
                <w:sz w:val="24"/>
              </w:rPr>
            </w:pPr>
            <w:r>
              <w:rPr>
                <w:sz w:val="24"/>
              </w:rPr>
              <w:t>2</w:t>
            </w:r>
          </w:p>
        </w:tc>
        <w:tc>
          <w:tcPr>
            <w:tcW w:w="8332" w:type="dxa"/>
          </w:tcPr>
          <w:p>
            <w:pPr>
              <w:pStyle w:val="TableParagraph"/>
              <w:spacing w:before="4" w:line="288" w:lineRule="exact"/>
              <w:ind w:left="108"/>
              <w:rPr>
                <w:sz w:val="24"/>
              </w:rPr>
            </w:pPr>
            <w:r>
              <w:rPr>
                <w:spacing w:val="-12"/>
                <w:sz w:val="24"/>
              </w:rPr>
              <w:t xml:space="preserve">系统基于 </w:t>
            </w:r>
            <w:r>
              <w:rPr>
                <w:sz w:val="24"/>
              </w:rPr>
              <w:t>DOTNET</w:t>
            </w:r>
            <w:r>
              <w:rPr>
                <w:spacing w:val="-40"/>
                <w:sz w:val="24"/>
              </w:rPr>
              <w:t xml:space="preserve"> 或 </w:t>
            </w:r>
            <w:r>
              <w:rPr>
                <w:sz w:val="24"/>
              </w:rPr>
              <w:t>J2EE</w:t>
            </w:r>
            <w:r>
              <w:rPr>
                <w:spacing w:val="-12"/>
                <w:sz w:val="24"/>
              </w:rPr>
              <w:t xml:space="preserve"> 平台运行；</w:t>
            </w:r>
          </w:p>
        </w:tc>
      </w:tr>
      <w:tr>
        <w:tblPrEx>
          <w:tblW w:w="0" w:type="auto"/>
          <w:jc w:val="left"/>
          <w:tblInd w:w="222" w:type="dxa"/>
          <w:tblLayout w:type="fixed"/>
          <w:tblCellMar>
            <w:top w:w="0" w:type="dxa"/>
            <w:left w:w="0" w:type="dxa"/>
            <w:bottom w:w="0" w:type="dxa"/>
            <w:right w:w="0" w:type="dxa"/>
          </w:tblCellMar>
          <w:tblLook w:val="01E0"/>
        </w:tblPrEx>
        <w:trPr>
          <w:trHeight w:val="622"/>
          <w:jc w:val="left"/>
        </w:trPr>
        <w:tc>
          <w:tcPr>
            <w:tcW w:w="820" w:type="dxa"/>
          </w:tcPr>
          <w:p>
            <w:pPr>
              <w:pStyle w:val="TableParagraph"/>
              <w:spacing w:before="159"/>
              <w:ind w:left="10"/>
              <w:jc w:val="center"/>
              <w:rPr>
                <w:sz w:val="24"/>
              </w:rPr>
            </w:pPr>
            <w:r>
              <w:rPr>
                <w:sz w:val="24"/>
              </w:rPr>
              <w:t>3</w:t>
            </w:r>
          </w:p>
        </w:tc>
        <w:tc>
          <w:tcPr>
            <w:tcW w:w="8332" w:type="dxa"/>
          </w:tcPr>
          <w:p>
            <w:pPr>
              <w:pStyle w:val="TableParagraph"/>
              <w:spacing w:line="310" w:lineRule="atLeast"/>
              <w:ind w:left="108" w:right="-29"/>
              <w:rPr>
                <w:sz w:val="24"/>
              </w:rPr>
            </w:pPr>
            <w:r>
              <w:rPr>
                <w:spacing w:val="-9"/>
                <w:sz w:val="24"/>
              </w:rPr>
              <w:t>系统前后台要求完全由国内厂商自主研发，全中文界面，通俗易懂，容易上手，</w:t>
            </w:r>
            <w:r>
              <w:rPr>
                <w:spacing w:val="-1"/>
                <w:sz w:val="24"/>
              </w:rPr>
              <w:t xml:space="preserve">厂商技术服务可靠，专业服务于网管软件领域 </w:t>
            </w:r>
            <w:r>
              <w:rPr>
                <w:sz w:val="24"/>
              </w:rPr>
              <w:t>8</w:t>
            </w:r>
            <w:r>
              <w:rPr>
                <w:spacing w:val="-5"/>
                <w:sz w:val="24"/>
              </w:rPr>
              <w:t xml:space="preserve"> 年以上；</w:t>
            </w:r>
          </w:p>
        </w:tc>
      </w:tr>
      <w:tr>
        <w:tblPrEx>
          <w:tblW w:w="0" w:type="auto"/>
          <w:jc w:val="left"/>
          <w:tblInd w:w="222" w:type="dxa"/>
          <w:tblLayout w:type="fixed"/>
          <w:tblCellMar>
            <w:top w:w="0" w:type="dxa"/>
            <w:left w:w="0" w:type="dxa"/>
            <w:bottom w:w="0" w:type="dxa"/>
            <w:right w:w="0" w:type="dxa"/>
          </w:tblCellMar>
          <w:tblLook w:val="01E0"/>
        </w:tblPrEx>
        <w:trPr>
          <w:trHeight w:val="311"/>
          <w:jc w:val="left"/>
        </w:trPr>
        <w:tc>
          <w:tcPr>
            <w:tcW w:w="820" w:type="dxa"/>
          </w:tcPr>
          <w:p>
            <w:pPr>
              <w:pStyle w:val="TableParagraph"/>
              <w:spacing w:before="4" w:line="288" w:lineRule="exact"/>
              <w:ind w:left="10"/>
              <w:jc w:val="center"/>
              <w:rPr>
                <w:sz w:val="24"/>
              </w:rPr>
            </w:pPr>
            <w:r>
              <w:rPr>
                <w:sz w:val="24"/>
              </w:rPr>
              <w:t>4</w:t>
            </w:r>
          </w:p>
        </w:tc>
        <w:tc>
          <w:tcPr>
            <w:tcW w:w="8332" w:type="dxa"/>
          </w:tcPr>
          <w:p>
            <w:pPr>
              <w:pStyle w:val="TableParagraph"/>
              <w:spacing w:before="4" w:line="288" w:lineRule="exact"/>
              <w:ind w:left="108"/>
              <w:rPr>
                <w:sz w:val="24"/>
              </w:rPr>
            </w:pPr>
            <w:r>
              <w:rPr>
                <w:spacing w:val="-20"/>
                <w:sz w:val="24"/>
              </w:rPr>
              <w:t xml:space="preserve">支持 </w:t>
            </w:r>
            <w:r>
              <w:rPr>
                <w:sz w:val="24"/>
              </w:rPr>
              <w:t>Oracle</w:t>
            </w:r>
            <w:r>
              <w:rPr>
                <w:spacing w:val="-40"/>
                <w:sz w:val="24"/>
              </w:rPr>
              <w:t xml:space="preserve"> 或 </w:t>
            </w:r>
            <w:r>
              <w:rPr>
                <w:sz w:val="24"/>
              </w:rPr>
              <w:t>MS SQL Server</w:t>
            </w:r>
            <w:r>
              <w:rPr>
                <w:spacing w:val="-9"/>
                <w:sz w:val="24"/>
              </w:rPr>
              <w:t xml:space="preserve"> 等大型关系数据库；</w:t>
            </w:r>
          </w:p>
        </w:tc>
      </w:tr>
      <w:tr>
        <w:tblPrEx>
          <w:tblW w:w="0" w:type="auto"/>
          <w:jc w:val="left"/>
          <w:tblInd w:w="222" w:type="dxa"/>
          <w:tblLayout w:type="fixed"/>
          <w:tblCellMar>
            <w:top w:w="0" w:type="dxa"/>
            <w:left w:w="0" w:type="dxa"/>
            <w:bottom w:w="0" w:type="dxa"/>
            <w:right w:w="0" w:type="dxa"/>
          </w:tblCellMar>
          <w:tblLook w:val="01E0"/>
        </w:tblPrEx>
        <w:trPr>
          <w:trHeight w:val="622"/>
          <w:jc w:val="left"/>
        </w:trPr>
        <w:tc>
          <w:tcPr>
            <w:tcW w:w="820" w:type="dxa"/>
          </w:tcPr>
          <w:p>
            <w:pPr>
              <w:pStyle w:val="TableParagraph"/>
              <w:spacing w:before="159"/>
              <w:ind w:left="10"/>
              <w:jc w:val="center"/>
              <w:rPr>
                <w:sz w:val="24"/>
              </w:rPr>
            </w:pPr>
            <w:r>
              <w:rPr>
                <w:sz w:val="24"/>
              </w:rPr>
              <w:t>5</w:t>
            </w:r>
          </w:p>
        </w:tc>
        <w:tc>
          <w:tcPr>
            <w:tcW w:w="8332" w:type="dxa"/>
          </w:tcPr>
          <w:p>
            <w:pPr>
              <w:pStyle w:val="TableParagraph"/>
              <w:spacing w:before="3"/>
              <w:ind w:left="108"/>
              <w:rPr>
                <w:sz w:val="24"/>
              </w:rPr>
            </w:pPr>
            <w:r>
              <w:rPr>
                <w:sz w:val="24"/>
              </w:rPr>
              <w:t>系统能够将原来使用网管软件数据（</w:t>
            </w:r>
            <w:r>
              <w:rPr>
                <w:spacing w:val="-1"/>
                <w:sz w:val="24"/>
              </w:rPr>
              <w:t>包括拓扑图数据、告警数据、历史记录、</w:t>
            </w:r>
          </w:p>
          <w:p>
            <w:pPr>
              <w:pStyle w:val="TableParagraph"/>
              <w:spacing w:before="4" w:line="287" w:lineRule="exact"/>
              <w:ind w:left="108"/>
              <w:rPr>
                <w:sz w:val="24"/>
              </w:rPr>
            </w:pPr>
            <w:r>
              <w:rPr>
                <w:sz w:val="24"/>
              </w:rPr>
              <w:t>IP</w:t>
            </w:r>
            <w:r>
              <w:rPr>
                <w:spacing w:val="-10"/>
                <w:sz w:val="24"/>
              </w:rPr>
              <w:t xml:space="preserve"> 地址数据等</w:t>
            </w:r>
            <w:r>
              <w:rPr>
                <w:sz w:val="24"/>
              </w:rPr>
              <w:t>）</w:t>
            </w:r>
            <w:r>
              <w:rPr>
                <w:spacing w:val="-1"/>
                <w:sz w:val="24"/>
              </w:rPr>
              <w:t>所有数据迁移至新系统中；</w:t>
            </w:r>
          </w:p>
        </w:tc>
      </w:tr>
      <w:tr>
        <w:tblPrEx>
          <w:tblW w:w="0" w:type="auto"/>
          <w:jc w:val="left"/>
          <w:tblInd w:w="222" w:type="dxa"/>
          <w:tblLayout w:type="fixed"/>
          <w:tblCellMar>
            <w:top w:w="0" w:type="dxa"/>
            <w:left w:w="0" w:type="dxa"/>
            <w:bottom w:w="0" w:type="dxa"/>
            <w:right w:w="0" w:type="dxa"/>
          </w:tblCellMar>
          <w:tblLook w:val="01E0"/>
        </w:tblPrEx>
        <w:trPr>
          <w:trHeight w:val="312"/>
          <w:jc w:val="left"/>
        </w:trPr>
        <w:tc>
          <w:tcPr>
            <w:tcW w:w="820" w:type="dxa"/>
          </w:tcPr>
          <w:p>
            <w:pPr>
              <w:pStyle w:val="TableParagraph"/>
              <w:spacing w:line="292" w:lineRule="exact"/>
              <w:ind w:left="9"/>
              <w:jc w:val="center"/>
              <w:rPr>
                <w:rFonts w:ascii="Microsoft JhengHei" w:eastAsia="Microsoft JhengHei"/>
                <w:b/>
                <w:sz w:val="24"/>
              </w:rPr>
            </w:pPr>
            <w:r>
              <w:rPr>
                <w:rFonts w:ascii="Microsoft JhengHei" w:eastAsia="Microsoft JhengHei"/>
                <w:b/>
                <w:sz w:val="24"/>
              </w:rPr>
              <w:t>二</w:t>
            </w:r>
          </w:p>
        </w:tc>
        <w:tc>
          <w:tcPr>
            <w:tcW w:w="8332" w:type="dxa"/>
          </w:tcPr>
          <w:p>
            <w:pPr>
              <w:pStyle w:val="TableParagraph"/>
              <w:spacing w:line="292" w:lineRule="exact"/>
              <w:ind w:left="108"/>
              <w:rPr>
                <w:rFonts w:ascii="Microsoft JhengHei" w:eastAsia="Microsoft JhengHei"/>
                <w:b/>
                <w:sz w:val="24"/>
              </w:rPr>
            </w:pPr>
            <w:r>
              <w:rPr>
                <w:rFonts w:ascii="Microsoft JhengHei" w:eastAsia="Microsoft JhengHei"/>
                <w:b/>
                <w:spacing w:val="-2"/>
                <w:sz w:val="24"/>
              </w:rPr>
              <w:t>网络监控管理</w:t>
            </w:r>
          </w:p>
        </w:tc>
      </w:tr>
      <w:tr>
        <w:tblPrEx>
          <w:tblW w:w="0" w:type="auto"/>
          <w:jc w:val="left"/>
          <w:tblInd w:w="222" w:type="dxa"/>
          <w:tblLayout w:type="fixed"/>
          <w:tblCellMar>
            <w:top w:w="0" w:type="dxa"/>
            <w:left w:w="0" w:type="dxa"/>
            <w:bottom w:w="0" w:type="dxa"/>
            <w:right w:w="0" w:type="dxa"/>
          </w:tblCellMar>
          <w:tblLook w:val="01E0"/>
        </w:tblPrEx>
        <w:trPr>
          <w:trHeight w:val="622"/>
          <w:jc w:val="left"/>
        </w:trPr>
        <w:tc>
          <w:tcPr>
            <w:tcW w:w="820" w:type="dxa"/>
          </w:tcPr>
          <w:p>
            <w:pPr>
              <w:pStyle w:val="TableParagraph"/>
              <w:spacing w:before="159"/>
              <w:ind w:left="10"/>
              <w:jc w:val="center"/>
              <w:rPr>
                <w:sz w:val="24"/>
              </w:rPr>
            </w:pPr>
            <w:r>
              <w:rPr>
                <w:sz w:val="24"/>
              </w:rPr>
              <w:t>1</w:t>
            </w:r>
          </w:p>
        </w:tc>
        <w:tc>
          <w:tcPr>
            <w:tcW w:w="8332" w:type="dxa"/>
          </w:tcPr>
          <w:p>
            <w:pPr>
              <w:pStyle w:val="TableParagraph"/>
              <w:spacing w:line="310" w:lineRule="atLeast"/>
              <w:ind w:left="108" w:right="-29"/>
              <w:rPr>
                <w:sz w:val="24"/>
              </w:rPr>
            </w:pPr>
            <w:r>
              <w:rPr>
                <w:spacing w:val="-9"/>
                <w:sz w:val="24"/>
              </w:rPr>
              <w:t>网络管理功能是管理系统必备的基本功能之一，应该实现拓扑管理、配置管理、</w:t>
            </w:r>
            <w:r>
              <w:rPr>
                <w:spacing w:val="-2"/>
                <w:sz w:val="24"/>
              </w:rPr>
              <w:t>故障管理、性能管理等管理功能；</w:t>
            </w:r>
          </w:p>
        </w:tc>
      </w:tr>
      <w:tr>
        <w:tblPrEx>
          <w:tblW w:w="0" w:type="auto"/>
          <w:jc w:val="left"/>
          <w:tblInd w:w="222" w:type="dxa"/>
          <w:tblLayout w:type="fixed"/>
          <w:tblCellMar>
            <w:top w:w="0" w:type="dxa"/>
            <w:left w:w="0" w:type="dxa"/>
            <w:bottom w:w="0" w:type="dxa"/>
            <w:right w:w="0" w:type="dxa"/>
          </w:tblCellMar>
          <w:tblLook w:val="01E0"/>
        </w:tblPrEx>
        <w:trPr>
          <w:trHeight w:val="622"/>
          <w:jc w:val="left"/>
        </w:trPr>
        <w:tc>
          <w:tcPr>
            <w:tcW w:w="820" w:type="dxa"/>
          </w:tcPr>
          <w:p>
            <w:pPr>
              <w:pStyle w:val="TableParagraph"/>
              <w:spacing w:before="159"/>
              <w:ind w:left="10"/>
              <w:jc w:val="center"/>
              <w:rPr>
                <w:sz w:val="24"/>
              </w:rPr>
            </w:pPr>
            <w:r>
              <w:rPr>
                <w:sz w:val="24"/>
              </w:rPr>
              <w:t>2</w:t>
            </w:r>
          </w:p>
        </w:tc>
        <w:tc>
          <w:tcPr>
            <w:tcW w:w="8332" w:type="dxa"/>
          </w:tcPr>
          <w:p>
            <w:pPr>
              <w:pStyle w:val="TableParagraph"/>
              <w:spacing w:line="310" w:lineRule="atLeast"/>
              <w:ind w:left="108" w:right="95"/>
              <w:rPr>
                <w:sz w:val="24"/>
              </w:rPr>
            </w:pPr>
            <w:r>
              <w:rPr>
                <w:spacing w:val="-2"/>
                <w:sz w:val="24"/>
              </w:rPr>
              <w:t>拓扑管理支持分层管理、子图缩略管理。点击缩略图可展现缩略图中各设备的</w:t>
            </w:r>
            <w:r>
              <w:rPr>
                <w:spacing w:val="-2"/>
                <w:sz w:val="24"/>
              </w:rPr>
              <w:t>运行状态；</w:t>
            </w:r>
          </w:p>
        </w:tc>
      </w:tr>
      <w:tr>
        <w:tblPrEx>
          <w:tblW w:w="0" w:type="auto"/>
          <w:jc w:val="left"/>
          <w:tblInd w:w="222" w:type="dxa"/>
          <w:tblLayout w:type="fixed"/>
          <w:tblCellMar>
            <w:top w:w="0" w:type="dxa"/>
            <w:left w:w="0" w:type="dxa"/>
            <w:bottom w:w="0" w:type="dxa"/>
            <w:right w:w="0" w:type="dxa"/>
          </w:tblCellMar>
          <w:tblLook w:val="01E0"/>
        </w:tblPrEx>
        <w:trPr>
          <w:trHeight w:val="312"/>
          <w:jc w:val="left"/>
        </w:trPr>
        <w:tc>
          <w:tcPr>
            <w:tcW w:w="820" w:type="dxa"/>
          </w:tcPr>
          <w:p>
            <w:pPr>
              <w:pStyle w:val="TableParagraph"/>
              <w:spacing w:before="4" w:line="288" w:lineRule="exact"/>
              <w:ind w:left="10"/>
              <w:jc w:val="center"/>
              <w:rPr>
                <w:sz w:val="24"/>
              </w:rPr>
            </w:pPr>
            <w:r>
              <w:rPr>
                <w:sz w:val="24"/>
              </w:rPr>
              <w:t>3</w:t>
            </w:r>
          </w:p>
        </w:tc>
        <w:tc>
          <w:tcPr>
            <w:tcW w:w="8332" w:type="dxa"/>
          </w:tcPr>
          <w:p>
            <w:pPr>
              <w:pStyle w:val="TableParagraph"/>
              <w:spacing w:before="3" w:line="288" w:lineRule="exact"/>
              <w:ind w:left="108"/>
              <w:rPr>
                <w:sz w:val="24"/>
              </w:rPr>
            </w:pPr>
            <w:r>
              <w:rPr>
                <w:spacing w:val="-4"/>
                <w:sz w:val="24"/>
              </w:rPr>
              <w:t xml:space="preserve">网络管理系统的采集方式要求能支持 </w:t>
            </w:r>
            <w:r>
              <w:rPr>
                <w:sz w:val="24"/>
              </w:rPr>
              <w:t>SNMP V1、V2C、V3</w:t>
            </w:r>
            <w:r>
              <w:rPr>
                <w:spacing w:val="-9"/>
                <w:sz w:val="24"/>
              </w:rPr>
              <w:t xml:space="preserve"> 方式的数据采集。</w:t>
            </w:r>
          </w:p>
        </w:tc>
      </w:tr>
      <w:tr>
        <w:tblPrEx>
          <w:tblW w:w="0" w:type="auto"/>
          <w:jc w:val="left"/>
          <w:tblInd w:w="222" w:type="dxa"/>
          <w:tblLayout w:type="fixed"/>
          <w:tblCellMar>
            <w:top w:w="0" w:type="dxa"/>
            <w:left w:w="0" w:type="dxa"/>
            <w:bottom w:w="0" w:type="dxa"/>
            <w:right w:w="0" w:type="dxa"/>
          </w:tblCellMar>
          <w:tblLook w:val="01E0"/>
        </w:tblPrEx>
        <w:trPr>
          <w:trHeight w:val="933"/>
          <w:jc w:val="left"/>
        </w:trPr>
        <w:tc>
          <w:tcPr>
            <w:tcW w:w="820" w:type="dxa"/>
          </w:tcPr>
          <w:p>
            <w:pPr>
              <w:pStyle w:val="TableParagraph"/>
              <w:spacing w:before="2"/>
              <w:rPr>
                <w:rFonts w:ascii="Microsoft JhengHei"/>
                <w:b/>
                <w:sz w:val="17"/>
              </w:rPr>
            </w:pPr>
          </w:p>
          <w:p>
            <w:pPr>
              <w:pStyle w:val="TableParagraph"/>
              <w:ind w:left="10"/>
              <w:jc w:val="center"/>
              <w:rPr>
                <w:sz w:val="24"/>
              </w:rPr>
            </w:pPr>
            <w:r>
              <w:rPr>
                <w:sz w:val="24"/>
              </w:rPr>
              <w:t>4</w:t>
            </w:r>
          </w:p>
        </w:tc>
        <w:tc>
          <w:tcPr>
            <w:tcW w:w="8332" w:type="dxa"/>
          </w:tcPr>
          <w:p>
            <w:pPr>
              <w:pStyle w:val="TableParagraph"/>
              <w:spacing w:line="310" w:lineRule="atLeast"/>
              <w:ind w:left="108" w:right="95"/>
              <w:jc w:val="both"/>
              <w:rPr>
                <w:sz w:val="24"/>
              </w:rPr>
            </w:pPr>
            <w:r>
              <w:rPr>
                <w:spacing w:val="-2"/>
                <w:sz w:val="24"/>
              </w:rPr>
              <w:t>网络拓扑管理能够采用多种算法，进行有条件的拓扑结构自动发现。自动跨网</w:t>
            </w:r>
            <w:r>
              <w:rPr>
                <w:spacing w:val="-2"/>
                <w:sz w:val="24"/>
              </w:rPr>
              <w:t>段迅速搜索整个网络内的所有节点、自动勾画出设备间的备份连接、均衡负载</w:t>
            </w:r>
            <w:r>
              <w:rPr>
                <w:spacing w:val="-4"/>
                <w:sz w:val="24"/>
              </w:rPr>
              <w:t>连接等。</w:t>
            </w:r>
          </w:p>
        </w:tc>
      </w:tr>
      <w:tr>
        <w:tblPrEx>
          <w:tblW w:w="0" w:type="auto"/>
          <w:jc w:val="left"/>
          <w:tblInd w:w="222" w:type="dxa"/>
          <w:tblLayout w:type="fixed"/>
          <w:tblCellMar>
            <w:top w:w="0" w:type="dxa"/>
            <w:left w:w="0" w:type="dxa"/>
            <w:bottom w:w="0" w:type="dxa"/>
            <w:right w:w="0" w:type="dxa"/>
          </w:tblCellMar>
          <w:tblLook w:val="01E0"/>
        </w:tblPrEx>
        <w:trPr>
          <w:trHeight w:val="312"/>
          <w:jc w:val="left"/>
        </w:trPr>
        <w:tc>
          <w:tcPr>
            <w:tcW w:w="820" w:type="dxa"/>
          </w:tcPr>
          <w:p>
            <w:pPr>
              <w:pStyle w:val="TableParagraph"/>
              <w:spacing w:before="4" w:line="288" w:lineRule="exact"/>
              <w:ind w:left="10"/>
              <w:jc w:val="center"/>
              <w:rPr>
                <w:sz w:val="24"/>
              </w:rPr>
            </w:pPr>
            <w:r>
              <w:rPr>
                <w:sz w:val="24"/>
              </w:rPr>
              <w:t>5</w:t>
            </w:r>
          </w:p>
        </w:tc>
        <w:tc>
          <w:tcPr>
            <w:tcW w:w="8332" w:type="dxa"/>
          </w:tcPr>
          <w:p>
            <w:pPr>
              <w:pStyle w:val="TableParagraph"/>
              <w:spacing w:before="3" w:line="288" w:lineRule="exact"/>
              <w:ind w:left="108"/>
              <w:rPr>
                <w:sz w:val="24"/>
              </w:rPr>
            </w:pPr>
            <w:r>
              <w:rPr>
                <w:spacing w:val="-1"/>
                <w:sz w:val="24"/>
              </w:rPr>
              <w:t>拓扑生成后要求能提供拓扑生成报告。</w:t>
            </w:r>
          </w:p>
        </w:tc>
      </w:tr>
      <w:tr>
        <w:tblPrEx>
          <w:tblW w:w="0" w:type="auto"/>
          <w:jc w:val="left"/>
          <w:tblInd w:w="222" w:type="dxa"/>
          <w:tblLayout w:type="fixed"/>
          <w:tblCellMar>
            <w:top w:w="0" w:type="dxa"/>
            <w:left w:w="0" w:type="dxa"/>
            <w:bottom w:w="0" w:type="dxa"/>
            <w:right w:w="0" w:type="dxa"/>
          </w:tblCellMar>
          <w:tblLook w:val="01E0"/>
        </w:tblPrEx>
        <w:trPr>
          <w:trHeight w:val="1244"/>
          <w:jc w:val="left"/>
        </w:trPr>
        <w:tc>
          <w:tcPr>
            <w:tcW w:w="820" w:type="dxa"/>
          </w:tcPr>
          <w:p>
            <w:pPr>
              <w:pStyle w:val="TableParagraph"/>
              <w:spacing w:before="10"/>
              <w:rPr>
                <w:rFonts w:ascii="Microsoft JhengHei"/>
                <w:b/>
                <w:sz w:val="25"/>
              </w:rPr>
            </w:pPr>
          </w:p>
          <w:p>
            <w:pPr>
              <w:pStyle w:val="TableParagraph"/>
              <w:spacing w:before="1"/>
              <w:ind w:left="10"/>
              <w:jc w:val="center"/>
              <w:rPr>
                <w:sz w:val="24"/>
              </w:rPr>
            </w:pPr>
            <w:r>
              <w:rPr>
                <w:sz w:val="24"/>
              </w:rPr>
              <w:t>6</w:t>
            </w:r>
          </w:p>
        </w:tc>
        <w:tc>
          <w:tcPr>
            <w:tcW w:w="8332" w:type="dxa"/>
          </w:tcPr>
          <w:p>
            <w:pPr>
              <w:pStyle w:val="TableParagraph"/>
              <w:spacing w:before="3" w:line="242" w:lineRule="auto"/>
              <w:ind w:left="108" w:right="96"/>
              <w:rPr>
                <w:sz w:val="24"/>
              </w:rPr>
            </w:pPr>
            <w:r>
              <w:rPr>
                <w:spacing w:val="-2"/>
                <w:sz w:val="24"/>
              </w:rPr>
              <w:t>拓扑图应通过多种方式如颜色、设备/线路下标、提示框等，实时反映被管对</w:t>
            </w:r>
            <w:r>
              <w:rPr>
                <w:spacing w:val="-2"/>
                <w:sz w:val="24"/>
              </w:rPr>
              <w:t>象、被管对象组或子网、连接线路的各种性能负载情况；</w:t>
            </w:r>
          </w:p>
          <w:p>
            <w:pPr>
              <w:pStyle w:val="TableParagraph"/>
              <w:spacing w:before="2"/>
              <w:ind w:left="108"/>
              <w:rPr>
                <w:sz w:val="24"/>
              </w:rPr>
            </w:pPr>
            <w:r>
              <w:rPr>
                <w:spacing w:val="-3"/>
                <w:sz w:val="24"/>
              </w:rPr>
              <w:t xml:space="preserve">通过设备图标颜色变化来区分设备性能变化，如 </w:t>
            </w:r>
            <w:r>
              <w:rPr>
                <w:sz w:val="24"/>
              </w:rPr>
              <w:t>CPU</w:t>
            </w:r>
            <w:r>
              <w:rPr>
                <w:spacing w:val="-9"/>
                <w:sz w:val="24"/>
              </w:rPr>
              <w:t xml:space="preserve"> 利用率或内存利用率</w:t>
            </w:r>
          </w:p>
          <w:p>
            <w:pPr>
              <w:pStyle w:val="TableParagraph"/>
              <w:spacing w:before="4" w:line="288" w:lineRule="exact"/>
              <w:ind w:left="108"/>
              <w:rPr>
                <w:sz w:val="24"/>
              </w:rPr>
            </w:pPr>
            <w:r>
              <w:rPr>
                <w:spacing w:val="-1"/>
                <w:sz w:val="24"/>
              </w:rPr>
              <w:t>通过链路图标颜色变化来区分链路性能变化，如链路总流量或带宽利用率</w:t>
            </w:r>
          </w:p>
        </w:tc>
      </w:tr>
      <w:tr>
        <w:tblPrEx>
          <w:tblW w:w="0" w:type="auto"/>
          <w:jc w:val="left"/>
          <w:tblInd w:w="222" w:type="dxa"/>
          <w:tblLayout w:type="fixed"/>
          <w:tblCellMar>
            <w:top w:w="0" w:type="dxa"/>
            <w:left w:w="0" w:type="dxa"/>
            <w:bottom w:w="0" w:type="dxa"/>
            <w:right w:w="0" w:type="dxa"/>
          </w:tblCellMar>
          <w:tblLook w:val="01E0"/>
        </w:tblPrEx>
        <w:trPr>
          <w:trHeight w:val="622"/>
          <w:jc w:val="left"/>
        </w:trPr>
        <w:tc>
          <w:tcPr>
            <w:tcW w:w="820" w:type="dxa"/>
          </w:tcPr>
          <w:p>
            <w:pPr>
              <w:pStyle w:val="TableParagraph"/>
              <w:spacing w:before="159"/>
              <w:ind w:left="10"/>
              <w:jc w:val="center"/>
              <w:rPr>
                <w:sz w:val="24"/>
              </w:rPr>
            </w:pPr>
            <w:r>
              <w:rPr>
                <w:sz w:val="24"/>
              </w:rPr>
              <w:t>7</w:t>
            </w:r>
          </w:p>
        </w:tc>
        <w:tc>
          <w:tcPr>
            <w:tcW w:w="8332" w:type="dxa"/>
          </w:tcPr>
          <w:p>
            <w:pPr>
              <w:pStyle w:val="TableParagraph"/>
              <w:spacing w:line="310" w:lineRule="atLeast"/>
              <w:ind w:left="108" w:right="95"/>
              <w:rPr>
                <w:sz w:val="24"/>
              </w:rPr>
            </w:pPr>
            <w:r>
              <w:rPr>
                <w:spacing w:val="-2"/>
                <w:sz w:val="24"/>
              </w:rPr>
              <w:t>在拓扑图中，显示网络链路时可以选择在链路旁显示链路备注信息或者链路类</w:t>
            </w:r>
            <w:r>
              <w:rPr>
                <w:spacing w:val="-2"/>
                <w:sz w:val="24"/>
              </w:rPr>
              <w:t>型信息等,显示信息位置和内容可由用户自行定义；</w:t>
            </w:r>
          </w:p>
        </w:tc>
      </w:tr>
      <w:tr>
        <w:tblPrEx>
          <w:tblW w:w="0" w:type="auto"/>
          <w:jc w:val="left"/>
          <w:tblInd w:w="222" w:type="dxa"/>
          <w:tblLayout w:type="fixed"/>
          <w:tblCellMar>
            <w:top w:w="0" w:type="dxa"/>
            <w:left w:w="0" w:type="dxa"/>
            <w:bottom w:w="0" w:type="dxa"/>
            <w:right w:w="0" w:type="dxa"/>
          </w:tblCellMar>
          <w:tblLook w:val="01E0"/>
        </w:tblPrEx>
        <w:trPr>
          <w:trHeight w:val="624"/>
          <w:jc w:val="left"/>
        </w:trPr>
        <w:tc>
          <w:tcPr>
            <w:tcW w:w="820" w:type="dxa"/>
          </w:tcPr>
          <w:p>
            <w:pPr>
              <w:pStyle w:val="TableParagraph"/>
              <w:spacing w:before="160"/>
              <w:ind w:left="10"/>
              <w:jc w:val="center"/>
              <w:rPr>
                <w:sz w:val="24"/>
              </w:rPr>
            </w:pPr>
            <w:r>
              <w:rPr>
                <w:sz w:val="24"/>
              </w:rPr>
              <w:t>8</w:t>
            </w:r>
          </w:p>
        </w:tc>
        <w:tc>
          <w:tcPr>
            <w:tcW w:w="8332" w:type="dxa"/>
          </w:tcPr>
          <w:p>
            <w:pPr>
              <w:pStyle w:val="TableParagraph"/>
              <w:spacing w:before="4"/>
              <w:ind w:left="108"/>
              <w:rPr>
                <w:sz w:val="24"/>
              </w:rPr>
            </w:pPr>
            <w:r>
              <w:rPr>
                <w:spacing w:val="-3"/>
                <w:sz w:val="24"/>
              </w:rPr>
              <w:t>拓扑图导航功能，可逐层进入各级子网，逐渐细化显示子网的信息，可以根据</w:t>
            </w:r>
          </w:p>
          <w:p>
            <w:pPr>
              <w:pStyle w:val="TableParagraph"/>
              <w:spacing w:before="4" w:line="288" w:lineRule="exact"/>
              <w:ind w:left="108"/>
              <w:rPr>
                <w:sz w:val="24"/>
              </w:rPr>
            </w:pPr>
            <w:r>
              <w:rPr>
                <w:spacing w:val="-1"/>
                <w:sz w:val="24"/>
              </w:rPr>
              <w:t>需要切换到不同的网络视图；</w:t>
            </w:r>
          </w:p>
        </w:tc>
      </w:tr>
      <w:tr>
        <w:tblPrEx>
          <w:tblW w:w="0" w:type="auto"/>
          <w:jc w:val="left"/>
          <w:tblInd w:w="222" w:type="dxa"/>
          <w:tblLayout w:type="fixed"/>
          <w:tblCellMar>
            <w:top w:w="0" w:type="dxa"/>
            <w:left w:w="0" w:type="dxa"/>
            <w:bottom w:w="0" w:type="dxa"/>
            <w:right w:w="0" w:type="dxa"/>
          </w:tblCellMar>
          <w:tblLook w:val="01E0"/>
        </w:tblPrEx>
        <w:trPr>
          <w:trHeight w:val="935"/>
          <w:jc w:val="left"/>
        </w:trPr>
        <w:tc>
          <w:tcPr>
            <w:tcW w:w="820" w:type="dxa"/>
          </w:tcPr>
          <w:p>
            <w:pPr>
              <w:pStyle w:val="TableParagraph"/>
              <w:spacing w:before="3"/>
              <w:rPr>
                <w:rFonts w:ascii="Microsoft JhengHei"/>
                <w:b/>
                <w:sz w:val="17"/>
              </w:rPr>
            </w:pPr>
          </w:p>
          <w:p>
            <w:pPr>
              <w:pStyle w:val="TableParagraph"/>
              <w:ind w:left="10"/>
              <w:jc w:val="center"/>
              <w:rPr>
                <w:sz w:val="24"/>
              </w:rPr>
            </w:pPr>
            <w:r>
              <w:rPr>
                <w:sz w:val="24"/>
              </w:rPr>
              <w:t>9</w:t>
            </w:r>
          </w:p>
        </w:tc>
        <w:tc>
          <w:tcPr>
            <w:tcW w:w="8332" w:type="dxa"/>
          </w:tcPr>
          <w:p>
            <w:pPr>
              <w:pStyle w:val="TableParagraph"/>
              <w:spacing w:before="82"/>
              <w:ind w:left="108"/>
              <w:rPr>
                <w:sz w:val="24"/>
              </w:rPr>
            </w:pPr>
            <w:r>
              <w:rPr>
                <w:spacing w:val="-1"/>
                <w:sz w:val="24"/>
              </w:rPr>
              <w:t>反向定位功能，实现各参数界面能快速定位到拓扑图设备图标上,包括：机柜</w:t>
            </w:r>
          </w:p>
          <w:p>
            <w:pPr>
              <w:pStyle w:val="TableParagraph"/>
              <w:spacing w:before="160"/>
              <w:ind w:left="108"/>
              <w:rPr>
                <w:sz w:val="24"/>
              </w:rPr>
            </w:pPr>
            <w:r>
              <w:rPr>
                <w:spacing w:val="-1"/>
                <w:sz w:val="24"/>
              </w:rPr>
              <w:t>设备直接定位到物理拓扑上设备图标</w:t>
            </w:r>
          </w:p>
        </w:tc>
      </w:tr>
      <w:tr>
        <w:tblPrEx>
          <w:tblW w:w="0" w:type="auto"/>
          <w:jc w:val="left"/>
          <w:tblInd w:w="222" w:type="dxa"/>
          <w:tblLayout w:type="fixed"/>
          <w:tblCellMar>
            <w:top w:w="0" w:type="dxa"/>
            <w:left w:w="0" w:type="dxa"/>
            <w:bottom w:w="0" w:type="dxa"/>
            <w:right w:w="0" w:type="dxa"/>
          </w:tblCellMar>
          <w:tblLook w:val="01E0"/>
        </w:tblPrEx>
        <w:trPr>
          <w:trHeight w:val="936"/>
          <w:jc w:val="left"/>
        </w:trPr>
        <w:tc>
          <w:tcPr>
            <w:tcW w:w="820" w:type="dxa"/>
          </w:tcPr>
          <w:p>
            <w:pPr>
              <w:pStyle w:val="TableParagraph"/>
              <w:spacing w:before="3"/>
              <w:rPr>
                <w:rFonts w:ascii="Microsoft JhengHei"/>
                <w:b/>
                <w:sz w:val="17"/>
              </w:rPr>
            </w:pPr>
          </w:p>
          <w:p>
            <w:pPr>
              <w:pStyle w:val="TableParagraph"/>
              <w:ind w:left="154" w:right="144"/>
              <w:jc w:val="center"/>
              <w:rPr>
                <w:sz w:val="24"/>
              </w:rPr>
            </w:pPr>
            <w:r>
              <w:rPr>
                <w:spacing w:val="-5"/>
                <w:sz w:val="24"/>
              </w:rPr>
              <w:t>10</w:t>
            </w:r>
          </w:p>
        </w:tc>
        <w:tc>
          <w:tcPr>
            <w:tcW w:w="8332" w:type="dxa"/>
          </w:tcPr>
          <w:p>
            <w:pPr>
              <w:pStyle w:val="TableParagraph"/>
              <w:spacing w:before="4" w:line="242" w:lineRule="auto"/>
              <w:ind w:left="108" w:right="53"/>
              <w:rPr>
                <w:sz w:val="24"/>
              </w:rPr>
            </w:pPr>
            <w:r>
              <w:rPr>
                <w:spacing w:val="-7"/>
                <w:sz w:val="24"/>
              </w:rPr>
              <w:t xml:space="preserve">可以对拓扑节点设置成 </w:t>
            </w:r>
            <w:r>
              <w:rPr>
                <w:spacing w:val="-2"/>
                <w:sz w:val="24"/>
              </w:rPr>
              <w:t>1-5</w:t>
            </w:r>
            <w:r>
              <w:rPr>
                <w:spacing w:val="-15"/>
                <w:sz w:val="24"/>
              </w:rPr>
              <w:t xml:space="preserve"> 级设备，可提供 </w:t>
            </w:r>
            <w:r>
              <w:rPr>
                <w:spacing w:val="-2"/>
                <w:sz w:val="24"/>
              </w:rPr>
              <w:t>5</w:t>
            </w:r>
            <w:r>
              <w:rPr>
                <w:spacing w:val="-10"/>
                <w:sz w:val="24"/>
              </w:rPr>
              <w:t xml:space="preserve"> 个等级的粗细度线路调整，线条</w:t>
            </w:r>
            <w:r>
              <w:rPr>
                <w:spacing w:val="-1"/>
                <w:sz w:val="24"/>
              </w:rPr>
              <w:t>的颜色表示不同带宽和链路的流量情况，拓扑图中可以针对某一等级的设备、</w:t>
            </w:r>
          </w:p>
          <w:p>
            <w:pPr>
              <w:pStyle w:val="TableParagraph"/>
              <w:spacing w:before="3" w:line="288" w:lineRule="exact"/>
              <w:ind w:left="108"/>
              <w:rPr>
                <w:sz w:val="24"/>
              </w:rPr>
            </w:pPr>
            <w:r>
              <w:rPr>
                <w:spacing w:val="-1"/>
                <w:sz w:val="24"/>
              </w:rPr>
              <w:t>线路或者某种品牌、类型的设备进行分层展现。</w:t>
            </w:r>
          </w:p>
        </w:tc>
      </w:tr>
      <w:tr>
        <w:tblPrEx>
          <w:tblW w:w="0" w:type="auto"/>
          <w:jc w:val="left"/>
          <w:tblInd w:w="222" w:type="dxa"/>
          <w:tblLayout w:type="fixed"/>
          <w:tblCellMar>
            <w:top w:w="0" w:type="dxa"/>
            <w:left w:w="0" w:type="dxa"/>
            <w:bottom w:w="0" w:type="dxa"/>
            <w:right w:w="0" w:type="dxa"/>
          </w:tblCellMar>
          <w:tblLook w:val="01E0"/>
        </w:tblPrEx>
        <w:trPr>
          <w:trHeight w:val="622"/>
          <w:jc w:val="left"/>
        </w:trPr>
        <w:tc>
          <w:tcPr>
            <w:tcW w:w="820" w:type="dxa"/>
          </w:tcPr>
          <w:p>
            <w:pPr>
              <w:pStyle w:val="TableParagraph"/>
              <w:spacing w:before="159"/>
              <w:ind w:left="154" w:right="144"/>
              <w:jc w:val="center"/>
              <w:rPr>
                <w:sz w:val="24"/>
              </w:rPr>
            </w:pPr>
            <w:r>
              <w:rPr>
                <w:spacing w:val="-5"/>
                <w:sz w:val="24"/>
              </w:rPr>
              <w:t>11</w:t>
            </w:r>
          </w:p>
        </w:tc>
        <w:tc>
          <w:tcPr>
            <w:tcW w:w="8332" w:type="dxa"/>
          </w:tcPr>
          <w:p>
            <w:pPr>
              <w:pStyle w:val="TableParagraph"/>
              <w:spacing w:line="310" w:lineRule="atLeast"/>
              <w:ind w:left="108" w:right="95"/>
              <w:rPr>
                <w:sz w:val="24"/>
              </w:rPr>
            </w:pPr>
            <w:r>
              <w:rPr>
                <w:spacing w:val="-2"/>
                <w:sz w:val="24"/>
              </w:rPr>
              <w:t>可以根据需要选择是否显示或隐藏某些类型的被管对象、被管对象组（被管对</w:t>
            </w:r>
            <w:r>
              <w:rPr>
                <w:spacing w:val="-2"/>
                <w:sz w:val="24"/>
              </w:rPr>
              <w:t>象显示过滤</w:t>
            </w:r>
            <w:r>
              <w:rPr>
                <w:spacing w:val="-120"/>
                <w:sz w:val="24"/>
              </w:rPr>
              <w:t>）</w:t>
            </w:r>
            <w:r>
              <w:rPr>
                <w:sz w:val="24"/>
              </w:rPr>
              <w:t>；</w:t>
            </w:r>
          </w:p>
        </w:tc>
      </w:tr>
      <w:tr>
        <w:tblPrEx>
          <w:tblW w:w="0" w:type="auto"/>
          <w:jc w:val="left"/>
          <w:tblInd w:w="222" w:type="dxa"/>
          <w:tblLayout w:type="fixed"/>
          <w:tblCellMar>
            <w:top w:w="0" w:type="dxa"/>
            <w:left w:w="0" w:type="dxa"/>
            <w:bottom w:w="0" w:type="dxa"/>
            <w:right w:w="0" w:type="dxa"/>
          </w:tblCellMar>
          <w:tblLook w:val="01E0"/>
        </w:tblPrEx>
        <w:trPr>
          <w:trHeight w:val="933"/>
          <w:jc w:val="left"/>
        </w:trPr>
        <w:tc>
          <w:tcPr>
            <w:tcW w:w="820" w:type="dxa"/>
          </w:tcPr>
          <w:p>
            <w:pPr>
              <w:pStyle w:val="TableParagraph"/>
              <w:spacing w:before="2"/>
              <w:rPr>
                <w:rFonts w:ascii="Microsoft JhengHei"/>
                <w:b/>
                <w:sz w:val="17"/>
              </w:rPr>
            </w:pPr>
          </w:p>
          <w:p>
            <w:pPr>
              <w:pStyle w:val="TableParagraph"/>
              <w:ind w:left="154" w:right="144"/>
              <w:jc w:val="center"/>
              <w:rPr>
                <w:sz w:val="24"/>
              </w:rPr>
            </w:pPr>
            <w:r>
              <w:rPr>
                <w:spacing w:val="-5"/>
                <w:sz w:val="24"/>
              </w:rPr>
              <w:t>12</w:t>
            </w:r>
          </w:p>
        </w:tc>
        <w:tc>
          <w:tcPr>
            <w:tcW w:w="8332" w:type="dxa"/>
          </w:tcPr>
          <w:p>
            <w:pPr>
              <w:pStyle w:val="TableParagraph"/>
              <w:spacing w:line="310" w:lineRule="atLeast"/>
              <w:ind w:left="108" w:right="-29"/>
              <w:jc w:val="both"/>
              <w:rPr>
                <w:sz w:val="24"/>
              </w:rPr>
            </w:pPr>
            <w:r>
              <w:rPr>
                <w:spacing w:val="5"/>
                <w:sz w:val="24"/>
              </w:rPr>
              <w:t>网络性能管理要求能在网路拓扑图上实时监测的性能参数如网络设备性能参</w:t>
            </w:r>
            <w:r>
              <w:rPr>
                <w:spacing w:val="-12"/>
                <w:sz w:val="24"/>
              </w:rPr>
              <w:t xml:space="preserve">数包括 </w:t>
            </w:r>
            <w:r>
              <w:rPr>
                <w:sz w:val="24"/>
              </w:rPr>
              <w:t>CPU</w:t>
            </w:r>
            <w:r>
              <w:rPr>
                <w:spacing w:val="-15"/>
                <w:sz w:val="24"/>
              </w:rPr>
              <w:t xml:space="preserve"> 负载、内存利用率、连续运行时间等；线路性能参数包括：设备 </w:t>
            </w:r>
            <w:r>
              <w:rPr>
                <w:sz w:val="24"/>
              </w:rPr>
              <w:t>IP</w:t>
            </w:r>
            <w:r>
              <w:rPr>
                <w:spacing w:val="-13"/>
                <w:sz w:val="24"/>
              </w:rPr>
              <w:t>和型号、对应端口、线路连接状态、线路总流量、线路帧流量、线路广播流量、</w:t>
            </w:r>
          </w:p>
        </w:tc>
      </w:tr>
    </w:tbl>
    <w:p>
      <w:pPr>
        <w:spacing w:after="0" w:line="310" w:lineRule="atLeast"/>
        <w:jc w:val="both"/>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0" w:history="1">
        <w:r>
          <w:rPr>
            <w:rFonts w:ascii="SimSun" w:eastAsia="SimSun" w:hAnsi="SimSun" w:cs="SimSun"/>
            <w:b/>
            <w:bCs/>
            <w:color w:val="0000EE"/>
            <w:sz w:val="30"/>
            <w:szCs w:val="30"/>
            <w:u w:val="single" w:color="0000EE"/>
          </w:rPr>
          <w:t>https://d.book118.com/746221220041010053</w:t>
        </w:r>
      </w:hyperlink>
    </w:p>
    <w:p>
      <w:pPr>
        <w:spacing w:after="0" w:line="310" w:lineRule="atLeast"/>
        <w:jc w:val="both"/>
        <w:rPr>
          <w:sz w:val="24"/>
        </w:rPr>
      </w:pPr>
    </w:p>
    <w:sectPr>
      <w:headerReference w:type="default" r:id="rId61"/>
      <w:footerReference w:type="default" r:id="rId62"/>
      <w:pgSz w:w="11910" w:h="16840"/>
      <w:pgMar w:top="1080" w:right="1060" w:bottom="1040" w:left="1160" w:header="700" w:footer="841"/>
      <w:pgNumType w:start="27"/>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Wingdings">
    <w:altName w:val="Wingdings"/>
    <w:charset w:val="02"/>
    <w:family w:val="auto"/>
    <w:pitch w:val="variable"/>
    <w:sig w:usb0="00000000" w:usb1="00000000" w:usb2="00000000" w:usb3="00000000" w:csb0="80000000" w:csb1="00000000"/>
  </w:font>
  <w:font w:name="Microsoft JhengHei">
    <w:altName w:val="Microsoft JhengHei"/>
    <w:charset w:val="00"/>
    <w:family w:val="swiss"/>
    <w:pitch w:val="variable"/>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3" style="mso-position-horizontal-relative:page;mso-position-vertical-relative:page;position:absolute;z-index:-251658240"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054" type="#_x0000_t202" style="width:92pt;height:11pt;margin-top:796.73pt;margin-left:69.9pt;mso-position-horizontal-relative:page;mso-position-vertical-relative:page;position:absolute;z-index:-251657216"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055" type="#_x0000_t202" style="width:17.5pt;height:12.5pt;margin-top:798.67pt;margin-left:508.95pt;mso-position-horizontal-relative:page;mso-position-vertical-relative:page;position:absolute;z-index:-251656192"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w:t>
                </w:r>
                <w:r>
                  <w:rPr>
                    <w:spacing w:val="-5"/>
                    <w:sz w:val="21"/>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16" style="mso-position-horizontal-relative:page;mso-position-vertical-relative:page;position:absolute;z-index:-251630592"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17" type="#_x0000_t202" style="width:92pt;height:11pt;margin-top:796.73pt;margin-left:69.9pt;mso-position-horizontal-relative:page;mso-position-vertical-relative:page;position:absolute;z-index:-251629568"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18" type="#_x0000_t202" style="width:17.5pt;height:12.5pt;margin-top:798.67pt;margin-left:508.95pt;mso-position-horizontal-relative:page;mso-position-vertical-relative:page;position:absolute;z-index:-251628544"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10</w:t>
                </w:r>
                <w:r>
                  <w:rPr>
                    <w:spacing w:val="-5"/>
                    <w:sz w:val="21"/>
                  </w:rP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23" style="mso-position-horizontal-relative:page;mso-position-vertical-relative:page;position:absolute;z-index:-251627520"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24" type="#_x0000_t202" style="width:92pt;height:11pt;margin-top:796.73pt;margin-left:69.9pt;mso-position-horizontal-relative:page;mso-position-vertical-relative:page;position:absolute;z-index:-251626496"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25" type="#_x0000_t202" style="width:17.5pt;height:12.5pt;margin-top:798.67pt;margin-left:508.95pt;mso-position-horizontal-relative:page;mso-position-vertical-relative:page;position:absolute;z-index:-251625472"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11</w:t>
                </w:r>
                <w:r>
                  <w:rPr>
                    <w:spacing w:val="-5"/>
                    <w:sz w:val="21"/>
                  </w:rP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30" style="mso-position-horizontal-relative:page;mso-position-vertical-relative:page;position:absolute;z-index:-251624448"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31" type="#_x0000_t202" style="width:92pt;height:11pt;margin-top:796.73pt;margin-left:69.9pt;mso-position-horizontal-relative:page;mso-position-vertical-relative:page;position:absolute;z-index:-251623424"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32" type="#_x0000_t202" style="width:17.5pt;height:12.5pt;margin-top:798.67pt;margin-left:508.95pt;mso-position-horizontal-relative:page;mso-position-vertical-relative:page;position:absolute;z-index:-251622400"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12</w:t>
                </w:r>
                <w:r>
                  <w:rPr>
                    <w:spacing w:val="-5"/>
                    <w:sz w:val="21"/>
                  </w:rP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37" style="mso-position-horizontal-relative:page;mso-position-vertical-relative:page;position:absolute;z-index:-251621376"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38" type="#_x0000_t202" style="width:92pt;height:11pt;margin-top:796.73pt;margin-left:69.9pt;mso-position-horizontal-relative:page;mso-position-vertical-relative:page;position:absolute;z-index:-251620352"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39" type="#_x0000_t202" style="width:17.5pt;height:12.5pt;margin-top:798.67pt;margin-left:508.95pt;mso-position-horizontal-relative:page;mso-position-vertical-relative:page;position:absolute;z-index:-251619328"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13</w:t>
                </w:r>
                <w:r>
                  <w:rPr>
                    <w:spacing w:val="-5"/>
                    <w:sz w:val="21"/>
                  </w:rPr>
                  <w:fldChar w:fldCharType="end"/>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44" style="mso-position-horizontal-relative:page;mso-position-vertical-relative:page;position:absolute;z-index:-251618304"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45" type="#_x0000_t202" style="width:92pt;height:11pt;margin-top:796.73pt;margin-left:69.9pt;mso-position-horizontal-relative:page;mso-position-vertical-relative:page;position:absolute;z-index:-251617280"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46" type="#_x0000_t202" style="width:17.5pt;height:12.5pt;margin-top:798.67pt;margin-left:508.95pt;mso-position-horizontal-relative:page;mso-position-vertical-relative:page;position:absolute;z-index:-251616256"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14</w:t>
                </w:r>
                <w:r>
                  <w:rPr>
                    <w:spacing w:val="-5"/>
                    <w:sz w:val="21"/>
                  </w:rPr>
                  <w:fldChar w:fldCharType="end"/>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51" style="mso-position-horizontal-relative:page;mso-position-vertical-relative:page;position:absolute;z-index:-251615232"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52" type="#_x0000_t202" style="width:92pt;height:11pt;margin-top:796.73pt;margin-left:69.9pt;mso-position-horizontal-relative:page;mso-position-vertical-relative:page;position:absolute;z-index:-251614208"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53" type="#_x0000_t202" style="width:17.5pt;height:12.5pt;margin-top:798.67pt;margin-left:508.95pt;mso-position-horizontal-relative:page;mso-position-vertical-relative:page;position:absolute;z-index:-251613184"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15</w:t>
                </w:r>
                <w:r>
                  <w:rPr>
                    <w:spacing w:val="-5"/>
                    <w:sz w:val="21"/>
                  </w:rPr>
                  <w:fldChar w:fldCharType="end"/>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58" style="mso-position-horizontal-relative:page;mso-position-vertical-relative:page;position:absolute;z-index:-251612160"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59" type="#_x0000_t202" style="width:92pt;height:11pt;margin-top:796.73pt;margin-left:69.9pt;mso-position-horizontal-relative:page;mso-position-vertical-relative:page;position:absolute;z-index:-251611136"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60" type="#_x0000_t202" style="width:17.5pt;height:12.5pt;margin-top:798.67pt;margin-left:508.95pt;mso-position-horizontal-relative:page;mso-position-vertical-relative:page;position:absolute;z-index:-251610112"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16</w:t>
                </w:r>
                <w:r>
                  <w:rPr>
                    <w:spacing w:val="-5"/>
                    <w:sz w:val="21"/>
                  </w:rPr>
                  <w:fldChar w:fldCharType="end"/>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65" style="mso-position-horizontal-relative:page;mso-position-vertical-relative:page;position:absolute;z-index:-251609088"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66" type="#_x0000_t202" style="width:92pt;height:11pt;margin-top:796.73pt;margin-left:69.9pt;mso-position-horizontal-relative:page;mso-position-vertical-relative:page;position:absolute;z-index:-251608064"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67" type="#_x0000_t202" style="width:17.5pt;height:12.5pt;margin-top:798.67pt;margin-left:508.95pt;mso-position-horizontal-relative:page;mso-position-vertical-relative:page;position:absolute;z-index:-251607040"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17</w:t>
                </w:r>
                <w:r>
                  <w:rPr>
                    <w:spacing w:val="-5"/>
                    <w:sz w:val="21"/>
                  </w:rPr>
                  <w:fldChar w:fldCharType="end"/>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72" style="mso-position-horizontal-relative:page;mso-position-vertical-relative:page;position:absolute;z-index:-251606016"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73" type="#_x0000_t202" style="width:92pt;height:11pt;margin-top:796.73pt;margin-left:69.9pt;mso-position-horizontal-relative:page;mso-position-vertical-relative:page;position:absolute;z-index:-251604992"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74" type="#_x0000_t202" style="width:17.5pt;height:12.5pt;margin-top:798.67pt;margin-left:508.95pt;mso-position-horizontal-relative:page;mso-position-vertical-relative:page;position:absolute;z-index:-251603968"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18</w:t>
                </w:r>
                <w:r>
                  <w:rPr>
                    <w:spacing w:val="-5"/>
                    <w:sz w:val="21"/>
                  </w:rPr>
                  <w:fldChar w:fldCharType="end"/>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79" style="mso-position-horizontal-relative:page;mso-position-vertical-relative:page;position:absolute;z-index:-251602944"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80" type="#_x0000_t202" style="width:92pt;height:11pt;margin-top:796.73pt;margin-left:69.9pt;mso-position-horizontal-relative:page;mso-position-vertical-relative:page;position:absolute;z-index:-251601920"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81" type="#_x0000_t202" style="width:17.5pt;height:12.5pt;margin-top:798.67pt;margin-left:508.95pt;mso-position-horizontal-relative:page;mso-position-vertical-relative:page;position:absolute;z-index:-251600896"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19</w:t>
                </w:r>
                <w:r>
                  <w:rPr>
                    <w:spacing w:val="-5"/>
                    <w:sz w:val="21"/>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0" style="mso-position-horizontal-relative:page;mso-position-vertical-relative:page;position:absolute;z-index:-251655168"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061" type="#_x0000_t202" style="width:92pt;height:11pt;margin-top:796.73pt;margin-left:69.9pt;mso-position-horizontal-relative:page;mso-position-vertical-relative:page;position:absolute;z-index:-251654144"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062" type="#_x0000_t202" style="width:17.5pt;height:12.5pt;margin-top:798.67pt;margin-left:508.95pt;mso-position-horizontal-relative:page;mso-position-vertical-relative:page;position:absolute;z-index:-251653120"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2</w:t>
                </w:r>
                <w:r>
                  <w:rPr>
                    <w:spacing w:val="-5"/>
                    <w:sz w:val="21"/>
                  </w:rPr>
                  <w:fldChar w:fldCharType="end"/>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86" style="mso-position-horizontal-relative:page;mso-position-vertical-relative:page;position:absolute;z-index:-251599872"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87" type="#_x0000_t202" style="width:92pt;height:11pt;margin-top:796.73pt;margin-left:69.9pt;mso-position-horizontal-relative:page;mso-position-vertical-relative:page;position:absolute;z-index:-251598848"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88" type="#_x0000_t202" style="width:17.5pt;height:12.5pt;margin-top:798.67pt;margin-left:508.95pt;mso-position-horizontal-relative:page;mso-position-vertical-relative:page;position:absolute;z-index:-251597824"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20</w:t>
                </w:r>
                <w:r>
                  <w:rPr>
                    <w:spacing w:val="-5"/>
                    <w:sz w:val="21"/>
                  </w:rPr>
                  <w:fldChar w:fldCharType="end"/>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93" style="mso-position-horizontal-relative:page;mso-position-vertical-relative:page;position:absolute;z-index:-251596800"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94" type="#_x0000_t202" style="width:92pt;height:11pt;margin-top:796.73pt;margin-left:69.9pt;mso-position-horizontal-relative:page;mso-position-vertical-relative:page;position:absolute;z-index:-251595776"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95" type="#_x0000_t202" style="width:17.5pt;height:12.5pt;margin-top:798.67pt;margin-left:508.95pt;mso-position-horizontal-relative:page;mso-position-vertical-relative:page;position:absolute;z-index:-251594752"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21</w:t>
                </w:r>
                <w:r>
                  <w:rPr>
                    <w:spacing w:val="-5"/>
                    <w:sz w:val="21"/>
                  </w:rPr>
                  <w:fldChar w:fldCharType="end"/>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00" style="mso-position-horizontal-relative:page;mso-position-vertical-relative:page;position:absolute;z-index:-251593728"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201" type="#_x0000_t202" style="width:92pt;height:11pt;margin-top:796.73pt;margin-left:69.9pt;mso-position-horizontal-relative:page;mso-position-vertical-relative:page;position:absolute;z-index:-251592704"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202" type="#_x0000_t202" style="width:17.5pt;height:12.5pt;margin-top:798.67pt;margin-left:508.95pt;mso-position-horizontal-relative:page;mso-position-vertical-relative:page;position:absolute;z-index:-251591680"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22</w:t>
                </w:r>
                <w:r>
                  <w:rPr>
                    <w:spacing w:val="-5"/>
                    <w:sz w:val="21"/>
                  </w:rPr>
                  <w:fldChar w:fldCharType="end"/>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07" style="mso-position-horizontal-relative:page;mso-position-vertical-relative:page;position:absolute;z-index:-251590656"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208" type="#_x0000_t202" style="width:92pt;height:11pt;margin-top:796.73pt;margin-left:69.9pt;mso-position-horizontal-relative:page;mso-position-vertical-relative:page;position:absolute;z-index:-251589632"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209" type="#_x0000_t202" style="width:17.5pt;height:12.5pt;margin-top:798.67pt;margin-left:508.95pt;mso-position-horizontal-relative:page;mso-position-vertical-relative:page;position:absolute;z-index:-251588608"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23</w:t>
                </w:r>
                <w:r>
                  <w:rPr>
                    <w:spacing w:val="-5"/>
                    <w:sz w:val="21"/>
                  </w:rPr>
                  <w:fldChar w:fldCharType="end"/>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14" style="mso-position-horizontal-relative:page;mso-position-vertical-relative:page;position:absolute;z-index:-251587584"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215" type="#_x0000_t202" style="width:92pt;height:11pt;margin-top:796.73pt;margin-left:69.9pt;mso-position-horizontal-relative:page;mso-position-vertical-relative:page;position:absolute;z-index:-251586560"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216" type="#_x0000_t202" style="width:17.5pt;height:12.5pt;margin-top:798.67pt;margin-left:508.95pt;mso-position-horizontal-relative:page;mso-position-vertical-relative:page;position:absolute;z-index:-251585536"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24</w:t>
                </w:r>
                <w:r>
                  <w:rPr>
                    <w:spacing w:val="-5"/>
                    <w:sz w:val="21"/>
                  </w:rPr>
                  <w:fldChar w:fldCharType="end"/>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21" style="mso-position-horizontal-relative:page;mso-position-vertical-relative:page;position:absolute;z-index:-251584512"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222" type="#_x0000_t202" style="width:92pt;height:11pt;margin-top:796.73pt;margin-left:69.9pt;mso-position-horizontal-relative:page;mso-position-vertical-relative:page;position:absolute;z-index:-251583488"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223" type="#_x0000_t202" style="width:17.5pt;height:12.5pt;margin-top:798.67pt;margin-left:508.95pt;mso-position-horizontal-relative:page;mso-position-vertical-relative:page;position:absolute;z-index:-251582464"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25</w:t>
                </w:r>
                <w:r>
                  <w:rPr>
                    <w:spacing w:val="-5"/>
                    <w:sz w:val="21"/>
                  </w:rPr>
                  <w:fldChar w:fldCharType="end"/>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28" style="mso-position-horizontal-relative:page;mso-position-vertical-relative:page;position:absolute;z-index:-251581440"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229" type="#_x0000_t202" style="width:92pt;height:11pt;margin-top:796.73pt;margin-left:69.9pt;mso-position-horizontal-relative:page;mso-position-vertical-relative:page;position:absolute;z-index:-251580416"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230" type="#_x0000_t202" style="width:17.5pt;height:12.5pt;margin-top:798.67pt;margin-left:508.95pt;mso-position-horizontal-relative:page;mso-position-vertical-relative:page;position:absolute;z-index:-251579392"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26</w:t>
                </w:r>
                <w:r>
                  <w:rPr>
                    <w:spacing w:val="-5"/>
                    <w:sz w:val="21"/>
                  </w:rPr>
                  <w:fldChar w:fldCharType="end"/>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35" style="mso-position-horizontal-relative:page;mso-position-vertical-relative:page;position:absolute;z-index:-251578368"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236" type="#_x0000_t202" style="width:92pt;height:11pt;margin-top:796.73pt;margin-left:69.9pt;mso-position-horizontal-relative:page;mso-position-vertical-relative:page;position:absolute;z-index:-251577344"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237" type="#_x0000_t202" style="width:17.5pt;height:12.5pt;margin-top:798.67pt;margin-left:508.95pt;mso-position-horizontal-relative:page;mso-position-vertical-relative:page;position:absolute;z-index:-251576320"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28</w:t>
                </w:r>
                <w:r>
                  <w:rPr>
                    <w:spacing w:val="-5"/>
                    <w:sz w:val="21"/>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7" style="mso-position-horizontal-relative:page;mso-position-vertical-relative:page;position:absolute;z-index:-251652096"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068" type="#_x0000_t202" style="width:92pt;height:11pt;margin-top:796.73pt;margin-left:69.9pt;mso-position-horizontal-relative:page;mso-position-vertical-relative:page;position:absolute;z-index:-251651072"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069" type="#_x0000_t202" style="width:17.5pt;height:12.5pt;margin-top:798.67pt;margin-left:508.95pt;mso-position-horizontal-relative:page;mso-position-vertical-relative:page;position:absolute;z-index:-251650048"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3</w:t>
                </w:r>
                <w:r>
                  <w:rPr>
                    <w:spacing w:val="-5"/>
                    <w:sz w:val="21"/>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4" style="mso-position-horizontal-relative:page;mso-position-vertical-relative:page;position:absolute;z-index:-251649024"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075" type="#_x0000_t202" style="width:92pt;height:11pt;margin-top:796.73pt;margin-left:69.9pt;mso-position-horizontal-relative:page;mso-position-vertical-relative:page;position:absolute;z-index:-251648000"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076" type="#_x0000_t202" style="width:17.5pt;height:12.5pt;margin-top:798.67pt;margin-left:508.95pt;mso-position-horizontal-relative:page;mso-position-vertical-relative:page;position:absolute;z-index:-251646976"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4</w:t>
                </w:r>
                <w:r>
                  <w:rPr>
                    <w:spacing w:val="-5"/>
                    <w:sz w:val="21"/>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81" style="mso-position-horizontal-relative:page;mso-position-vertical-relative:page;position:absolute;z-index:-251645952"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082" type="#_x0000_t202" style="width:92pt;height:11pt;margin-top:796.73pt;margin-left:69.9pt;mso-position-horizontal-relative:page;mso-position-vertical-relative:page;position:absolute;z-index:-251644928"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083" type="#_x0000_t202" style="width:17.5pt;height:12.5pt;margin-top:798.67pt;margin-left:508.95pt;mso-position-horizontal-relative:page;mso-position-vertical-relative:page;position:absolute;z-index:-251643904"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5</w:t>
                </w:r>
                <w:r>
                  <w:rPr>
                    <w:spacing w:val="-5"/>
                    <w:sz w:val="21"/>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88" style="mso-position-horizontal-relative:page;mso-position-vertical-relative:page;position:absolute;z-index:-251642880"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089" type="#_x0000_t202" style="width:92pt;height:11pt;margin-top:796.73pt;margin-left:69.9pt;mso-position-horizontal-relative:page;mso-position-vertical-relative:page;position:absolute;z-index:-251641856"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090" type="#_x0000_t202" style="width:17.5pt;height:12.5pt;margin-top:798.67pt;margin-left:508.95pt;mso-position-horizontal-relative:page;mso-position-vertical-relative:page;position:absolute;z-index:-251640832"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6</w:t>
                </w:r>
                <w:r>
                  <w:rPr>
                    <w:spacing w:val="-5"/>
                    <w:sz w:val="21"/>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95" style="mso-position-horizontal-relative:page;mso-position-vertical-relative:page;position:absolute;z-index:-251639808"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096" type="#_x0000_t202" style="width:92pt;height:11pt;margin-top:796.73pt;margin-left:69.9pt;mso-position-horizontal-relative:page;mso-position-vertical-relative:page;position:absolute;z-index:-251638784"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097" type="#_x0000_t202" style="width:17.5pt;height:12.5pt;margin-top:798.67pt;margin-left:508.95pt;mso-position-horizontal-relative:page;mso-position-vertical-relative:page;position:absolute;z-index:-251637760"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7</w:t>
                </w:r>
                <w:r>
                  <w:rPr>
                    <w:spacing w:val="-5"/>
                    <w:sz w:val="21"/>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02" style="mso-position-horizontal-relative:page;mso-position-vertical-relative:page;position:absolute;z-index:-251636736"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03" type="#_x0000_t202" style="width:92pt;height:11pt;margin-top:796.73pt;margin-left:69.9pt;mso-position-horizontal-relative:page;mso-position-vertical-relative:page;position:absolute;z-index:-251635712"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04" type="#_x0000_t202" style="width:17.5pt;height:12.5pt;margin-top:798.67pt;margin-left:508.95pt;mso-position-horizontal-relative:page;mso-position-vertical-relative:page;position:absolute;z-index:-251634688"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8</w:t>
                </w:r>
                <w:r>
                  <w:rPr>
                    <w:spacing w:val="-5"/>
                    <w:sz w:val="21"/>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09" style="mso-position-horizontal-relative:page;mso-position-vertical-relative:page;position:absolute;z-index:-251633664" from="61.9pt,790.35pt" to="502.9pt,790.35pt" stroked="t" strokecolor="black" strokeweight="0.75pt">
          <v:stroke dashstyle="solid"/>
        </v:line>
      </w:pict>
    </w:r>
    <w:r>
      <w:pict>
        <v:shapetype id="_x0000_t202" coordsize="21600,21600" o:spt="202" path="m,l,21600r21600,l21600,xe">
          <v:stroke joinstyle="miter"/>
          <v:path gradientshapeok="t" o:connecttype="rect"/>
        </v:shapetype>
        <v:shape id="_x0000_s2110" type="#_x0000_t202" style="width:92pt;height:11pt;margin-top:796.73pt;margin-left:69.9pt;mso-position-horizontal-relative:page;mso-position-vertical-relative:page;position:absolute;z-index:-251632640" filled="f" stroked="f">
          <v:textbox inset="0,0,0,0">
            <w:txbxContent>
              <w:p>
                <w:pPr>
                  <w:spacing w:before="0" w:line="220" w:lineRule="exact"/>
                  <w:ind w:left="20" w:right="0" w:firstLine="0"/>
                  <w:jc w:val="left"/>
                  <w:rPr>
                    <w:sz w:val="18"/>
                  </w:rPr>
                </w:pPr>
                <w:r>
                  <w:rPr>
                    <w:spacing w:val="-1"/>
                    <w:sz w:val="18"/>
                  </w:rPr>
                  <w:t>广东志正招标有限公司</w:t>
                </w:r>
              </w:p>
            </w:txbxContent>
          </v:textbox>
        </v:shape>
      </w:pict>
    </w:r>
    <w:r>
      <w:pict>
        <v:shape id="_x0000_s2111" type="#_x0000_t202" style="width:17.5pt;height:12.5pt;margin-top:798.67pt;margin-left:508.95pt;mso-position-horizontal-relative:page;mso-position-vertical-relative:page;position:absolute;z-index:-251631616" filled="f" stroked="f">
          <v:textbox inset="0,0,0,0">
            <w:txbxContent>
              <w:p>
                <w:pPr>
                  <w:spacing w:before="0" w:line="250" w:lineRule="exact"/>
                  <w:ind w:left="60" w:right="0" w:firstLine="0"/>
                  <w:jc w:val="left"/>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9</w:t>
                </w:r>
                <w:r>
                  <w:rPr>
                    <w:spacing w:val="-5"/>
                    <w:sz w:val="21"/>
                  </w:rPr>
                  <w:fldChar w:fldCharType="end"/>
                </w:r>
              </w:p>
            </w:txbxContent>
          </v:textbox>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style="mso-position-horizontal-relative:page;mso-position-vertical-relative:page;position:absolute;z-index:-251658240"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050" type="#_x0000_t202" style="width:227pt;height:11pt;margin-top:34.41pt;margin-left:69.9pt;mso-position-horizontal-relative:page;mso-position-vertical-relative:page;position:absolute;z-index:-251657216"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051" type="#_x0000_t202" style="width:38pt;height:11pt;margin-top:34.41pt;margin-left:312.9pt;mso-position-horizontal-relative:page;mso-position-vertical-relative:page;position:absolute;z-index:-251656192"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052" type="#_x0000_t202" style="width:138.3pt;height:12.1pt;margin-top:33.99pt;margin-left:375.9pt;mso-position-horizontal-relative:page;mso-position-vertical-relative:page;position:absolute;z-index:-251655168"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12" style="mso-position-horizontal-relative:page;mso-position-vertical-relative:page;position:absolute;z-index:-251621376"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13" type="#_x0000_t202" style="width:227pt;height:11pt;margin-top:34.41pt;margin-left:69.9pt;mso-position-horizontal-relative:page;mso-position-vertical-relative:page;position:absolute;z-index:-251620352"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14" type="#_x0000_t202" style="width:38pt;height:11pt;margin-top:34.41pt;margin-left:312.9pt;mso-position-horizontal-relative:page;mso-position-vertical-relative:page;position:absolute;z-index:-251619328"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15" type="#_x0000_t202" style="width:138.3pt;height:12.1pt;margin-top:33.99pt;margin-left:375.9pt;mso-position-horizontal-relative:page;mso-position-vertical-relative:page;position:absolute;z-index:-251618304"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19" style="mso-position-horizontal-relative:page;mso-position-vertical-relative:page;position:absolute;z-index:-251617280"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20" type="#_x0000_t202" style="width:227pt;height:11pt;margin-top:34.41pt;margin-left:69.9pt;mso-position-horizontal-relative:page;mso-position-vertical-relative:page;position:absolute;z-index:-251616256"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21" type="#_x0000_t202" style="width:38pt;height:11pt;margin-top:34.41pt;margin-left:312.9pt;mso-position-horizontal-relative:page;mso-position-vertical-relative:page;position:absolute;z-index:-251615232"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22" type="#_x0000_t202" style="width:138.3pt;height:12.1pt;margin-top:33.99pt;margin-left:375.9pt;mso-position-horizontal-relative:page;mso-position-vertical-relative:page;position:absolute;z-index:-251614208"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26" style="mso-position-horizontal-relative:page;mso-position-vertical-relative:page;position:absolute;z-index:-251613184"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27" type="#_x0000_t202" style="width:227pt;height:11pt;margin-top:34.41pt;margin-left:69.9pt;mso-position-horizontal-relative:page;mso-position-vertical-relative:page;position:absolute;z-index:-251612160"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28" type="#_x0000_t202" style="width:38pt;height:11pt;margin-top:34.41pt;margin-left:312.9pt;mso-position-horizontal-relative:page;mso-position-vertical-relative:page;position:absolute;z-index:-251611136"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29" type="#_x0000_t202" style="width:138.3pt;height:12.1pt;margin-top:33.99pt;margin-left:375.9pt;mso-position-horizontal-relative:page;mso-position-vertical-relative:page;position:absolute;z-index:-251610112"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33" style="mso-position-horizontal-relative:page;mso-position-vertical-relative:page;position:absolute;z-index:-251609088"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34" type="#_x0000_t202" style="width:227pt;height:11pt;margin-top:34.41pt;margin-left:69.9pt;mso-position-horizontal-relative:page;mso-position-vertical-relative:page;position:absolute;z-index:-251608064"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35" type="#_x0000_t202" style="width:38pt;height:11pt;margin-top:34.41pt;margin-left:312.9pt;mso-position-horizontal-relative:page;mso-position-vertical-relative:page;position:absolute;z-index:-251607040"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36" type="#_x0000_t202" style="width:138.3pt;height:12.1pt;margin-top:33.99pt;margin-left:375.9pt;mso-position-horizontal-relative:page;mso-position-vertical-relative:page;position:absolute;z-index:-251606016"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40" style="mso-position-horizontal-relative:page;mso-position-vertical-relative:page;position:absolute;z-index:-251604992"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41" type="#_x0000_t202" style="width:227pt;height:11pt;margin-top:34.41pt;margin-left:69.9pt;mso-position-horizontal-relative:page;mso-position-vertical-relative:page;position:absolute;z-index:-251603968"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42" type="#_x0000_t202" style="width:38pt;height:11pt;margin-top:34.41pt;margin-left:312.9pt;mso-position-horizontal-relative:page;mso-position-vertical-relative:page;position:absolute;z-index:-251602944"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43" type="#_x0000_t202" style="width:138.3pt;height:12.1pt;margin-top:33.99pt;margin-left:375.9pt;mso-position-horizontal-relative:page;mso-position-vertical-relative:page;position:absolute;z-index:-251601920"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47" style="mso-position-horizontal-relative:page;mso-position-vertical-relative:page;position:absolute;z-index:-251600896"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48" type="#_x0000_t202" style="width:227pt;height:11pt;margin-top:34.41pt;margin-left:69.9pt;mso-position-horizontal-relative:page;mso-position-vertical-relative:page;position:absolute;z-index:-251599872"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49" type="#_x0000_t202" style="width:38pt;height:11pt;margin-top:34.41pt;margin-left:312.9pt;mso-position-horizontal-relative:page;mso-position-vertical-relative:page;position:absolute;z-index:-251598848"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50" type="#_x0000_t202" style="width:138.3pt;height:12.1pt;margin-top:33.99pt;margin-left:375.9pt;mso-position-horizontal-relative:page;mso-position-vertical-relative:page;position:absolute;z-index:-251597824"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54" style="mso-position-horizontal-relative:page;mso-position-vertical-relative:page;position:absolute;z-index:-251596800"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55" type="#_x0000_t202" style="width:227pt;height:11pt;margin-top:34.41pt;margin-left:69.9pt;mso-position-horizontal-relative:page;mso-position-vertical-relative:page;position:absolute;z-index:-251595776"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56" type="#_x0000_t202" style="width:38pt;height:11pt;margin-top:34.41pt;margin-left:312.9pt;mso-position-horizontal-relative:page;mso-position-vertical-relative:page;position:absolute;z-index:-251594752"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57" type="#_x0000_t202" style="width:138.3pt;height:12.1pt;margin-top:33.99pt;margin-left:375.9pt;mso-position-horizontal-relative:page;mso-position-vertical-relative:page;position:absolute;z-index:-251593728"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61" style="mso-position-horizontal-relative:page;mso-position-vertical-relative:page;position:absolute;z-index:-251592704"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62" type="#_x0000_t202" style="width:227pt;height:11pt;margin-top:34.41pt;margin-left:69.9pt;mso-position-horizontal-relative:page;mso-position-vertical-relative:page;position:absolute;z-index:-251591680"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63" type="#_x0000_t202" style="width:38pt;height:11pt;margin-top:34.41pt;margin-left:312.9pt;mso-position-horizontal-relative:page;mso-position-vertical-relative:page;position:absolute;z-index:-251590656"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64" type="#_x0000_t202" style="width:138.3pt;height:12.1pt;margin-top:33.99pt;margin-left:375.9pt;mso-position-horizontal-relative:page;mso-position-vertical-relative:page;position:absolute;z-index:-251589632"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68" style="mso-position-horizontal-relative:page;mso-position-vertical-relative:page;position:absolute;z-index:-251588608"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69" type="#_x0000_t202" style="width:227pt;height:11pt;margin-top:34.41pt;margin-left:69.9pt;mso-position-horizontal-relative:page;mso-position-vertical-relative:page;position:absolute;z-index:-251587584"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70" type="#_x0000_t202" style="width:38pt;height:11pt;margin-top:34.41pt;margin-left:312.9pt;mso-position-horizontal-relative:page;mso-position-vertical-relative:page;position:absolute;z-index:-251586560"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71" type="#_x0000_t202" style="width:138.3pt;height:12.1pt;margin-top:33.99pt;margin-left:375.9pt;mso-position-horizontal-relative:page;mso-position-vertical-relative:page;position:absolute;z-index:-251585536"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75" style="mso-position-horizontal-relative:page;mso-position-vertical-relative:page;position:absolute;z-index:-251584512"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76" type="#_x0000_t202" style="width:227pt;height:11pt;margin-top:34.41pt;margin-left:69.9pt;mso-position-horizontal-relative:page;mso-position-vertical-relative:page;position:absolute;z-index:-251583488"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77" type="#_x0000_t202" style="width:38pt;height:11pt;margin-top:34.41pt;margin-left:312.9pt;mso-position-horizontal-relative:page;mso-position-vertical-relative:page;position:absolute;z-index:-251582464"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78" type="#_x0000_t202" style="width:138.3pt;height:12.1pt;margin-top:33.99pt;margin-left:375.9pt;mso-position-horizontal-relative:page;mso-position-vertical-relative:page;position:absolute;z-index:-251581440"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6" style="mso-position-horizontal-relative:page;mso-position-vertical-relative:page;position:absolute;z-index:-251654144"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057" type="#_x0000_t202" style="width:227pt;height:11pt;margin-top:34.41pt;margin-left:69.9pt;mso-position-horizontal-relative:page;mso-position-vertical-relative:page;position:absolute;z-index:-251653120"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058" type="#_x0000_t202" style="width:38pt;height:11pt;margin-top:34.41pt;margin-left:312.9pt;mso-position-horizontal-relative:page;mso-position-vertical-relative:page;position:absolute;z-index:-251652096"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059" type="#_x0000_t202" style="width:138.3pt;height:12.1pt;margin-top:33.99pt;margin-left:375.9pt;mso-position-horizontal-relative:page;mso-position-vertical-relative:page;position:absolute;z-index:-251651072"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82" style="mso-position-horizontal-relative:page;mso-position-vertical-relative:page;position:absolute;z-index:-251580416"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83" type="#_x0000_t202" style="width:227pt;height:11pt;margin-top:34.41pt;margin-left:69.9pt;mso-position-horizontal-relative:page;mso-position-vertical-relative:page;position:absolute;z-index:-251579392"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84" type="#_x0000_t202" style="width:38pt;height:11pt;margin-top:34.41pt;margin-left:312.9pt;mso-position-horizontal-relative:page;mso-position-vertical-relative:page;position:absolute;z-index:-251578368"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85" type="#_x0000_t202" style="width:138.3pt;height:12.1pt;margin-top:33.99pt;margin-left:375.9pt;mso-position-horizontal-relative:page;mso-position-vertical-relative:page;position:absolute;z-index:-251577344"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89" style="mso-position-horizontal-relative:page;mso-position-vertical-relative:page;position:absolute;z-index:-251576320"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90" type="#_x0000_t202" style="width:227pt;height:11pt;margin-top:34.41pt;margin-left:69.9pt;mso-position-horizontal-relative:page;mso-position-vertical-relative:page;position:absolute;z-index:-251575296"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91" type="#_x0000_t202" style="width:38pt;height:11pt;margin-top:34.41pt;margin-left:312.9pt;mso-position-horizontal-relative:page;mso-position-vertical-relative:page;position:absolute;z-index:-251574272"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92" type="#_x0000_t202" style="width:138.3pt;height:12.1pt;margin-top:33.99pt;margin-left:375.9pt;mso-position-horizontal-relative:page;mso-position-vertical-relative:page;position:absolute;z-index:-251573248"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96" style="mso-position-horizontal-relative:page;mso-position-vertical-relative:page;position:absolute;z-index:-251572224"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97" type="#_x0000_t202" style="width:227pt;height:11pt;margin-top:34.41pt;margin-left:69.9pt;mso-position-horizontal-relative:page;mso-position-vertical-relative:page;position:absolute;z-index:-251571200"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98" type="#_x0000_t202" style="width:38pt;height:11pt;margin-top:34.41pt;margin-left:312.9pt;mso-position-horizontal-relative:page;mso-position-vertical-relative:page;position:absolute;z-index:-251570176"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99" type="#_x0000_t202" style="width:138.3pt;height:12.1pt;margin-top:33.99pt;margin-left:375.9pt;mso-position-horizontal-relative:page;mso-position-vertical-relative:page;position:absolute;z-index:-251569152"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03" style="mso-position-horizontal-relative:page;mso-position-vertical-relative:page;position:absolute;z-index:-251568128"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204" type="#_x0000_t202" style="width:227pt;height:11pt;margin-top:34.41pt;margin-left:69.9pt;mso-position-horizontal-relative:page;mso-position-vertical-relative:page;position:absolute;z-index:-251567104"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205" type="#_x0000_t202" style="width:38pt;height:11pt;margin-top:34.41pt;margin-left:312.9pt;mso-position-horizontal-relative:page;mso-position-vertical-relative:page;position:absolute;z-index:-251566080"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206" type="#_x0000_t202" style="width:138.3pt;height:12.1pt;margin-top:33.99pt;margin-left:375.9pt;mso-position-horizontal-relative:page;mso-position-vertical-relative:page;position:absolute;z-index:-251565056"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10" style="mso-position-horizontal-relative:page;mso-position-vertical-relative:page;position:absolute;z-index:-251564032"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211" type="#_x0000_t202" style="width:227pt;height:11pt;margin-top:34.41pt;margin-left:69.9pt;mso-position-horizontal-relative:page;mso-position-vertical-relative:page;position:absolute;z-index:-251563008"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212" type="#_x0000_t202" style="width:38pt;height:11pt;margin-top:34.41pt;margin-left:312.9pt;mso-position-horizontal-relative:page;mso-position-vertical-relative:page;position:absolute;z-index:-251561984"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213" type="#_x0000_t202" style="width:138.3pt;height:12.1pt;margin-top:33.99pt;margin-left:375.9pt;mso-position-horizontal-relative:page;mso-position-vertical-relative:page;position:absolute;z-index:-251560960"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17" style="mso-position-horizontal-relative:page;mso-position-vertical-relative:page;position:absolute;z-index:-251559936"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218" type="#_x0000_t202" style="width:227pt;height:11pt;margin-top:34.41pt;margin-left:69.9pt;mso-position-horizontal-relative:page;mso-position-vertical-relative:page;position:absolute;z-index:-251558912"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219" type="#_x0000_t202" style="width:38pt;height:11pt;margin-top:34.41pt;margin-left:312.9pt;mso-position-horizontal-relative:page;mso-position-vertical-relative:page;position:absolute;z-index:-251557888"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220" type="#_x0000_t202" style="width:138.3pt;height:12.1pt;margin-top:33.99pt;margin-left:375.9pt;mso-position-horizontal-relative:page;mso-position-vertical-relative:page;position:absolute;z-index:-251556864"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24" style="mso-position-horizontal-relative:page;mso-position-vertical-relative:page;position:absolute;z-index:-251555840"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225" type="#_x0000_t202" style="width:227pt;height:11pt;margin-top:34.41pt;margin-left:69.9pt;mso-position-horizontal-relative:page;mso-position-vertical-relative:page;position:absolute;z-index:-251554816"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226" type="#_x0000_t202" style="width:38pt;height:11pt;margin-top:34.41pt;margin-left:312.9pt;mso-position-horizontal-relative:page;mso-position-vertical-relative:page;position:absolute;z-index:-251553792"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227" type="#_x0000_t202" style="width:138.3pt;height:12.1pt;margin-top:33.99pt;margin-left:375.9pt;mso-position-horizontal-relative:page;mso-position-vertical-relative:page;position:absolute;z-index:-251552768"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31" style="mso-position-horizontal-relative:page;mso-position-vertical-relative:page;position:absolute;z-index:-251551744"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232" type="#_x0000_t202" style="width:227pt;height:11pt;margin-top:34.41pt;margin-left:69.9pt;mso-position-horizontal-relative:page;mso-position-vertical-relative:page;position:absolute;z-index:-251550720"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233" type="#_x0000_t202" style="width:38pt;height:11pt;margin-top:34.41pt;margin-left:312.9pt;mso-position-horizontal-relative:page;mso-position-vertical-relative:page;position:absolute;z-index:-251549696"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234" type="#_x0000_t202" style="width:138.3pt;height:12.1pt;margin-top:33.99pt;margin-left:375.9pt;mso-position-horizontal-relative:page;mso-position-vertical-relative:page;position:absolute;z-index:-251548672"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3" style="mso-position-horizontal-relative:page;mso-position-vertical-relative:page;position:absolute;z-index:-251650048"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064" type="#_x0000_t202" style="width:227pt;height:11pt;margin-top:34.41pt;margin-left:69.9pt;mso-position-horizontal-relative:page;mso-position-vertical-relative:page;position:absolute;z-index:-251649024"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065" type="#_x0000_t202" style="width:38pt;height:11pt;margin-top:34.41pt;margin-left:312.9pt;mso-position-horizontal-relative:page;mso-position-vertical-relative:page;position:absolute;z-index:-251648000"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066" type="#_x0000_t202" style="width:138.3pt;height:12.1pt;margin-top:33.99pt;margin-left:375.9pt;mso-position-horizontal-relative:page;mso-position-vertical-relative:page;position:absolute;z-index:-251646976"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0" style="mso-position-horizontal-relative:page;mso-position-vertical-relative:page;position:absolute;z-index:-251645952"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071" type="#_x0000_t202" style="width:227pt;height:11pt;margin-top:34.41pt;margin-left:69.9pt;mso-position-horizontal-relative:page;mso-position-vertical-relative:page;position:absolute;z-index:-251644928"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072" type="#_x0000_t202" style="width:38pt;height:11pt;margin-top:34.41pt;margin-left:312.9pt;mso-position-horizontal-relative:page;mso-position-vertical-relative:page;position:absolute;z-index:-251643904"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073" type="#_x0000_t202" style="width:138.3pt;height:12.1pt;margin-top:33.99pt;margin-left:375.9pt;mso-position-horizontal-relative:page;mso-position-vertical-relative:page;position:absolute;z-index:-251642880"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7" style="mso-position-horizontal-relative:page;mso-position-vertical-relative:page;position:absolute;z-index:-251641856"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078" type="#_x0000_t202" style="width:227pt;height:11pt;margin-top:34.41pt;margin-left:69.9pt;mso-position-horizontal-relative:page;mso-position-vertical-relative:page;position:absolute;z-index:-251640832"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079" type="#_x0000_t202" style="width:38pt;height:11pt;margin-top:34.41pt;margin-left:312.9pt;mso-position-horizontal-relative:page;mso-position-vertical-relative:page;position:absolute;z-index:-251639808"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080" type="#_x0000_t202" style="width:138.3pt;height:12.1pt;margin-top:33.99pt;margin-left:375.9pt;mso-position-horizontal-relative:page;mso-position-vertical-relative:page;position:absolute;z-index:-251638784"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84" style="mso-position-horizontal-relative:page;mso-position-vertical-relative:page;position:absolute;z-index:-251637760"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085" type="#_x0000_t202" style="width:227pt;height:11pt;margin-top:34.41pt;margin-left:69.9pt;mso-position-horizontal-relative:page;mso-position-vertical-relative:page;position:absolute;z-index:-251636736"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086" type="#_x0000_t202" style="width:38pt;height:11pt;margin-top:34.41pt;margin-left:312.9pt;mso-position-horizontal-relative:page;mso-position-vertical-relative:page;position:absolute;z-index:-251635712"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087" type="#_x0000_t202" style="width:138.3pt;height:12.1pt;margin-top:33.99pt;margin-left:375.9pt;mso-position-horizontal-relative:page;mso-position-vertical-relative:page;position:absolute;z-index:-251634688"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91" style="mso-position-horizontal-relative:page;mso-position-vertical-relative:page;position:absolute;z-index:-251633664"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092" type="#_x0000_t202" style="width:227pt;height:11pt;margin-top:34.41pt;margin-left:69.9pt;mso-position-horizontal-relative:page;mso-position-vertical-relative:page;position:absolute;z-index:-251632640"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093" type="#_x0000_t202" style="width:38pt;height:11pt;margin-top:34.41pt;margin-left:312.9pt;mso-position-horizontal-relative:page;mso-position-vertical-relative:page;position:absolute;z-index:-251631616"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094" type="#_x0000_t202" style="width:138.3pt;height:12.1pt;margin-top:33.99pt;margin-left:375.9pt;mso-position-horizontal-relative:page;mso-position-vertical-relative:page;position:absolute;z-index:-251630592"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98" style="mso-position-horizontal-relative:page;mso-position-vertical-relative:page;position:absolute;z-index:-251629568"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099" type="#_x0000_t202" style="width:227pt;height:11pt;margin-top:34.41pt;margin-left:69.9pt;mso-position-horizontal-relative:page;mso-position-vertical-relative:page;position:absolute;z-index:-251628544"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00" type="#_x0000_t202" style="width:38pt;height:11pt;margin-top:34.41pt;margin-left:312.9pt;mso-position-horizontal-relative:page;mso-position-vertical-relative:page;position:absolute;z-index:-251627520"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01" type="#_x0000_t202" style="width:138.3pt;height:12.1pt;margin-top:33.99pt;margin-left:375.9pt;mso-position-horizontal-relative:page;mso-position-vertical-relative:page;position:absolute;z-index:-251626496"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05" style="mso-position-horizontal-relative:page;mso-position-vertical-relative:page;position:absolute;z-index:-251625472" from="69.45pt,47.05pt" to="525.9pt,47.05pt" stroked="t" strokecolor="black" strokeweight="0.75pt">
          <v:stroke dashstyle="solid"/>
        </v:line>
      </w:pict>
    </w:r>
    <w:r>
      <w:pict>
        <v:shapetype id="_x0000_t202" coordsize="21600,21600" o:spt="202" path="m,l,21600r21600,l21600,xe">
          <v:stroke joinstyle="miter"/>
          <v:path gradientshapeok="t" o:connecttype="rect"/>
        </v:shapetype>
        <v:shape id="_x0000_s2106" type="#_x0000_t202" style="width:227pt;height:11pt;margin-top:34.41pt;margin-left:69.9pt;mso-position-horizontal-relative:page;mso-position-vertical-relative:page;position:absolute;z-index:-251624448" filled="f" stroked="f">
          <v:textbox inset="0,0,0,0">
            <w:txbxContent>
              <w:p>
                <w:pPr>
                  <w:spacing w:before="0" w:line="220" w:lineRule="exact"/>
                  <w:ind w:left="20" w:right="0" w:firstLine="0"/>
                  <w:jc w:val="left"/>
                  <w:rPr>
                    <w:sz w:val="18"/>
                  </w:rPr>
                </w:pPr>
                <w:r>
                  <w:rPr>
                    <w:spacing w:val="-1"/>
                    <w:sz w:val="18"/>
                  </w:rPr>
                  <w:t>电子政务外网核心网络设备升级及通用网管软件采购项目</w:t>
                </w:r>
              </w:p>
            </w:txbxContent>
          </v:textbox>
        </v:shape>
      </w:pict>
    </w:r>
    <w:r>
      <w:pict>
        <v:shape id="_x0000_s2107" type="#_x0000_t202" style="width:38pt;height:11pt;margin-top:34.41pt;margin-left:312.9pt;mso-position-horizontal-relative:page;mso-position-vertical-relative:page;position:absolute;z-index:-251623424" filled="f" stroked="f">
          <v:textbox inset="0,0,0,0">
            <w:txbxContent>
              <w:p>
                <w:pPr>
                  <w:spacing w:before="0" w:line="220" w:lineRule="exact"/>
                  <w:ind w:left="20" w:right="0" w:firstLine="0"/>
                  <w:jc w:val="left"/>
                  <w:rPr>
                    <w:sz w:val="18"/>
                  </w:rPr>
                </w:pPr>
                <w:r>
                  <w:rPr>
                    <w:spacing w:val="-3"/>
                    <w:sz w:val="18"/>
                  </w:rPr>
                  <w:t>招标文件</w:t>
                </w:r>
              </w:p>
            </w:txbxContent>
          </v:textbox>
        </v:shape>
      </w:pict>
    </w:r>
    <w:r>
      <w:pict>
        <v:shape id="_x0000_s2108" type="#_x0000_t202" style="width:138.3pt;height:12.1pt;margin-top:33.99pt;margin-left:375.9pt;mso-position-horizontal-relative:page;mso-position-vertical-relative:page;position:absolute;z-index:-251622400" filled="f" stroked="f">
          <v:textbox inset="0,0,0,0">
            <w:txbxContent>
              <w:p>
                <w:pPr>
                  <w:spacing w:before="3"/>
                  <w:ind w:left="20" w:right="0" w:firstLine="0"/>
                  <w:jc w:val="left"/>
                  <w:rPr>
                    <w:sz w:val="18"/>
                  </w:rPr>
                </w:pPr>
                <w:r>
                  <w:rPr>
                    <w:sz w:val="18"/>
                  </w:rPr>
                  <w:t>招标编号：东采公〔</w:t>
                </w:r>
                <w:r>
                  <w:rPr>
                    <w:rFonts w:ascii="Arial" w:eastAsia="Arial"/>
                    <w:sz w:val="18"/>
                  </w:rPr>
                  <w:t>2013</w:t>
                </w:r>
                <w:r>
                  <w:rPr>
                    <w:sz w:val="18"/>
                  </w:rPr>
                  <w:t>〕</w:t>
                </w:r>
                <w:r>
                  <w:rPr>
                    <w:rFonts w:ascii="Arial" w:eastAsia="Arial"/>
                    <w:sz w:val="18"/>
                  </w:rPr>
                  <w:t>886</w:t>
                </w:r>
                <w:r>
                  <w:rPr>
                    <w:rFonts w:ascii="Arial" w:eastAsia="Arial"/>
                    <w:spacing w:val="-11"/>
                    <w:sz w:val="18"/>
                  </w:rPr>
                  <w:t xml:space="preserve"> </w:t>
                </w:r>
                <w:r>
                  <w:rPr>
                    <w:spacing w:val="-10"/>
                    <w:sz w:val="18"/>
                  </w:rPr>
                  <w:t>号</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69E43"/>
    <w:multiLevelType w:val="hybridMultilevel"/>
    <w:tmpl w:val="00000000"/>
    <w:lvl w:ilvl="0">
      <w:start w:val="4"/>
      <w:numFmt w:val="decimal"/>
      <w:lvlText w:val="%1"/>
      <w:lvlJc w:val="left"/>
      <w:pPr>
        <w:ind w:left="1040" w:hanging="363"/>
        <w:jc w:val="left"/>
      </w:pPr>
      <w:rPr>
        <w:rFonts w:hint="default"/>
        <w:lang w:val="en-US" w:eastAsia="zh-CN" w:bidi="ar-SA"/>
      </w:rPr>
    </w:lvl>
    <w:lvl w:ilvl="1">
      <w:start w:val="1"/>
      <w:numFmt w:val="decimal"/>
      <w:lvlText w:val="%1.%2"/>
      <w:lvlJc w:val="left"/>
      <w:pPr>
        <w:ind w:left="1040" w:hanging="363"/>
        <w:jc w:val="left"/>
      </w:pPr>
      <w:rPr>
        <w:rFonts w:ascii="Microsoft JhengHei" w:eastAsia="Microsoft JhengHei" w:hAnsi="Microsoft JhengHei" w:cs="Microsoft JhengHei" w:hint="default"/>
        <w:b/>
        <w:bCs/>
        <w:i w:val="0"/>
        <w:iCs w:val="0"/>
        <w:w w:val="83"/>
        <w:sz w:val="22"/>
        <w:szCs w:val="22"/>
        <w:lang w:val="en-US" w:eastAsia="zh-CN" w:bidi="ar-SA"/>
      </w:rPr>
    </w:lvl>
    <w:lvl w:ilvl="2">
      <w:start w:val="0"/>
      <w:numFmt w:val="bullet"/>
      <w:lvlText w:val="•"/>
      <w:lvlJc w:val="left"/>
      <w:pPr>
        <w:ind w:left="2769" w:hanging="363"/>
      </w:pPr>
      <w:rPr>
        <w:rFonts w:hint="default"/>
        <w:lang w:val="en-US" w:eastAsia="zh-CN" w:bidi="ar-SA"/>
      </w:rPr>
    </w:lvl>
    <w:lvl w:ilvl="3">
      <w:start w:val="0"/>
      <w:numFmt w:val="bullet"/>
      <w:lvlText w:val="•"/>
      <w:lvlJc w:val="left"/>
      <w:pPr>
        <w:ind w:left="3634" w:hanging="363"/>
      </w:pPr>
      <w:rPr>
        <w:rFonts w:hint="default"/>
        <w:lang w:val="en-US" w:eastAsia="zh-CN" w:bidi="ar-SA"/>
      </w:rPr>
    </w:lvl>
    <w:lvl w:ilvl="4">
      <w:start w:val="0"/>
      <w:numFmt w:val="bullet"/>
      <w:lvlText w:val="•"/>
      <w:lvlJc w:val="left"/>
      <w:pPr>
        <w:ind w:left="4498" w:hanging="363"/>
      </w:pPr>
      <w:rPr>
        <w:rFonts w:hint="default"/>
        <w:lang w:val="en-US" w:eastAsia="zh-CN" w:bidi="ar-SA"/>
      </w:rPr>
    </w:lvl>
    <w:lvl w:ilvl="5">
      <w:start w:val="0"/>
      <w:numFmt w:val="bullet"/>
      <w:lvlText w:val="•"/>
      <w:lvlJc w:val="left"/>
      <w:pPr>
        <w:ind w:left="5363" w:hanging="363"/>
      </w:pPr>
      <w:rPr>
        <w:rFonts w:hint="default"/>
        <w:lang w:val="en-US" w:eastAsia="zh-CN" w:bidi="ar-SA"/>
      </w:rPr>
    </w:lvl>
    <w:lvl w:ilvl="6">
      <w:start w:val="0"/>
      <w:numFmt w:val="bullet"/>
      <w:lvlText w:val="•"/>
      <w:lvlJc w:val="left"/>
      <w:pPr>
        <w:ind w:left="6228" w:hanging="363"/>
      </w:pPr>
      <w:rPr>
        <w:rFonts w:hint="default"/>
        <w:lang w:val="en-US" w:eastAsia="zh-CN" w:bidi="ar-SA"/>
      </w:rPr>
    </w:lvl>
    <w:lvl w:ilvl="7">
      <w:start w:val="0"/>
      <w:numFmt w:val="bullet"/>
      <w:lvlText w:val="•"/>
      <w:lvlJc w:val="left"/>
      <w:pPr>
        <w:ind w:left="7092" w:hanging="363"/>
      </w:pPr>
      <w:rPr>
        <w:rFonts w:hint="default"/>
        <w:lang w:val="en-US" w:eastAsia="zh-CN" w:bidi="ar-SA"/>
      </w:rPr>
    </w:lvl>
    <w:lvl w:ilvl="8">
      <w:start w:val="0"/>
      <w:numFmt w:val="bullet"/>
      <w:lvlText w:val="•"/>
      <w:lvlJc w:val="left"/>
      <w:pPr>
        <w:ind w:left="7957" w:hanging="363"/>
      </w:pPr>
      <w:rPr>
        <w:rFonts w:hint="default"/>
        <w:lang w:val="en-US" w:eastAsia="zh-CN" w:bidi="ar-SA"/>
      </w:rPr>
    </w:lvl>
  </w:abstractNum>
  <w:abstractNum w:abstractNumId="1">
    <w:nsid w:val="033E9A7F"/>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98" w:hanging="720"/>
      </w:pPr>
      <w:rPr>
        <w:rFonts w:hint="default"/>
        <w:lang w:val="en-US" w:eastAsia="zh-CN" w:bidi="ar-SA"/>
      </w:rPr>
    </w:lvl>
    <w:lvl w:ilvl="2">
      <w:start w:val="0"/>
      <w:numFmt w:val="bullet"/>
      <w:lvlText w:val="•"/>
      <w:lvlJc w:val="left"/>
      <w:pPr>
        <w:ind w:left="3297" w:hanging="720"/>
      </w:pPr>
      <w:rPr>
        <w:rFonts w:hint="default"/>
        <w:lang w:val="en-US" w:eastAsia="zh-CN" w:bidi="ar-SA"/>
      </w:rPr>
    </w:lvl>
    <w:lvl w:ilvl="3">
      <w:start w:val="0"/>
      <w:numFmt w:val="bullet"/>
      <w:lvlText w:val="•"/>
      <w:lvlJc w:val="left"/>
      <w:pPr>
        <w:ind w:left="4096" w:hanging="720"/>
      </w:pPr>
      <w:rPr>
        <w:rFonts w:hint="default"/>
        <w:lang w:val="en-US" w:eastAsia="zh-CN" w:bidi="ar-SA"/>
      </w:rPr>
    </w:lvl>
    <w:lvl w:ilvl="4">
      <w:start w:val="0"/>
      <w:numFmt w:val="bullet"/>
      <w:lvlText w:val="•"/>
      <w:lvlJc w:val="left"/>
      <w:pPr>
        <w:ind w:left="4894" w:hanging="720"/>
      </w:pPr>
      <w:rPr>
        <w:rFonts w:hint="default"/>
        <w:lang w:val="en-US" w:eastAsia="zh-CN" w:bidi="ar-SA"/>
      </w:rPr>
    </w:lvl>
    <w:lvl w:ilvl="5">
      <w:start w:val="0"/>
      <w:numFmt w:val="bullet"/>
      <w:lvlText w:val="•"/>
      <w:lvlJc w:val="left"/>
      <w:pPr>
        <w:ind w:left="5693" w:hanging="720"/>
      </w:pPr>
      <w:rPr>
        <w:rFonts w:hint="default"/>
        <w:lang w:val="en-US" w:eastAsia="zh-CN" w:bidi="ar-SA"/>
      </w:rPr>
    </w:lvl>
    <w:lvl w:ilvl="6">
      <w:start w:val="0"/>
      <w:numFmt w:val="bullet"/>
      <w:lvlText w:val="•"/>
      <w:lvlJc w:val="left"/>
      <w:pPr>
        <w:ind w:left="6492" w:hanging="720"/>
      </w:pPr>
      <w:rPr>
        <w:rFonts w:hint="default"/>
        <w:lang w:val="en-US" w:eastAsia="zh-CN" w:bidi="ar-SA"/>
      </w:rPr>
    </w:lvl>
    <w:lvl w:ilvl="7">
      <w:start w:val="0"/>
      <w:numFmt w:val="bullet"/>
      <w:lvlText w:val="•"/>
      <w:lvlJc w:val="left"/>
      <w:pPr>
        <w:ind w:left="7290" w:hanging="720"/>
      </w:pPr>
      <w:rPr>
        <w:rFonts w:hint="default"/>
        <w:lang w:val="en-US" w:eastAsia="zh-CN" w:bidi="ar-SA"/>
      </w:rPr>
    </w:lvl>
    <w:lvl w:ilvl="8">
      <w:start w:val="0"/>
      <w:numFmt w:val="bullet"/>
      <w:lvlText w:val="•"/>
      <w:lvlJc w:val="left"/>
      <w:pPr>
        <w:ind w:left="8089" w:hanging="720"/>
      </w:pPr>
      <w:rPr>
        <w:rFonts w:hint="default"/>
        <w:lang w:val="en-US" w:eastAsia="zh-CN" w:bidi="ar-SA"/>
      </w:rPr>
    </w:lvl>
  </w:abstractNum>
  <w:abstractNum w:abstractNumId="2">
    <w:nsid w:val="0665C3FE"/>
    <w:multiLevelType w:val="hybridMultilevel"/>
    <w:tmpl w:val="00000000"/>
    <w:lvl w:ilvl="0">
      <w:start w:val="1"/>
      <w:numFmt w:val="decimal"/>
      <w:lvlText w:val="%1."/>
      <w:lvlJc w:val="left"/>
      <w:pPr>
        <w:ind w:left="4581" w:hanging="420"/>
        <w:jc w:val="right"/>
      </w:pPr>
      <w:rPr>
        <w:rFonts w:hint="default"/>
        <w:spacing w:val="0"/>
        <w:w w:val="81"/>
        <w:lang w:val="en-US" w:eastAsia="zh-CN" w:bidi="ar-SA"/>
      </w:rPr>
    </w:lvl>
    <w:lvl w:ilvl="1">
      <w:start w:val="0"/>
      <w:numFmt w:val="bullet"/>
      <w:lvlText w:val="•"/>
      <w:lvlJc w:val="left"/>
      <w:pPr>
        <w:ind w:left="5090" w:hanging="420"/>
      </w:pPr>
      <w:rPr>
        <w:rFonts w:hint="default"/>
        <w:lang w:val="en-US" w:eastAsia="zh-CN" w:bidi="ar-SA"/>
      </w:rPr>
    </w:lvl>
    <w:lvl w:ilvl="2">
      <w:start w:val="0"/>
      <w:numFmt w:val="bullet"/>
      <w:lvlText w:val="•"/>
      <w:lvlJc w:val="left"/>
      <w:pPr>
        <w:ind w:left="5601" w:hanging="420"/>
      </w:pPr>
      <w:rPr>
        <w:rFonts w:hint="default"/>
        <w:lang w:val="en-US" w:eastAsia="zh-CN" w:bidi="ar-SA"/>
      </w:rPr>
    </w:lvl>
    <w:lvl w:ilvl="3">
      <w:start w:val="0"/>
      <w:numFmt w:val="bullet"/>
      <w:lvlText w:val="•"/>
      <w:lvlJc w:val="left"/>
      <w:pPr>
        <w:ind w:left="6112" w:hanging="420"/>
      </w:pPr>
      <w:rPr>
        <w:rFonts w:hint="default"/>
        <w:lang w:val="en-US" w:eastAsia="zh-CN" w:bidi="ar-SA"/>
      </w:rPr>
    </w:lvl>
    <w:lvl w:ilvl="4">
      <w:start w:val="0"/>
      <w:numFmt w:val="bullet"/>
      <w:lvlText w:val="•"/>
      <w:lvlJc w:val="left"/>
      <w:pPr>
        <w:ind w:left="6622" w:hanging="420"/>
      </w:pPr>
      <w:rPr>
        <w:rFonts w:hint="default"/>
        <w:lang w:val="en-US" w:eastAsia="zh-CN" w:bidi="ar-SA"/>
      </w:rPr>
    </w:lvl>
    <w:lvl w:ilvl="5">
      <w:start w:val="0"/>
      <w:numFmt w:val="bullet"/>
      <w:lvlText w:val="•"/>
      <w:lvlJc w:val="left"/>
      <w:pPr>
        <w:ind w:left="7133" w:hanging="420"/>
      </w:pPr>
      <w:rPr>
        <w:rFonts w:hint="default"/>
        <w:lang w:val="en-US" w:eastAsia="zh-CN" w:bidi="ar-SA"/>
      </w:rPr>
    </w:lvl>
    <w:lvl w:ilvl="6">
      <w:start w:val="0"/>
      <w:numFmt w:val="bullet"/>
      <w:lvlText w:val="•"/>
      <w:lvlJc w:val="left"/>
      <w:pPr>
        <w:ind w:left="7644" w:hanging="420"/>
      </w:pPr>
      <w:rPr>
        <w:rFonts w:hint="default"/>
        <w:lang w:val="en-US" w:eastAsia="zh-CN" w:bidi="ar-SA"/>
      </w:rPr>
    </w:lvl>
    <w:lvl w:ilvl="7">
      <w:start w:val="0"/>
      <w:numFmt w:val="bullet"/>
      <w:lvlText w:val="•"/>
      <w:lvlJc w:val="left"/>
      <w:pPr>
        <w:ind w:left="8154" w:hanging="420"/>
      </w:pPr>
      <w:rPr>
        <w:rFonts w:hint="default"/>
        <w:lang w:val="en-US" w:eastAsia="zh-CN" w:bidi="ar-SA"/>
      </w:rPr>
    </w:lvl>
    <w:lvl w:ilvl="8">
      <w:start w:val="0"/>
      <w:numFmt w:val="bullet"/>
      <w:lvlText w:val="•"/>
      <w:lvlJc w:val="left"/>
      <w:pPr>
        <w:ind w:left="8665" w:hanging="420"/>
      </w:pPr>
      <w:rPr>
        <w:rFonts w:hint="default"/>
        <w:lang w:val="en-US" w:eastAsia="zh-CN" w:bidi="ar-SA"/>
      </w:rPr>
    </w:lvl>
  </w:abstractNum>
  <w:abstractNum w:abstractNumId="3">
    <w:nsid w:val="098F0CFB"/>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98" w:hanging="720"/>
      </w:pPr>
      <w:rPr>
        <w:rFonts w:hint="default"/>
        <w:lang w:val="en-US" w:eastAsia="zh-CN" w:bidi="ar-SA"/>
      </w:rPr>
    </w:lvl>
    <w:lvl w:ilvl="2">
      <w:start w:val="0"/>
      <w:numFmt w:val="bullet"/>
      <w:lvlText w:val="•"/>
      <w:lvlJc w:val="left"/>
      <w:pPr>
        <w:ind w:left="3297" w:hanging="720"/>
      </w:pPr>
      <w:rPr>
        <w:rFonts w:hint="default"/>
        <w:lang w:val="en-US" w:eastAsia="zh-CN" w:bidi="ar-SA"/>
      </w:rPr>
    </w:lvl>
    <w:lvl w:ilvl="3">
      <w:start w:val="0"/>
      <w:numFmt w:val="bullet"/>
      <w:lvlText w:val="•"/>
      <w:lvlJc w:val="left"/>
      <w:pPr>
        <w:ind w:left="4096" w:hanging="720"/>
      </w:pPr>
      <w:rPr>
        <w:rFonts w:hint="default"/>
        <w:lang w:val="en-US" w:eastAsia="zh-CN" w:bidi="ar-SA"/>
      </w:rPr>
    </w:lvl>
    <w:lvl w:ilvl="4">
      <w:start w:val="0"/>
      <w:numFmt w:val="bullet"/>
      <w:lvlText w:val="•"/>
      <w:lvlJc w:val="left"/>
      <w:pPr>
        <w:ind w:left="4894" w:hanging="720"/>
      </w:pPr>
      <w:rPr>
        <w:rFonts w:hint="default"/>
        <w:lang w:val="en-US" w:eastAsia="zh-CN" w:bidi="ar-SA"/>
      </w:rPr>
    </w:lvl>
    <w:lvl w:ilvl="5">
      <w:start w:val="0"/>
      <w:numFmt w:val="bullet"/>
      <w:lvlText w:val="•"/>
      <w:lvlJc w:val="left"/>
      <w:pPr>
        <w:ind w:left="5693" w:hanging="720"/>
      </w:pPr>
      <w:rPr>
        <w:rFonts w:hint="default"/>
        <w:lang w:val="en-US" w:eastAsia="zh-CN" w:bidi="ar-SA"/>
      </w:rPr>
    </w:lvl>
    <w:lvl w:ilvl="6">
      <w:start w:val="0"/>
      <w:numFmt w:val="bullet"/>
      <w:lvlText w:val="•"/>
      <w:lvlJc w:val="left"/>
      <w:pPr>
        <w:ind w:left="6492" w:hanging="720"/>
      </w:pPr>
      <w:rPr>
        <w:rFonts w:hint="default"/>
        <w:lang w:val="en-US" w:eastAsia="zh-CN" w:bidi="ar-SA"/>
      </w:rPr>
    </w:lvl>
    <w:lvl w:ilvl="7">
      <w:start w:val="0"/>
      <w:numFmt w:val="bullet"/>
      <w:lvlText w:val="•"/>
      <w:lvlJc w:val="left"/>
      <w:pPr>
        <w:ind w:left="7290" w:hanging="720"/>
      </w:pPr>
      <w:rPr>
        <w:rFonts w:hint="default"/>
        <w:lang w:val="en-US" w:eastAsia="zh-CN" w:bidi="ar-SA"/>
      </w:rPr>
    </w:lvl>
    <w:lvl w:ilvl="8">
      <w:start w:val="0"/>
      <w:numFmt w:val="bullet"/>
      <w:lvlText w:val="•"/>
      <w:lvlJc w:val="left"/>
      <w:pPr>
        <w:ind w:left="8089" w:hanging="720"/>
      </w:pPr>
      <w:rPr>
        <w:rFonts w:hint="default"/>
        <w:lang w:val="en-US" w:eastAsia="zh-CN" w:bidi="ar-SA"/>
      </w:rPr>
    </w:lvl>
  </w:abstractNum>
  <w:abstractNum w:abstractNumId="4">
    <w:nsid w:val="0AB80D53"/>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98" w:hanging="720"/>
      </w:pPr>
      <w:rPr>
        <w:rFonts w:hint="default"/>
        <w:lang w:val="en-US" w:eastAsia="zh-CN" w:bidi="ar-SA"/>
      </w:rPr>
    </w:lvl>
    <w:lvl w:ilvl="2">
      <w:start w:val="0"/>
      <w:numFmt w:val="bullet"/>
      <w:lvlText w:val="•"/>
      <w:lvlJc w:val="left"/>
      <w:pPr>
        <w:ind w:left="3297" w:hanging="720"/>
      </w:pPr>
      <w:rPr>
        <w:rFonts w:hint="default"/>
        <w:lang w:val="en-US" w:eastAsia="zh-CN" w:bidi="ar-SA"/>
      </w:rPr>
    </w:lvl>
    <w:lvl w:ilvl="3">
      <w:start w:val="0"/>
      <w:numFmt w:val="bullet"/>
      <w:lvlText w:val="•"/>
      <w:lvlJc w:val="left"/>
      <w:pPr>
        <w:ind w:left="4096" w:hanging="720"/>
      </w:pPr>
      <w:rPr>
        <w:rFonts w:hint="default"/>
        <w:lang w:val="en-US" w:eastAsia="zh-CN" w:bidi="ar-SA"/>
      </w:rPr>
    </w:lvl>
    <w:lvl w:ilvl="4">
      <w:start w:val="0"/>
      <w:numFmt w:val="bullet"/>
      <w:lvlText w:val="•"/>
      <w:lvlJc w:val="left"/>
      <w:pPr>
        <w:ind w:left="4894" w:hanging="720"/>
      </w:pPr>
      <w:rPr>
        <w:rFonts w:hint="default"/>
        <w:lang w:val="en-US" w:eastAsia="zh-CN" w:bidi="ar-SA"/>
      </w:rPr>
    </w:lvl>
    <w:lvl w:ilvl="5">
      <w:start w:val="0"/>
      <w:numFmt w:val="bullet"/>
      <w:lvlText w:val="•"/>
      <w:lvlJc w:val="left"/>
      <w:pPr>
        <w:ind w:left="5693" w:hanging="720"/>
      </w:pPr>
      <w:rPr>
        <w:rFonts w:hint="default"/>
        <w:lang w:val="en-US" w:eastAsia="zh-CN" w:bidi="ar-SA"/>
      </w:rPr>
    </w:lvl>
    <w:lvl w:ilvl="6">
      <w:start w:val="0"/>
      <w:numFmt w:val="bullet"/>
      <w:lvlText w:val="•"/>
      <w:lvlJc w:val="left"/>
      <w:pPr>
        <w:ind w:left="6492" w:hanging="720"/>
      </w:pPr>
      <w:rPr>
        <w:rFonts w:hint="default"/>
        <w:lang w:val="en-US" w:eastAsia="zh-CN" w:bidi="ar-SA"/>
      </w:rPr>
    </w:lvl>
    <w:lvl w:ilvl="7">
      <w:start w:val="0"/>
      <w:numFmt w:val="bullet"/>
      <w:lvlText w:val="•"/>
      <w:lvlJc w:val="left"/>
      <w:pPr>
        <w:ind w:left="7290" w:hanging="720"/>
      </w:pPr>
      <w:rPr>
        <w:rFonts w:hint="default"/>
        <w:lang w:val="en-US" w:eastAsia="zh-CN" w:bidi="ar-SA"/>
      </w:rPr>
    </w:lvl>
    <w:lvl w:ilvl="8">
      <w:start w:val="0"/>
      <w:numFmt w:val="bullet"/>
      <w:lvlText w:val="•"/>
      <w:lvlJc w:val="left"/>
      <w:pPr>
        <w:ind w:left="8089" w:hanging="720"/>
      </w:pPr>
      <w:rPr>
        <w:rFonts w:hint="default"/>
        <w:lang w:val="en-US" w:eastAsia="zh-CN" w:bidi="ar-SA"/>
      </w:rPr>
    </w:lvl>
  </w:abstractNum>
  <w:abstractNum w:abstractNumId="5">
    <w:nsid w:val="0E896C98"/>
    <w:multiLevelType w:val="hybridMultilevel"/>
    <w:tmpl w:val="00000000"/>
    <w:lvl w:ilvl="0">
      <w:start w:val="1"/>
      <w:numFmt w:val="decimal"/>
      <w:lvlText w:val="%1."/>
      <w:lvlJc w:val="left"/>
      <w:pPr>
        <w:ind w:left="683" w:hanging="426"/>
        <w:jc w:val="left"/>
      </w:pPr>
      <w:rPr>
        <w:rFonts w:hint="default"/>
        <w:w w:val="81"/>
        <w:lang w:val="en-US" w:eastAsia="zh-CN" w:bidi="ar-SA"/>
      </w:rPr>
    </w:lvl>
    <w:lvl w:ilvl="1">
      <w:start w:val="1"/>
      <w:numFmt w:val="decimal"/>
      <w:lvlText w:val="%1.%2"/>
      <w:lvlJc w:val="left"/>
      <w:pPr>
        <w:ind w:left="825" w:hanging="567"/>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1805" w:hanging="567"/>
      </w:pPr>
      <w:rPr>
        <w:rFonts w:hint="default"/>
        <w:lang w:val="en-US" w:eastAsia="zh-CN" w:bidi="ar-SA"/>
      </w:rPr>
    </w:lvl>
    <w:lvl w:ilvl="3">
      <w:start w:val="0"/>
      <w:numFmt w:val="bullet"/>
      <w:lvlText w:val="•"/>
      <w:lvlJc w:val="left"/>
      <w:pPr>
        <w:ind w:left="2790" w:hanging="567"/>
      </w:pPr>
      <w:rPr>
        <w:rFonts w:hint="default"/>
        <w:lang w:val="en-US" w:eastAsia="zh-CN" w:bidi="ar-SA"/>
      </w:rPr>
    </w:lvl>
    <w:lvl w:ilvl="4">
      <w:start w:val="0"/>
      <w:numFmt w:val="bullet"/>
      <w:lvlText w:val="•"/>
      <w:lvlJc w:val="left"/>
      <w:pPr>
        <w:ind w:left="3775" w:hanging="567"/>
      </w:pPr>
      <w:rPr>
        <w:rFonts w:hint="default"/>
        <w:lang w:val="en-US" w:eastAsia="zh-CN" w:bidi="ar-SA"/>
      </w:rPr>
    </w:lvl>
    <w:lvl w:ilvl="5">
      <w:start w:val="0"/>
      <w:numFmt w:val="bullet"/>
      <w:lvlText w:val="•"/>
      <w:lvlJc w:val="left"/>
      <w:pPr>
        <w:ind w:left="4760" w:hanging="567"/>
      </w:pPr>
      <w:rPr>
        <w:rFonts w:hint="default"/>
        <w:lang w:val="en-US" w:eastAsia="zh-CN" w:bidi="ar-SA"/>
      </w:rPr>
    </w:lvl>
    <w:lvl w:ilvl="6">
      <w:start w:val="0"/>
      <w:numFmt w:val="bullet"/>
      <w:lvlText w:val="•"/>
      <w:lvlJc w:val="left"/>
      <w:pPr>
        <w:ind w:left="5746" w:hanging="567"/>
      </w:pPr>
      <w:rPr>
        <w:rFonts w:hint="default"/>
        <w:lang w:val="en-US" w:eastAsia="zh-CN" w:bidi="ar-SA"/>
      </w:rPr>
    </w:lvl>
    <w:lvl w:ilvl="7">
      <w:start w:val="0"/>
      <w:numFmt w:val="bullet"/>
      <w:lvlText w:val="•"/>
      <w:lvlJc w:val="left"/>
      <w:pPr>
        <w:ind w:left="6731" w:hanging="567"/>
      </w:pPr>
      <w:rPr>
        <w:rFonts w:hint="default"/>
        <w:lang w:val="en-US" w:eastAsia="zh-CN" w:bidi="ar-SA"/>
      </w:rPr>
    </w:lvl>
    <w:lvl w:ilvl="8">
      <w:start w:val="0"/>
      <w:numFmt w:val="bullet"/>
      <w:lvlText w:val="•"/>
      <w:lvlJc w:val="left"/>
      <w:pPr>
        <w:ind w:left="7716" w:hanging="567"/>
      </w:pPr>
      <w:rPr>
        <w:rFonts w:hint="default"/>
        <w:lang w:val="en-US" w:eastAsia="zh-CN" w:bidi="ar-SA"/>
      </w:rPr>
    </w:lvl>
  </w:abstractNum>
  <w:abstractNum w:abstractNumId="6">
    <w:nsid w:val="0ED0E20B"/>
    <w:multiLevelType w:val="hybridMultilevel"/>
    <w:tmpl w:val="00000000"/>
    <w:lvl w:ilvl="0">
      <w:start w:val="6"/>
      <w:numFmt w:val="decimal"/>
      <w:lvlText w:val="%1"/>
      <w:lvlJc w:val="left"/>
      <w:pPr>
        <w:ind w:left="1040" w:hanging="363"/>
        <w:jc w:val="left"/>
      </w:pPr>
      <w:rPr>
        <w:rFonts w:hint="default"/>
        <w:lang w:val="en-US" w:eastAsia="zh-CN" w:bidi="ar-SA"/>
      </w:rPr>
    </w:lvl>
    <w:lvl w:ilvl="1">
      <w:start w:val="1"/>
      <w:numFmt w:val="decimal"/>
      <w:lvlText w:val="%1.%2"/>
      <w:lvlJc w:val="left"/>
      <w:pPr>
        <w:ind w:left="1040" w:hanging="363"/>
        <w:jc w:val="left"/>
      </w:pPr>
      <w:rPr>
        <w:rFonts w:hint="default"/>
        <w:w w:val="83"/>
        <w:lang w:val="en-US" w:eastAsia="zh-CN" w:bidi="ar-SA"/>
      </w:rPr>
    </w:lvl>
    <w:lvl w:ilvl="2">
      <w:start w:val="0"/>
      <w:numFmt w:val="bullet"/>
      <w:lvlText w:val=""/>
      <w:lvlJc w:val="left"/>
      <w:pPr>
        <w:ind w:left="1255" w:hanging="420"/>
      </w:pPr>
      <w:rPr>
        <w:rFonts w:ascii="Wingdings" w:eastAsia="Wingdings" w:hAnsi="Wingdings" w:cs="Wingdings" w:hint="default"/>
        <w:b w:val="0"/>
        <w:bCs w:val="0"/>
        <w:i w:val="0"/>
        <w:iCs w:val="0"/>
        <w:w w:val="100"/>
        <w:sz w:val="24"/>
        <w:szCs w:val="24"/>
        <w:lang w:val="en-US" w:eastAsia="zh-CN" w:bidi="ar-SA"/>
      </w:rPr>
    </w:lvl>
    <w:lvl w:ilvl="3">
      <w:start w:val="0"/>
      <w:numFmt w:val="bullet"/>
      <w:lvlText w:val="•"/>
      <w:lvlJc w:val="left"/>
      <w:pPr>
        <w:ind w:left="3132" w:hanging="420"/>
      </w:pPr>
      <w:rPr>
        <w:rFonts w:hint="default"/>
        <w:lang w:val="en-US" w:eastAsia="zh-CN" w:bidi="ar-SA"/>
      </w:rPr>
    </w:lvl>
    <w:lvl w:ilvl="4">
      <w:start w:val="0"/>
      <w:numFmt w:val="bullet"/>
      <w:lvlText w:val="•"/>
      <w:lvlJc w:val="left"/>
      <w:pPr>
        <w:ind w:left="4069" w:hanging="420"/>
      </w:pPr>
      <w:rPr>
        <w:rFonts w:hint="default"/>
        <w:lang w:val="en-US" w:eastAsia="zh-CN" w:bidi="ar-SA"/>
      </w:rPr>
    </w:lvl>
    <w:lvl w:ilvl="5">
      <w:start w:val="0"/>
      <w:numFmt w:val="bullet"/>
      <w:lvlText w:val="•"/>
      <w:lvlJc w:val="left"/>
      <w:pPr>
        <w:ind w:left="5005" w:hanging="420"/>
      </w:pPr>
      <w:rPr>
        <w:rFonts w:hint="default"/>
        <w:lang w:val="en-US" w:eastAsia="zh-CN" w:bidi="ar-SA"/>
      </w:rPr>
    </w:lvl>
    <w:lvl w:ilvl="6">
      <w:start w:val="0"/>
      <w:numFmt w:val="bullet"/>
      <w:lvlText w:val="•"/>
      <w:lvlJc w:val="left"/>
      <w:pPr>
        <w:ind w:left="5941" w:hanging="420"/>
      </w:pPr>
      <w:rPr>
        <w:rFonts w:hint="default"/>
        <w:lang w:val="en-US" w:eastAsia="zh-CN" w:bidi="ar-SA"/>
      </w:rPr>
    </w:lvl>
    <w:lvl w:ilvl="7">
      <w:start w:val="0"/>
      <w:numFmt w:val="bullet"/>
      <w:lvlText w:val="•"/>
      <w:lvlJc w:val="left"/>
      <w:pPr>
        <w:ind w:left="6878" w:hanging="420"/>
      </w:pPr>
      <w:rPr>
        <w:rFonts w:hint="default"/>
        <w:lang w:val="en-US" w:eastAsia="zh-CN" w:bidi="ar-SA"/>
      </w:rPr>
    </w:lvl>
    <w:lvl w:ilvl="8">
      <w:start w:val="0"/>
      <w:numFmt w:val="bullet"/>
      <w:lvlText w:val="•"/>
      <w:lvlJc w:val="left"/>
      <w:pPr>
        <w:ind w:left="7814" w:hanging="420"/>
      </w:pPr>
      <w:rPr>
        <w:rFonts w:hint="default"/>
        <w:lang w:val="en-US" w:eastAsia="zh-CN" w:bidi="ar-SA"/>
      </w:rPr>
    </w:lvl>
  </w:abstractNum>
  <w:abstractNum w:abstractNumId="7">
    <w:nsid w:val="0F026909"/>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752" w:hanging="360"/>
      </w:pPr>
      <w:rPr>
        <w:rFonts w:ascii="Wingdings" w:eastAsia="Wingdings" w:hAnsi="Wingdings" w:cs="Wingdings" w:hint="default"/>
        <w:b w:val="0"/>
        <w:bCs w:val="0"/>
        <w:i w:val="0"/>
        <w:iCs w:val="0"/>
        <w:w w:val="100"/>
        <w:sz w:val="24"/>
        <w:szCs w:val="24"/>
        <w:lang w:val="en-US" w:eastAsia="zh-CN" w:bidi="ar-SA"/>
      </w:rPr>
    </w:lvl>
    <w:lvl w:ilvl="2">
      <w:start w:val="0"/>
      <w:numFmt w:val="bullet"/>
      <w:lvlText w:val="•"/>
      <w:lvlJc w:val="left"/>
      <w:pPr>
        <w:ind w:left="2640" w:hanging="360"/>
      </w:pPr>
      <w:rPr>
        <w:rFonts w:hint="default"/>
        <w:lang w:val="en-US" w:eastAsia="zh-CN" w:bidi="ar-SA"/>
      </w:rPr>
    </w:lvl>
    <w:lvl w:ilvl="3">
      <w:start w:val="0"/>
      <w:numFmt w:val="bullet"/>
      <w:lvlText w:val="•"/>
      <w:lvlJc w:val="left"/>
      <w:pPr>
        <w:ind w:left="3521" w:hanging="360"/>
      </w:pPr>
      <w:rPr>
        <w:rFonts w:hint="default"/>
        <w:lang w:val="en-US" w:eastAsia="zh-CN" w:bidi="ar-SA"/>
      </w:rPr>
    </w:lvl>
    <w:lvl w:ilvl="4">
      <w:start w:val="0"/>
      <w:numFmt w:val="bullet"/>
      <w:lvlText w:val="•"/>
      <w:lvlJc w:val="left"/>
      <w:pPr>
        <w:ind w:left="4402" w:hanging="360"/>
      </w:pPr>
      <w:rPr>
        <w:rFonts w:hint="default"/>
        <w:lang w:val="en-US" w:eastAsia="zh-CN" w:bidi="ar-SA"/>
      </w:rPr>
    </w:lvl>
    <w:lvl w:ilvl="5">
      <w:start w:val="0"/>
      <w:numFmt w:val="bullet"/>
      <w:lvlText w:val="•"/>
      <w:lvlJc w:val="left"/>
      <w:pPr>
        <w:ind w:left="5283" w:hanging="360"/>
      </w:pPr>
      <w:rPr>
        <w:rFonts w:hint="default"/>
        <w:lang w:val="en-US" w:eastAsia="zh-CN" w:bidi="ar-SA"/>
      </w:rPr>
    </w:lvl>
    <w:lvl w:ilvl="6">
      <w:start w:val="0"/>
      <w:numFmt w:val="bullet"/>
      <w:lvlText w:val="•"/>
      <w:lvlJc w:val="left"/>
      <w:pPr>
        <w:ind w:left="6163" w:hanging="360"/>
      </w:pPr>
      <w:rPr>
        <w:rFonts w:hint="default"/>
        <w:lang w:val="en-US" w:eastAsia="zh-CN" w:bidi="ar-SA"/>
      </w:rPr>
    </w:lvl>
    <w:lvl w:ilvl="7">
      <w:start w:val="0"/>
      <w:numFmt w:val="bullet"/>
      <w:lvlText w:val="•"/>
      <w:lvlJc w:val="left"/>
      <w:pPr>
        <w:ind w:left="7044" w:hanging="360"/>
      </w:pPr>
      <w:rPr>
        <w:rFonts w:hint="default"/>
        <w:lang w:val="en-US" w:eastAsia="zh-CN" w:bidi="ar-SA"/>
      </w:rPr>
    </w:lvl>
    <w:lvl w:ilvl="8">
      <w:start w:val="0"/>
      <w:numFmt w:val="bullet"/>
      <w:lvlText w:val="•"/>
      <w:lvlJc w:val="left"/>
      <w:pPr>
        <w:ind w:left="7925" w:hanging="360"/>
      </w:pPr>
      <w:rPr>
        <w:rFonts w:hint="default"/>
        <w:lang w:val="en-US" w:eastAsia="zh-CN" w:bidi="ar-SA"/>
      </w:rPr>
    </w:lvl>
  </w:abstractNum>
  <w:abstractNum w:abstractNumId="8">
    <w:nsid w:val="1439BD58"/>
    <w:multiLevelType w:val="hybridMultilevel"/>
    <w:tmpl w:val="00000000"/>
    <w:lvl w:ilvl="0">
      <w:start w:val="1"/>
      <w:numFmt w:val="decimal"/>
      <w:lvlText w:val="%1."/>
      <w:lvlJc w:val="left"/>
      <w:pPr>
        <w:ind w:left="1258" w:hanging="335"/>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102" w:hanging="335"/>
      </w:pPr>
      <w:rPr>
        <w:rFonts w:hint="default"/>
        <w:lang w:val="en-US" w:eastAsia="zh-CN" w:bidi="ar-SA"/>
      </w:rPr>
    </w:lvl>
    <w:lvl w:ilvl="2">
      <w:start w:val="0"/>
      <w:numFmt w:val="bullet"/>
      <w:lvlText w:val="•"/>
      <w:lvlJc w:val="left"/>
      <w:pPr>
        <w:ind w:left="2945" w:hanging="335"/>
      </w:pPr>
      <w:rPr>
        <w:rFonts w:hint="default"/>
        <w:lang w:val="en-US" w:eastAsia="zh-CN" w:bidi="ar-SA"/>
      </w:rPr>
    </w:lvl>
    <w:lvl w:ilvl="3">
      <w:start w:val="0"/>
      <w:numFmt w:val="bullet"/>
      <w:lvlText w:val="•"/>
      <w:lvlJc w:val="left"/>
      <w:pPr>
        <w:ind w:left="3788" w:hanging="335"/>
      </w:pPr>
      <w:rPr>
        <w:rFonts w:hint="default"/>
        <w:lang w:val="en-US" w:eastAsia="zh-CN" w:bidi="ar-SA"/>
      </w:rPr>
    </w:lvl>
    <w:lvl w:ilvl="4">
      <w:start w:val="0"/>
      <w:numFmt w:val="bullet"/>
      <w:lvlText w:val="•"/>
      <w:lvlJc w:val="left"/>
      <w:pPr>
        <w:ind w:left="4630" w:hanging="335"/>
      </w:pPr>
      <w:rPr>
        <w:rFonts w:hint="default"/>
        <w:lang w:val="en-US" w:eastAsia="zh-CN" w:bidi="ar-SA"/>
      </w:rPr>
    </w:lvl>
    <w:lvl w:ilvl="5">
      <w:start w:val="0"/>
      <w:numFmt w:val="bullet"/>
      <w:lvlText w:val="•"/>
      <w:lvlJc w:val="left"/>
      <w:pPr>
        <w:ind w:left="5473" w:hanging="335"/>
      </w:pPr>
      <w:rPr>
        <w:rFonts w:hint="default"/>
        <w:lang w:val="en-US" w:eastAsia="zh-CN" w:bidi="ar-SA"/>
      </w:rPr>
    </w:lvl>
    <w:lvl w:ilvl="6">
      <w:start w:val="0"/>
      <w:numFmt w:val="bullet"/>
      <w:lvlText w:val="•"/>
      <w:lvlJc w:val="left"/>
      <w:pPr>
        <w:ind w:left="6316" w:hanging="335"/>
      </w:pPr>
      <w:rPr>
        <w:rFonts w:hint="default"/>
        <w:lang w:val="en-US" w:eastAsia="zh-CN" w:bidi="ar-SA"/>
      </w:rPr>
    </w:lvl>
    <w:lvl w:ilvl="7">
      <w:start w:val="0"/>
      <w:numFmt w:val="bullet"/>
      <w:lvlText w:val="•"/>
      <w:lvlJc w:val="left"/>
      <w:pPr>
        <w:ind w:left="7158" w:hanging="335"/>
      </w:pPr>
      <w:rPr>
        <w:rFonts w:hint="default"/>
        <w:lang w:val="en-US" w:eastAsia="zh-CN" w:bidi="ar-SA"/>
      </w:rPr>
    </w:lvl>
    <w:lvl w:ilvl="8">
      <w:start w:val="0"/>
      <w:numFmt w:val="bullet"/>
      <w:lvlText w:val="•"/>
      <w:lvlJc w:val="left"/>
      <w:pPr>
        <w:ind w:left="8001" w:hanging="335"/>
      </w:pPr>
      <w:rPr>
        <w:rFonts w:hint="default"/>
        <w:lang w:val="en-US" w:eastAsia="zh-CN" w:bidi="ar-SA"/>
      </w:rPr>
    </w:lvl>
  </w:abstractNum>
  <w:abstractNum w:abstractNumId="9">
    <w:nsid w:val="18810D53"/>
    <w:multiLevelType w:val="hybridMultilevel"/>
    <w:tmpl w:val="00000000"/>
    <w:lvl w:ilvl="0">
      <w:start w:val="1"/>
      <w:numFmt w:val="decimal"/>
      <w:lvlText w:val="%1."/>
      <w:lvlJc w:val="left"/>
      <w:pPr>
        <w:ind w:left="1109" w:hanging="852"/>
        <w:jc w:val="left"/>
      </w:pPr>
      <w:rPr>
        <w:rFonts w:ascii="微软雅黑" w:eastAsia="微软雅黑" w:hAnsi="微软雅黑" w:cs="微软雅黑" w:hint="default"/>
        <w:b/>
        <w:bCs/>
        <w:i w:val="0"/>
        <w:iCs w:val="0"/>
        <w:w w:val="81"/>
        <w:sz w:val="24"/>
        <w:szCs w:val="24"/>
        <w:lang w:val="en-US" w:eastAsia="zh-CN" w:bidi="ar-SA"/>
      </w:rPr>
    </w:lvl>
    <w:lvl w:ilvl="1">
      <w:start w:val="0"/>
      <w:numFmt w:val="bullet"/>
      <w:lvlText w:val="•"/>
      <w:lvlJc w:val="left"/>
      <w:pPr>
        <w:ind w:left="1958" w:hanging="852"/>
      </w:pPr>
      <w:rPr>
        <w:rFonts w:hint="default"/>
        <w:lang w:val="en-US" w:eastAsia="zh-CN" w:bidi="ar-SA"/>
      </w:rPr>
    </w:lvl>
    <w:lvl w:ilvl="2">
      <w:start w:val="0"/>
      <w:numFmt w:val="bullet"/>
      <w:lvlText w:val="•"/>
      <w:lvlJc w:val="left"/>
      <w:pPr>
        <w:ind w:left="2817" w:hanging="852"/>
      </w:pPr>
      <w:rPr>
        <w:rFonts w:hint="default"/>
        <w:lang w:val="en-US" w:eastAsia="zh-CN" w:bidi="ar-SA"/>
      </w:rPr>
    </w:lvl>
    <w:lvl w:ilvl="3">
      <w:start w:val="0"/>
      <w:numFmt w:val="bullet"/>
      <w:lvlText w:val="•"/>
      <w:lvlJc w:val="left"/>
      <w:pPr>
        <w:ind w:left="3676" w:hanging="852"/>
      </w:pPr>
      <w:rPr>
        <w:rFonts w:hint="default"/>
        <w:lang w:val="en-US" w:eastAsia="zh-CN" w:bidi="ar-SA"/>
      </w:rPr>
    </w:lvl>
    <w:lvl w:ilvl="4">
      <w:start w:val="0"/>
      <w:numFmt w:val="bullet"/>
      <w:lvlText w:val="•"/>
      <w:lvlJc w:val="left"/>
      <w:pPr>
        <w:ind w:left="4534" w:hanging="852"/>
      </w:pPr>
      <w:rPr>
        <w:rFonts w:hint="default"/>
        <w:lang w:val="en-US" w:eastAsia="zh-CN" w:bidi="ar-SA"/>
      </w:rPr>
    </w:lvl>
    <w:lvl w:ilvl="5">
      <w:start w:val="0"/>
      <w:numFmt w:val="bullet"/>
      <w:lvlText w:val="•"/>
      <w:lvlJc w:val="left"/>
      <w:pPr>
        <w:ind w:left="5393" w:hanging="852"/>
      </w:pPr>
      <w:rPr>
        <w:rFonts w:hint="default"/>
        <w:lang w:val="en-US" w:eastAsia="zh-CN" w:bidi="ar-SA"/>
      </w:rPr>
    </w:lvl>
    <w:lvl w:ilvl="6">
      <w:start w:val="0"/>
      <w:numFmt w:val="bullet"/>
      <w:lvlText w:val="•"/>
      <w:lvlJc w:val="left"/>
      <w:pPr>
        <w:ind w:left="6252" w:hanging="852"/>
      </w:pPr>
      <w:rPr>
        <w:rFonts w:hint="default"/>
        <w:lang w:val="en-US" w:eastAsia="zh-CN" w:bidi="ar-SA"/>
      </w:rPr>
    </w:lvl>
    <w:lvl w:ilvl="7">
      <w:start w:val="0"/>
      <w:numFmt w:val="bullet"/>
      <w:lvlText w:val="•"/>
      <w:lvlJc w:val="left"/>
      <w:pPr>
        <w:ind w:left="7110" w:hanging="852"/>
      </w:pPr>
      <w:rPr>
        <w:rFonts w:hint="default"/>
        <w:lang w:val="en-US" w:eastAsia="zh-CN" w:bidi="ar-SA"/>
      </w:rPr>
    </w:lvl>
    <w:lvl w:ilvl="8">
      <w:start w:val="0"/>
      <w:numFmt w:val="bullet"/>
      <w:lvlText w:val="•"/>
      <w:lvlJc w:val="left"/>
      <w:pPr>
        <w:ind w:left="7969" w:hanging="852"/>
      </w:pPr>
      <w:rPr>
        <w:rFonts w:hint="default"/>
        <w:lang w:val="en-US" w:eastAsia="zh-CN" w:bidi="ar-SA"/>
      </w:rPr>
    </w:lvl>
  </w:abstractNum>
  <w:abstractNum w:abstractNumId="10">
    <w:nsid w:val="1D40F226"/>
    <w:multiLevelType w:val="hybridMultilevel"/>
    <w:tmpl w:val="00000000"/>
    <w:lvl w:ilvl="0">
      <w:start w:val="1"/>
      <w:numFmt w:val="decimal"/>
      <w:lvlText w:val="%1."/>
      <w:lvlJc w:val="left"/>
      <w:pPr>
        <w:ind w:left="1109" w:hanging="852"/>
        <w:jc w:val="left"/>
      </w:pPr>
      <w:rPr>
        <w:rFonts w:ascii="微软雅黑" w:eastAsia="微软雅黑" w:hAnsi="微软雅黑" w:cs="微软雅黑" w:hint="default"/>
        <w:b/>
        <w:bCs/>
        <w:i w:val="0"/>
        <w:iCs w:val="0"/>
        <w:w w:val="81"/>
        <w:sz w:val="24"/>
        <w:szCs w:val="24"/>
        <w:lang w:val="en-US" w:eastAsia="zh-CN" w:bidi="ar-SA"/>
      </w:rPr>
    </w:lvl>
    <w:lvl w:ilvl="1">
      <w:start w:val="0"/>
      <w:numFmt w:val="bullet"/>
      <w:lvlText w:val="•"/>
      <w:lvlJc w:val="left"/>
      <w:pPr>
        <w:ind w:left="1958" w:hanging="852"/>
      </w:pPr>
      <w:rPr>
        <w:rFonts w:hint="default"/>
        <w:lang w:val="en-US" w:eastAsia="zh-CN" w:bidi="ar-SA"/>
      </w:rPr>
    </w:lvl>
    <w:lvl w:ilvl="2">
      <w:start w:val="0"/>
      <w:numFmt w:val="bullet"/>
      <w:lvlText w:val="•"/>
      <w:lvlJc w:val="left"/>
      <w:pPr>
        <w:ind w:left="2817" w:hanging="852"/>
      </w:pPr>
      <w:rPr>
        <w:rFonts w:hint="default"/>
        <w:lang w:val="en-US" w:eastAsia="zh-CN" w:bidi="ar-SA"/>
      </w:rPr>
    </w:lvl>
    <w:lvl w:ilvl="3">
      <w:start w:val="0"/>
      <w:numFmt w:val="bullet"/>
      <w:lvlText w:val="•"/>
      <w:lvlJc w:val="left"/>
      <w:pPr>
        <w:ind w:left="3676" w:hanging="852"/>
      </w:pPr>
      <w:rPr>
        <w:rFonts w:hint="default"/>
        <w:lang w:val="en-US" w:eastAsia="zh-CN" w:bidi="ar-SA"/>
      </w:rPr>
    </w:lvl>
    <w:lvl w:ilvl="4">
      <w:start w:val="0"/>
      <w:numFmt w:val="bullet"/>
      <w:lvlText w:val="•"/>
      <w:lvlJc w:val="left"/>
      <w:pPr>
        <w:ind w:left="4534" w:hanging="852"/>
      </w:pPr>
      <w:rPr>
        <w:rFonts w:hint="default"/>
        <w:lang w:val="en-US" w:eastAsia="zh-CN" w:bidi="ar-SA"/>
      </w:rPr>
    </w:lvl>
    <w:lvl w:ilvl="5">
      <w:start w:val="0"/>
      <w:numFmt w:val="bullet"/>
      <w:lvlText w:val="•"/>
      <w:lvlJc w:val="left"/>
      <w:pPr>
        <w:ind w:left="5393" w:hanging="852"/>
      </w:pPr>
      <w:rPr>
        <w:rFonts w:hint="default"/>
        <w:lang w:val="en-US" w:eastAsia="zh-CN" w:bidi="ar-SA"/>
      </w:rPr>
    </w:lvl>
    <w:lvl w:ilvl="6">
      <w:start w:val="0"/>
      <w:numFmt w:val="bullet"/>
      <w:lvlText w:val="•"/>
      <w:lvlJc w:val="left"/>
      <w:pPr>
        <w:ind w:left="6252" w:hanging="852"/>
      </w:pPr>
      <w:rPr>
        <w:rFonts w:hint="default"/>
        <w:lang w:val="en-US" w:eastAsia="zh-CN" w:bidi="ar-SA"/>
      </w:rPr>
    </w:lvl>
    <w:lvl w:ilvl="7">
      <w:start w:val="0"/>
      <w:numFmt w:val="bullet"/>
      <w:lvlText w:val="•"/>
      <w:lvlJc w:val="left"/>
      <w:pPr>
        <w:ind w:left="7110" w:hanging="852"/>
      </w:pPr>
      <w:rPr>
        <w:rFonts w:hint="default"/>
        <w:lang w:val="en-US" w:eastAsia="zh-CN" w:bidi="ar-SA"/>
      </w:rPr>
    </w:lvl>
    <w:lvl w:ilvl="8">
      <w:start w:val="0"/>
      <w:numFmt w:val="bullet"/>
      <w:lvlText w:val="•"/>
      <w:lvlJc w:val="left"/>
      <w:pPr>
        <w:ind w:left="7969" w:hanging="852"/>
      </w:pPr>
      <w:rPr>
        <w:rFonts w:hint="default"/>
        <w:lang w:val="en-US" w:eastAsia="zh-CN" w:bidi="ar-SA"/>
      </w:rPr>
    </w:lvl>
  </w:abstractNum>
  <w:abstractNum w:abstractNumId="11">
    <w:nsid w:val="1FC8668A"/>
    <w:multiLevelType w:val="hybridMultilevel"/>
    <w:tmpl w:val="00000000"/>
    <w:lvl w:ilvl="0">
      <w:start w:val="1"/>
      <w:numFmt w:val="decimal"/>
      <w:lvlText w:val="%1."/>
      <w:lvlJc w:val="left"/>
      <w:pPr>
        <w:ind w:left="1109" w:hanging="852"/>
        <w:jc w:val="left"/>
      </w:pPr>
      <w:rPr>
        <w:rFonts w:ascii="微软雅黑" w:eastAsia="微软雅黑" w:hAnsi="微软雅黑" w:cs="微软雅黑" w:hint="default"/>
        <w:b/>
        <w:bCs/>
        <w:i w:val="0"/>
        <w:iCs w:val="0"/>
        <w:w w:val="81"/>
        <w:sz w:val="24"/>
        <w:szCs w:val="24"/>
        <w:lang w:val="en-US" w:eastAsia="zh-CN" w:bidi="ar-SA"/>
      </w:rPr>
    </w:lvl>
    <w:lvl w:ilvl="1">
      <w:start w:val="1"/>
      <w:numFmt w:val="decimal"/>
      <w:lvlText w:val="%1.%2"/>
      <w:lvlJc w:val="left"/>
      <w:pPr>
        <w:ind w:left="1108" w:hanging="851"/>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817" w:hanging="851"/>
      </w:pPr>
      <w:rPr>
        <w:rFonts w:hint="default"/>
        <w:lang w:val="en-US" w:eastAsia="zh-CN" w:bidi="ar-SA"/>
      </w:rPr>
    </w:lvl>
    <w:lvl w:ilvl="3">
      <w:start w:val="0"/>
      <w:numFmt w:val="bullet"/>
      <w:lvlText w:val="•"/>
      <w:lvlJc w:val="left"/>
      <w:pPr>
        <w:ind w:left="3676" w:hanging="851"/>
      </w:pPr>
      <w:rPr>
        <w:rFonts w:hint="default"/>
        <w:lang w:val="en-US" w:eastAsia="zh-CN" w:bidi="ar-SA"/>
      </w:rPr>
    </w:lvl>
    <w:lvl w:ilvl="4">
      <w:start w:val="0"/>
      <w:numFmt w:val="bullet"/>
      <w:lvlText w:val="•"/>
      <w:lvlJc w:val="left"/>
      <w:pPr>
        <w:ind w:left="4534" w:hanging="851"/>
      </w:pPr>
      <w:rPr>
        <w:rFonts w:hint="default"/>
        <w:lang w:val="en-US" w:eastAsia="zh-CN" w:bidi="ar-SA"/>
      </w:rPr>
    </w:lvl>
    <w:lvl w:ilvl="5">
      <w:start w:val="0"/>
      <w:numFmt w:val="bullet"/>
      <w:lvlText w:val="•"/>
      <w:lvlJc w:val="left"/>
      <w:pPr>
        <w:ind w:left="5393" w:hanging="851"/>
      </w:pPr>
      <w:rPr>
        <w:rFonts w:hint="default"/>
        <w:lang w:val="en-US" w:eastAsia="zh-CN" w:bidi="ar-SA"/>
      </w:rPr>
    </w:lvl>
    <w:lvl w:ilvl="6">
      <w:start w:val="0"/>
      <w:numFmt w:val="bullet"/>
      <w:lvlText w:val="•"/>
      <w:lvlJc w:val="left"/>
      <w:pPr>
        <w:ind w:left="6252" w:hanging="851"/>
      </w:pPr>
      <w:rPr>
        <w:rFonts w:hint="default"/>
        <w:lang w:val="en-US" w:eastAsia="zh-CN" w:bidi="ar-SA"/>
      </w:rPr>
    </w:lvl>
    <w:lvl w:ilvl="7">
      <w:start w:val="0"/>
      <w:numFmt w:val="bullet"/>
      <w:lvlText w:val="•"/>
      <w:lvlJc w:val="left"/>
      <w:pPr>
        <w:ind w:left="7110" w:hanging="851"/>
      </w:pPr>
      <w:rPr>
        <w:rFonts w:hint="default"/>
        <w:lang w:val="en-US" w:eastAsia="zh-CN" w:bidi="ar-SA"/>
      </w:rPr>
    </w:lvl>
    <w:lvl w:ilvl="8">
      <w:start w:val="0"/>
      <w:numFmt w:val="bullet"/>
      <w:lvlText w:val="•"/>
      <w:lvlJc w:val="left"/>
      <w:pPr>
        <w:ind w:left="7969" w:hanging="851"/>
      </w:pPr>
      <w:rPr>
        <w:rFonts w:hint="default"/>
        <w:lang w:val="en-US" w:eastAsia="zh-CN" w:bidi="ar-SA"/>
      </w:rPr>
    </w:lvl>
  </w:abstractNum>
  <w:abstractNum w:abstractNumId="12">
    <w:nsid w:val="22ACBBF7"/>
    <w:multiLevelType w:val="hybridMultilevel"/>
    <w:tmpl w:val="00000000"/>
    <w:lvl w:ilvl="0">
      <w:start w:val="1"/>
      <w:numFmt w:val="decimal"/>
      <w:lvlText w:val="%1."/>
      <w:lvlJc w:val="left"/>
      <w:pPr>
        <w:ind w:left="683" w:hanging="426"/>
        <w:jc w:val="left"/>
      </w:pPr>
      <w:rPr>
        <w:rFonts w:hint="default"/>
        <w:w w:val="81"/>
        <w:lang w:val="en-US" w:eastAsia="zh-CN" w:bidi="ar-SA"/>
      </w:rPr>
    </w:lvl>
    <w:lvl w:ilvl="1">
      <w:start w:val="1"/>
      <w:numFmt w:val="decimal"/>
      <w:lvlText w:val="%1.%2"/>
      <w:lvlJc w:val="left"/>
      <w:pPr>
        <w:ind w:left="825" w:hanging="567"/>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1805" w:hanging="567"/>
      </w:pPr>
      <w:rPr>
        <w:rFonts w:hint="default"/>
        <w:lang w:val="en-US" w:eastAsia="zh-CN" w:bidi="ar-SA"/>
      </w:rPr>
    </w:lvl>
    <w:lvl w:ilvl="3">
      <w:start w:val="0"/>
      <w:numFmt w:val="bullet"/>
      <w:lvlText w:val="•"/>
      <w:lvlJc w:val="left"/>
      <w:pPr>
        <w:ind w:left="2790" w:hanging="567"/>
      </w:pPr>
      <w:rPr>
        <w:rFonts w:hint="default"/>
        <w:lang w:val="en-US" w:eastAsia="zh-CN" w:bidi="ar-SA"/>
      </w:rPr>
    </w:lvl>
    <w:lvl w:ilvl="4">
      <w:start w:val="0"/>
      <w:numFmt w:val="bullet"/>
      <w:lvlText w:val="•"/>
      <w:lvlJc w:val="left"/>
      <w:pPr>
        <w:ind w:left="3775" w:hanging="567"/>
      </w:pPr>
      <w:rPr>
        <w:rFonts w:hint="default"/>
        <w:lang w:val="en-US" w:eastAsia="zh-CN" w:bidi="ar-SA"/>
      </w:rPr>
    </w:lvl>
    <w:lvl w:ilvl="5">
      <w:start w:val="0"/>
      <w:numFmt w:val="bullet"/>
      <w:lvlText w:val="•"/>
      <w:lvlJc w:val="left"/>
      <w:pPr>
        <w:ind w:left="4760" w:hanging="567"/>
      </w:pPr>
      <w:rPr>
        <w:rFonts w:hint="default"/>
        <w:lang w:val="en-US" w:eastAsia="zh-CN" w:bidi="ar-SA"/>
      </w:rPr>
    </w:lvl>
    <w:lvl w:ilvl="6">
      <w:start w:val="0"/>
      <w:numFmt w:val="bullet"/>
      <w:lvlText w:val="•"/>
      <w:lvlJc w:val="left"/>
      <w:pPr>
        <w:ind w:left="5746" w:hanging="567"/>
      </w:pPr>
      <w:rPr>
        <w:rFonts w:hint="default"/>
        <w:lang w:val="en-US" w:eastAsia="zh-CN" w:bidi="ar-SA"/>
      </w:rPr>
    </w:lvl>
    <w:lvl w:ilvl="7">
      <w:start w:val="0"/>
      <w:numFmt w:val="bullet"/>
      <w:lvlText w:val="•"/>
      <w:lvlJc w:val="left"/>
      <w:pPr>
        <w:ind w:left="6731" w:hanging="567"/>
      </w:pPr>
      <w:rPr>
        <w:rFonts w:hint="default"/>
        <w:lang w:val="en-US" w:eastAsia="zh-CN" w:bidi="ar-SA"/>
      </w:rPr>
    </w:lvl>
    <w:lvl w:ilvl="8">
      <w:start w:val="0"/>
      <w:numFmt w:val="bullet"/>
      <w:lvlText w:val="•"/>
      <w:lvlJc w:val="left"/>
      <w:pPr>
        <w:ind w:left="7716" w:hanging="567"/>
      </w:pPr>
      <w:rPr>
        <w:rFonts w:hint="default"/>
        <w:lang w:val="en-US" w:eastAsia="zh-CN" w:bidi="ar-SA"/>
      </w:rPr>
    </w:lvl>
  </w:abstractNum>
  <w:abstractNum w:abstractNumId="13">
    <w:nsid w:val="273256FE"/>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98" w:hanging="720"/>
      </w:pPr>
      <w:rPr>
        <w:rFonts w:hint="default"/>
        <w:lang w:val="en-US" w:eastAsia="zh-CN" w:bidi="ar-SA"/>
      </w:rPr>
    </w:lvl>
    <w:lvl w:ilvl="2">
      <w:start w:val="0"/>
      <w:numFmt w:val="bullet"/>
      <w:lvlText w:val="•"/>
      <w:lvlJc w:val="left"/>
      <w:pPr>
        <w:ind w:left="3297" w:hanging="720"/>
      </w:pPr>
      <w:rPr>
        <w:rFonts w:hint="default"/>
        <w:lang w:val="en-US" w:eastAsia="zh-CN" w:bidi="ar-SA"/>
      </w:rPr>
    </w:lvl>
    <w:lvl w:ilvl="3">
      <w:start w:val="0"/>
      <w:numFmt w:val="bullet"/>
      <w:lvlText w:val="•"/>
      <w:lvlJc w:val="left"/>
      <w:pPr>
        <w:ind w:left="4096" w:hanging="720"/>
      </w:pPr>
      <w:rPr>
        <w:rFonts w:hint="default"/>
        <w:lang w:val="en-US" w:eastAsia="zh-CN" w:bidi="ar-SA"/>
      </w:rPr>
    </w:lvl>
    <w:lvl w:ilvl="4">
      <w:start w:val="0"/>
      <w:numFmt w:val="bullet"/>
      <w:lvlText w:val="•"/>
      <w:lvlJc w:val="left"/>
      <w:pPr>
        <w:ind w:left="4894" w:hanging="720"/>
      </w:pPr>
      <w:rPr>
        <w:rFonts w:hint="default"/>
        <w:lang w:val="en-US" w:eastAsia="zh-CN" w:bidi="ar-SA"/>
      </w:rPr>
    </w:lvl>
    <w:lvl w:ilvl="5">
      <w:start w:val="0"/>
      <w:numFmt w:val="bullet"/>
      <w:lvlText w:val="•"/>
      <w:lvlJc w:val="left"/>
      <w:pPr>
        <w:ind w:left="5693" w:hanging="720"/>
      </w:pPr>
      <w:rPr>
        <w:rFonts w:hint="default"/>
        <w:lang w:val="en-US" w:eastAsia="zh-CN" w:bidi="ar-SA"/>
      </w:rPr>
    </w:lvl>
    <w:lvl w:ilvl="6">
      <w:start w:val="0"/>
      <w:numFmt w:val="bullet"/>
      <w:lvlText w:val="•"/>
      <w:lvlJc w:val="left"/>
      <w:pPr>
        <w:ind w:left="6492" w:hanging="720"/>
      </w:pPr>
      <w:rPr>
        <w:rFonts w:hint="default"/>
        <w:lang w:val="en-US" w:eastAsia="zh-CN" w:bidi="ar-SA"/>
      </w:rPr>
    </w:lvl>
    <w:lvl w:ilvl="7">
      <w:start w:val="0"/>
      <w:numFmt w:val="bullet"/>
      <w:lvlText w:val="•"/>
      <w:lvlJc w:val="left"/>
      <w:pPr>
        <w:ind w:left="7290" w:hanging="720"/>
      </w:pPr>
      <w:rPr>
        <w:rFonts w:hint="default"/>
        <w:lang w:val="en-US" w:eastAsia="zh-CN" w:bidi="ar-SA"/>
      </w:rPr>
    </w:lvl>
    <w:lvl w:ilvl="8">
      <w:start w:val="0"/>
      <w:numFmt w:val="bullet"/>
      <w:lvlText w:val="•"/>
      <w:lvlJc w:val="left"/>
      <w:pPr>
        <w:ind w:left="8089" w:hanging="720"/>
      </w:pPr>
      <w:rPr>
        <w:rFonts w:hint="default"/>
        <w:lang w:val="en-US" w:eastAsia="zh-CN" w:bidi="ar-SA"/>
      </w:rPr>
    </w:lvl>
  </w:abstractNum>
  <w:abstractNum w:abstractNumId="14">
    <w:nsid w:val="2F54E541"/>
    <w:multiLevelType w:val="hybridMultilevel"/>
    <w:tmpl w:val="00000000"/>
    <w:lvl w:ilvl="0">
      <w:start w:val="5"/>
      <w:numFmt w:val="decimal"/>
      <w:lvlText w:val="%1）"/>
      <w:lvlJc w:val="left"/>
      <w:pPr>
        <w:ind w:left="258" w:hanging="362"/>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202" w:hanging="362"/>
      </w:pPr>
      <w:rPr>
        <w:rFonts w:hint="default"/>
        <w:lang w:val="en-US" w:eastAsia="zh-CN" w:bidi="ar-SA"/>
      </w:rPr>
    </w:lvl>
    <w:lvl w:ilvl="2">
      <w:start w:val="0"/>
      <w:numFmt w:val="bullet"/>
      <w:lvlText w:val="•"/>
      <w:lvlJc w:val="left"/>
      <w:pPr>
        <w:ind w:left="2145" w:hanging="362"/>
      </w:pPr>
      <w:rPr>
        <w:rFonts w:hint="default"/>
        <w:lang w:val="en-US" w:eastAsia="zh-CN" w:bidi="ar-SA"/>
      </w:rPr>
    </w:lvl>
    <w:lvl w:ilvl="3">
      <w:start w:val="0"/>
      <w:numFmt w:val="bullet"/>
      <w:lvlText w:val="•"/>
      <w:lvlJc w:val="left"/>
      <w:pPr>
        <w:ind w:left="3088" w:hanging="362"/>
      </w:pPr>
      <w:rPr>
        <w:rFonts w:hint="default"/>
        <w:lang w:val="en-US" w:eastAsia="zh-CN" w:bidi="ar-SA"/>
      </w:rPr>
    </w:lvl>
    <w:lvl w:ilvl="4">
      <w:start w:val="0"/>
      <w:numFmt w:val="bullet"/>
      <w:lvlText w:val="•"/>
      <w:lvlJc w:val="left"/>
      <w:pPr>
        <w:ind w:left="4030" w:hanging="362"/>
      </w:pPr>
      <w:rPr>
        <w:rFonts w:hint="default"/>
        <w:lang w:val="en-US" w:eastAsia="zh-CN" w:bidi="ar-SA"/>
      </w:rPr>
    </w:lvl>
    <w:lvl w:ilvl="5">
      <w:start w:val="0"/>
      <w:numFmt w:val="bullet"/>
      <w:lvlText w:val="•"/>
      <w:lvlJc w:val="left"/>
      <w:pPr>
        <w:ind w:left="4973" w:hanging="362"/>
      </w:pPr>
      <w:rPr>
        <w:rFonts w:hint="default"/>
        <w:lang w:val="en-US" w:eastAsia="zh-CN" w:bidi="ar-SA"/>
      </w:rPr>
    </w:lvl>
    <w:lvl w:ilvl="6">
      <w:start w:val="0"/>
      <w:numFmt w:val="bullet"/>
      <w:lvlText w:val="•"/>
      <w:lvlJc w:val="left"/>
      <w:pPr>
        <w:ind w:left="5916" w:hanging="362"/>
      </w:pPr>
      <w:rPr>
        <w:rFonts w:hint="default"/>
        <w:lang w:val="en-US" w:eastAsia="zh-CN" w:bidi="ar-SA"/>
      </w:rPr>
    </w:lvl>
    <w:lvl w:ilvl="7">
      <w:start w:val="0"/>
      <w:numFmt w:val="bullet"/>
      <w:lvlText w:val="•"/>
      <w:lvlJc w:val="left"/>
      <w:pPr>
        <w:ind w:left="6858" w:hanging="362"/>
      </w:pPr>
      <w:rPr>
        <w:rFonts w:hint="default"/>
        <w:lang w:val="en-US" w:eastAsia="zh-CN" w:bidi="ar-SA"/>
      </w:rPr>
    </w:lvl>
    <w:lvl w:ilvl="8">
      <w:start w:val="0"/>
      <w:numFmt w:val="bullet"/>
      <w:lvlText w:val="•"/>
      <w:lvlJc w:val="left"/>
      <w:pPr>
        <w:ind w:left="7801" w:hanging="362"/>
      </w:pPr>
      <w:rPr>
        <w:rFonts w:hint="default"/>
        <w:lang w:val="en-US" w:eastAsia="zh-CN" w:bidi="ar-SA"/>
      </w:rPr>
    </w:lvl>
  </w:abstractNum>
  <w:abstractNum w:abstractNumId="15">
    <w:nsid w:val="31E59E47"/>
    <w:multiLevelType w:val="hybridMultilevel"/>
    <w:tmpl w:val="00000000"/>
    <w:lvl w:ilvl="0">
      <w:start w:val="1"/>
      <w:numFmt w:val="decimal"/>
      <w:lvlText w:val="%1."/>
      <w:lvlJc w:val="left"/>
      <w:pPr>
        <w:ind w:left="881" w:hanging="567"/>
        <w:jc w:val="left"/>
      </w:pPr>
      <w:rPr>
        <w:rFonts w:ascii="微软雅黑" w:eastAsia="微软雅黑" w:hAnsi="微软雅黑" w:cs="微软雅黑" w:hint="default"/>
        <w:b/>
        <w:bCs/>
        <w:i w:val="0"/>
        <w:iCs w:val="0"/>
        <w:w w:val="81"/>
        <w:sz w:val="24"/>
        <w:szCs w:val="24"/>
        <w:lang w:val="en-US" w:eastAsia="zh-CN" w:bidi="ar-SA"/>
      </w:rPr>
    </w:lvl>
    <w:lvl w:ilvl="1">
      <w:start w:val="1"/>
      <w:numFmt w:val="decimal"/>
      <w:lvlText w:val="（%2）"/>
      <w:lvlJc w:val="left"/>
      <w:pPr>
        <w:ind w:left="1584" w:hanging="907"/>
        <w:jc w:val="left"/>
      </w:pPr>
      <w:rPr>
        <w:rFonts w:ascii="宋体" w:eastAsia="宋体" w:hAnsi="宋体" w:cs="宋体" w:hint="default"/>
        <w:b w:val="0"/>
        <w:bCs w:val="0"/>
        <w:i w:val="0"/>
        <w:iCs w:val="0"/>
        <w:w w:val="100"/>
        <w:sz w:val="24"/>
        <w:szCs w:val="24"/>
        <w:lang w:val="en-US" w:eastAsia="zh-CN" w:bidi="ar-SA"/>
      </w:rPr>
    </w:lvl>
    <w:lvl w:ilvl="2">
      <w:start w:val="0"/>
      <w:numFmt w:val="bullet"/>
      <w:lvlText w:val="•"/>
      <w:lvlJc w:val="left"/>
      <w:pPr>
        <w:ind w:left="1600" w:hanging="907"/>
      </w:pPr>
      <w:rPr>
        <w:rFonts w:hint="default"/>
        <w:lang w:val="en-US" w:eastAsia="zh-CN" w:bidi="ar-SA"/>
      </w:rPr>
    </w:lvl>
    <w:lvl w:ilvl="3">
      <w:start w:val="0"/>
      <w:numFmt w:val="bullet"/>
      <w:lvlText w:val="•"/>
      <w:lvlJc w:val="left"/>
      <w:pPr>
        <w:ind w:left="2610" w:hanging="907"/>
      </w:pPr>
      <w:rPr>
        <w:rFonts w:hint="default"/>
        <w:lang w:val="en-US" w:eastAsia="zh-CN" w:bidi="ar-SA"/>
      </w:rPr>
    </w:lvl>
    <w:lvl w:ilvl="4">
      <w:start w:val="0"/>
      <w:numFmt w:val="bullet"/>
      <w:lvlText w:val="•"/>
      <w:lvlJc w:val="left"/>
      <w:pPr>
        <w:ind w:left="3621" w:hanging="907"/>
      </w:pPr>
      <w:rPr>
        <w:rFonts w:hint="default"/>
        <w:lang w:val="en-US" w:eastAsia="zh-CN" w:bidi="ar-SA"/>
      </w:rPr>
    </w:lvl>
    <w:lvl w:ilvl="5">
      <w:start w:val="0"/>
      <w:numFmt w:val="bullet"/>
      <w:lvlText w:val="•"/>
      <w:lvlJc w:val="left"/>
      <w:pPr>
        <w:ind w:left="4632" w:hanging="907"/>
      </w:pPr>
      <w:rPr>
        <w:rFonts w:hint="default"/>
        <w:lang w:val="en-US" w:eastAsia="zh-CN" w:bidi="ar-SA"/>
      </w:rPr>
    </w:lvl>
    <w:lvl w:ilvl="6">
      <w:start w:val="0"/>
      <w:numFmt w:val="bullet"/>
      <w:lvlText w:val="•"/>
      <w:lvlJc w:val="left"/>
      <w:pPr>
        <w:ind w:left="5643" w:hanging="907"/>
      </w:pPr>
      <w:rPr>
        <w:rFonts w:hint="default"/>
        <w:lang w:val="en-US" w:eastAsia="zh-CN" w:bidi="ar-SA"/>
      </w:rPr>
    </w:lvl>
    <w:lvl w:ilvl="7">
      <w:start w:val="0"/>
      <w:numFmt w:val="bullet"/>
      <w:lvlText w:val="•"/>
      <w:lvlJc w:val="left"/>
      <w:pPr>
        <w:ind w:left="6654" w:hanging="907"/>
      </w:pPr>
      <w:rPr>
        <w:rFonts w:hint="default"/>
        <w:lang w:val="en-US" w:eastAsia="zh-CN" w:bidi="ar-SA"/>
      </w:rPr>
    </w:lvl>
    <w:lvl w:ilvl="8">
      <w:start w:val="0"/>
      <w:numFmt w:val="bullet"/>
      <w:lvlText w:val="•"/>
      <w:lvlJc w:val="left"/>
      <w:pPr>
        <w:ind w:left="7665" w:hanging="907"/>
      </w:pPr>
      <w:rPr>
        <w:rFonts w:hint="default"/>
        <w:lang w:val="en-US" w:eastAsia="zh-CN" w:bidi="ar-SA"/>
      </w:rPr>
    </w:lvl>
  </w:abstractNum>
  <w:abstractNum w:abstractNumId="16">
    <w:nsid w:val="3817720C"/>
    <w:multiLevelType w:val="hybridMultilevel"/>
    <w:tmpl w:val="00000000"/>
    <w:lvl w:ilvl="0">
      <w:start w:val="0"/>
      <w:numFmt w:val="bullet"/>
      <w:lvlText w:val=""/>
      <w:lvlJc w:val="left"/>
      <w:pPr>
        <w:ind w:left="1938" w:hanging="420"/>
      </w:pPr>
      <w:rPr>
        <w:rFonts w:ascii="Wingdings" w:eastAsia="Wingdings" w:hAnsi="Wingdings" w:cs="Wingdings" w:hint="default"/>
        <w:b w:val="0"/>
        <w:bCs w:val="0"/>
        <w:i w:val="0"/>
        <w:iCs w:val="0"/>
        <w:w w:val="100"/>
        <w:sz w:val="24"/>
        <w:szCs w:val="24"/>
        <w:lang w:val="en-US" w:eastAsia="zh-CN" w:bidi="ar-SA"/>
      </w:rPr>
    </w:lvl>
    <w:lvl w:ilvl="1">
      <w:start w:val="0"/>
      <w:numFmt w:val="bullet"/>
      <w:lvlText w:val="•"/>
      <w:lvlJc w:val="left"/>
      <w:pPr>
        <w:ind w:left="2714" w:hanging="420"/>
      </w:pPr>
      <w:rPr>
        <w:rFonts w:hint="default"/>
        <w:lang w:val="en-US" w:eastAsia="zh-CN" w:bidi="ar-SA"/>
      </w:rPr>
    </w:lvl>
    <w:lvl w:ilvl="2">
      <w:start w:val="0"/>
      <w:numFmt w:val="bullet"/>
      <w:lvlText w:val="•"/>
      <w:lvlJc w:val="left"/>
      <w:pPr>
        <w:ind w:left="3489" w:hanging="420"/>
      </w:pPr>
      <w:rPr>
        <w:rFonts w:hint="default"/>
        <w:lang w:val="en-US" w:eastAsia="zh-CN" w:bidi="ar-SA"/>
      </w:rPr>
    </w:lvl>
    <w:lvl w:ilvl="3">
      <w:start w:val="0"/>
      <w:numFmt w:val="bullet"/>
      <w:lvlText w:val="•"/>
      <w:lvlJc w:val="left"/>
      <w:pPr>
        <w:ind w:left="4264" w:hanging="420"/>
      </w:pPr>
      <w:rPr>
        <w:rFonts w:hint="default"/>
        <w:lang w:val="en-US" w:eastAsia="zh-CN" w:bidi="ar-SA"/>
      </w:rPr>
    </w:lvl>
    <w:lvl w:ilvl="4">
      <w:start w:val="0"/>
      <w:numFmt w:val="bullet"/>
      <w:lvlText w:val="•"/>
      <w:lvlJc w:val="left"/>
      <w:pPr>
        <w:ind w:left="5038" w:hanging="420"/>
      </w:pPr>
      <w:rPr>
        <w:rFonts w:hint="default"/>
        <w:lang w:val="en-US" w:eastAsia="zh-CN" w:bidi="ar-SA"/>
      </w:rPr>
    </w:lvl>
    <w:lvl w:ilvl="5">
      <w:start w:val="0"/>
      <w:numFmt w:val="bullet"/>
      <w:lvlText w:val="•"/>
      <w:lvlJc w:val="left"/>
      <w:pPr>
        <w:ind w:left="5813" w:hanging="420"/>
      </w:pPr>
      <w:rPr>
        <w:rFonts w:hint="default"/>
        <w:lang w:val="en-US" w:eastAsia="zh-CN" w:bidi="ar-SA"/>
      </w:rPr>
    </w:lvl>
    <w:lvl w:ilvl="6">
      <w:start w:val="0"/>
      <w:numFmt w:val="bullet"/>
      <w:lvlText w:val="•"/>
      <w:lvlJc w:val="left"/>
      <w:pPr>
        <w:ind w:left="6588" w:hanging="420"/>
      </w:pPr>
      <w:rPr>
        <w:rFonts w:hint="default"/>
        <w:lang w:val="en-US" w:eastAsia="zh-CN" w:bidi="ar-SA"/>
      </w:rPr>
    </w:lvl>
    <w:lvl w:ilvl="7">
      <w:start w:val="0"/>
      <w:numFmt w:val="bullet"/>
      <w:lvlText w:val="•"/>
      <w:lvlJc w:val="left"/>
      <w:pPr>
        <w:ind w:left="7362" w:hanging="420"/>
      </w:pPr>
      <w:rPr>
        <w:rFonts w:hint="default"/>
        <w:lang w:val="en-US" w:eastAsia="zh-CN" w:bidi="ar-SA"/>
      </w:rPr>
    </w:lvl>
    <w:lvl w:ilvl="8">
      <w:start w:val="0"/>
      <w:numFmt w:val="bullet"/>
      <w:lvlText w:val="•"/>
      <w:lvlJc w:val="left"/>
      <w:pPr>
        <w:ind w:left="8137" w:hanging="420"/>
      </w:pPr>
      <w:rPr>
        <w:rFonts w:hint="default"/>
        <w:lang w:val="en-US" w:eastAsia="zh-CN" w:bidi="ar-SA"/>
      </w:rPr>
    </w:lvl>
  </w:abstractNum>
  <w:abstractNum w:abstractNumId="17">
    <w:nsid w:val="3C2B794D"/>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98" w:hanging="720"/>
      </w:pPr>
      <w:rPr>
        <w:rFonts w:hint="default"/>
        <w:lang w:val="en-US" w:eastAsia="zh-CN" w:bidi="ar-SA"/>
      </w:rPr>
    </w:lvl>
    <w:lvl w:ilvl="2">
      <w:start w:val="0"/>
      <w:numFmt w:val="bullet"/>
      <w:lvlText w:val="•"/>
      <w:lvlJc w:val="left"/>
      <w:pPr>
        <w:ind w:left="3297" w:hanging="720"/>
      </w:pPr>
      <w:rPr>
        <w:rFonts w:hint="default"/>
        <w:lang w:val="en-US" w:eastAsia="zh-CN" w:bidi="ar-SA"/>
      </w:rPr>
    </w:lvl>
    <w:lvl w:ilvl="3">
      <w:start w:val="0"/>
      <w:numFmt w:val="bullet"/>
      <w:lvlText w:val="•"/>
      <w:lvlJc w:val="left"/>
      <w:pPr>
        <w:ind w:left="4096" w:hanging="720"/>
      </w:pPr>
      <w:rPr>
        <w:rFonts w:hint="default"/>
        <w:lang w:val="en-US" w:eastAsia="zh-CN" w:bidi="ar-SA"/>
      </w:rPr>
    </w:lvl>
    <w:lvl w:ilvl="4">
      <w:start w:val="0"/>
      <w:numFmt w:val="bullet"/>
      <w:lvlText w:val="•"/>
      <w:lvlJc w:val="left"/>
      <w:pPr>
        <w:ind w:left="4894" w:hanging="720"/>
      </w:pPr>
      <w:rPr>
        <w:rFonts w:hint="default"/>
        <w:lang w:val="en-US" w:eastAsia="zh-CN" w:bidi="ar-SA"/>
      </w:rPr>
    </w:lvl>
    <w:lvl w:ilvl="5">
      <w:start w:val="0"/>
      <w:numFmt w:val="bullet"/>
      <w:lvlText w:val="•"/>
      <w:lvlJc w:val="left"/>
      <w:pPr>
        <w:ind w:left="5693" w:hanging="720"/>
      </w:pPr>
      <w:rPr>
        <w:rFonts w:hint="default"/>
        <w:lang w:val="en-US" w:eastAsia="zh-CN" w:bidi="ar-SA"/>
      </w:rPr>
    </w:lvl>
    <w:lvl w:ilvl="6">
      <w:start w:val="0"/>
      <w:numFmt w:val="bullet"/>
      <w:lvlText w:val="•"/>
      <w:lvlJc w:val="left"/>
      <w:pPr>
        <w:ind w:left="6492" w:hanging="720"/>
      </w:pPr>
      <w:rPr>
        <w:rFonts w:hint="default"/>
        <w:lang w:val="en-US" w:eastAsia="zh-CN" w:bidi="ar-SA"/>
      </w:rPr>
    </w:lvl>
    <w:lvl w:ilvl="7">
      <w:start w:val="0"/>
      <w:numFmt w:val="bullet"/>
      <w:lvlText w:val="•"/>
      <w:lvlJc w:val="left"/>
      <w:pPr>
        <w:ind w:left="7290" w:hanging="720"/>
      </w:pPr>
      <w:rPr>
        <w:rFonts w:hint="default"/>
        <w:lang w:val="en-US" w:eastAsia="zh-CN" w:bidi="ar-SA"/>
      </w:rPr>
    </w:lvl>
    <w:lvl w:ilvl="8">
      <w:start w:val="0"/>
      <w:numFmt w:val="bullet"/>
      <w:lvlText w:val="•"/>
      <w:lvlJc w:val="left"/>
      <w:pPr>
        <w:ind w:left="8089" w:hanging="720"/>
      </w:pPr>
      <w:rPr>
        <w:rFonts w:hint="default"/>
        <w:lang w:val="en-US" w:eastAsia="zh-CN" w:bidi="ar-SA"/>
      </w:rPr>
    </w:lvl>
  </w:abstractNum>
  <w:abstractNum w:abstractNumId="18">
    <w:nsid w:val="43523FD1"/>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98" w:hanging="720"/>
      </w:pPr>
      <w:rPr>
        <w:rFonts w:hint="default"/>
        <w:lang w:val="en-US" w:eastAsia="zh-CN" w:bidi="ar-SA"/>
      </w:rPr>
    </w:lvl>
    <w:lvl w:ilvl="2">
      <w:start w:val="0"/>
      <w:numFmt w:val="bullet"/>
      <w:lvlText w:val="•"/>
      <w:lvlJc w:val="left"/>
      <w:pPr>
        <w:ind w:left="3297" w:hanging="720"/>
      </w:pPr>
      <w:rPr>
        <w:rFonts w:hint="default"/>
        <w:lang w:val="en-US" w:eastAsia="zh-CN" w:bidi="ar-SA"/>
      </w:rPr>
    </w:lvl>
    <w:lvl w:ilvl="3">
      <w:start w:val="0"/>
      <w:numFmt w:val="bullet"/>
      <w:lvlText w:val="•"/>
      <w:lvlJc w:val="left"/>
      <w:pPr>
        <w:ind w:left="4096" w:hanging="720"/>
      </w:pPr>
      <w:rPr>
        <w:rFonts w:hint="default"/>
        <w:lang w:val="en-US" w:eastAsia="zh-CN" w:bidi="ar-SA"/>
      </w:rPr>
    </w:lvl>
    <w:lvl w:ilvl="4">
      <w:start w:val="0"/>
      <w:numFmt w:val="bullet"/>
      <w:lvlText w:val="•"/>
      <w:lvlJc w:val="left"/>
      <w:pPr>
        <w:ind w:left="4894" w:hanging="720"/>
      </w:pPr>
      <w:rPr>
        <w:rFonts w:hint="default"/>
        <w:lang w:val="en-US" w:eastAsia="zh-CN" w:bidi="ar-SA"/>
      </w:rPr>
    </w:lvl>
    <w:lvl w:ilvl="5">
      <w:start w:val="0"/>
      <w:numFmt w:val="bullet"/>
      <w:lvlText w:val="•"/>
      <w:lvlJc w:val="left"/>
      <w:pPr>
        <w:ind w:left="5693" w:hanging="720"/>
      </w:pPr>
      <w:rPr>
        <w:rFonts w:hint="default"/>
        <w:lang w:val="en-US" w:eastAsia="zh-CN" w:bidi="ar-SA"/>
      </w:rPr>
    </w:lvl>
    <w:lvl w:ilvl="6">
      <w:start w:val="0"/>
      <w:numFmt w:val="bullet"/>
      <w:lvlText w:val="•"/>
      <w:lvlJc w:val="left"/>
      <w:pPr>
        <w:ind w:left="6492" w:hanging="720"/>
      </w:pPr>
      <w:rPr>
        <w:rFonts w:hint="default"/>
        <w:lang w:val="en-US" w:eastAsia="zh-CN" w:bidi="ar-SA"/>
      </w:rPr>
    </w:lvl>
    <w:lvl w:ilvl="7">
      <w:start w:val="0"/>
      <w:numFmt w:val="bullet"/>
      <w:lvlText w:val="•"/>
      <w:lvlJc w:val="left"/>
      <w:pPr>
        <w:ind w:left="7290" w:hanging="720"/>
      </w:pPr>
      <w:rPr>
        <w:rFonts w:hint="default"/>
        <w:lang w:val="en-US" w:eastAsia="zh-CN" w:bidi="ar-SA"/>
      </w:rPr>
    </w:lvl>
    <w:lvl w:ilvl="8">
      <w:start w:val="0"/>
      <w:numFmt w:val="bullet"/>
      <w:lvlText w:val="•"/>
      <w:lvlJc w:val="left"/>
      <w:pPr>
        <w:ind w:left="8089" w:hanging="720"/>
      </w:pPr>
      <w:rPr>
        <w:rFonts w:hint="default"/>
        <w:lang w:val="en-US" w:eastAsia="zh-CN" w:bidi="ar-SA"/>
      </w:rPr>
    </w:lvl>
  </w:abstractNum>
  <w:abstractNum w:abstractNumId="19">
    <w:nsid w:val="45691FF5"/>
    <w:multiLevelType w:val="hybridMultilevel"/>
    <w:tmpl w:val="00000000"/>
    <w:lvl w:ilvl="0">
      <w:start w:val="5"/>
      <w:numFmt w:val="decimal"/>
      <w:lvlText w:val="%1"/>
      <w:lvlJc w:val="left"/>
      <w:pPr>
        <w:ind w:left="1040" w:hanging="363"/>
        <w:jc w:val="left"/>
      </w:pPr>
      <w:rPr>
        <w:rFonts w:hint="default"/>
        <w:lang w:val="en-US" w:eastAsia="zh-CN" w:bidi="ar-SA"/>
      </w:rPr>
    </w:lvl>
    <w:lvl w:ilvl="1">
      <w:start w:val="1"/>
      <w:numFmt w:val="decimal"/>
      <w:lvlText w:val="%1.%2"/>
      <w:lvlJc w:val="left"/>
      <w:pPr>
        <w:ind w:left="1040" w:hanging="363"/>
        <w:jc w:val="left"/>
      </w:pPr>
      <w:rPr>
        <w:rFonts w:ascii="Microsoft JhengHei" w:eastAsia="Microsoft JhengHei" w:hAnsi="Microsoft JhengHei" w:cs="Microsoft JhengHei" w:hint="default"/>
        <w:b/>
        <w:bCs/>
        <w:i w:val="0"/>
        <w:iCs w:val="0"/>
        <w:w w:val="83"/>
        <w:sz w:val="22"/>
        <w:szCs w:val="22"/>
        <w:lang w:val="en-US" w:eastAsia="zh-CN" w:bidi="ar-SA"/>
      </w:rPr>
    </w:lvl>
    <w:lvl w:ilvl="2">
      <w:start w:val="0"/>
      <w:numFmt w:val="bullet"/>
      <w:lvlText w:val="•"/>
      <w:lvlJc w:val="left"/>
      <w:pPr>
        <w:ind w:left="2769" w:hanging="363"/>
      </w:pPr>
      <w:rPr>
        <w:rFonts w:hint="default"/>
        <w:lang w:val="en-US" w:eastAsia="zh-CN" w:bidi="ar-SA"/>
      </w:rPr>
    </w:lvl>
    <w:lvl w:ilvl="3">
      <w:start w:val="0"/>
      <w:numFmt w:val="bullet"/>
      <w:lvlText w:val="•"/>
      <w:lvlJc w:val="left"/>
      <w:pPr>
        <w:ind w:left="3634" w:hanging="363"/>
      </w:pPr>
      <w:rPr>
        <w:rFonts w:hint="default"/>
        <w:lang w:val="en-US" w:eastAsia="zh-CN" w:bidi="ar-SA"/>
      </w:rPr>
    </w:lvl>
    <w:lvl w:ilvl="4">
      <w:start w:val="0"/>
      <w:numFmt w:val="bullet"/>
      <w:lvlText w:val="•"/>
      <w:lvlJc w:val="left"/>
      <w:pPr>
        <w:ind w:left="4498" w:hanging="363"/>
      </w:pPr>
      <w:rPr>
        <w:rFonts w:hint="default"/>
        <w:lang w:val="en-US" w:eastAsia="zh-CN" w:bidi="ar-SA"/>
      </w:rPr>
    </w:lvl>
    <w:lvl w:ilvl="5">
      <w:start w:val="0"/>
      <w:numFmt w:val="bullet"/>
      <w:lvlText w:val="•"/>
      <w:lvlJc w:val="left"/>
      <w:pPr>
        <w:ind w:left="5363" w:hanging="363"/>
      </w:pPr>
      <w:rPr>
        <w:rFonts w:hint="default"/>
        <w:lang w:val="en-US" w:eastAsia="zh-CN" w:bidi="ar-SA"/>
      </w:rPr>
    </w:lvl>
    <w:lvl w:ilvl="6">
      <w:start w:val="0"/>
      <w:numFmt w:val="bullet"/>
      <w:lvlText w:val="•"/>
      <w:lvlJc w:val="left"/>
      <w:pPr>
        <w:ind w:left="6228" w:hanging="363"/>
      </w:pPr>
      <w:rPr>
        <w:rFonts w:hint="default"/>
        <w:lang w:val="en-US" w:eastAsia="zh-CN" w:bidi="ar-SA"/>
      </w:rPr>
    </w:lvl>
    <w:lvl w:ilvl="7">
      <w:start w:val="0"/>
      <w:numFmt w:val="bullet"/>
      <w:lvlText w:val="•"/>
      <w:lvlJc w:val="left"/>
      <w:pPr>
        <w:ind w:left="7092" w:hanging="363"/>
      </w:pPr>
      <w:rPr>
        <w:rFonts w:hint="default"/>
        <w:lang w:val="en-US" w:eastAsia="zh-CN" w:bidi="ar-SA"/>
      </w:rPr>
    </w:lvl>
    <w:lvl w:ilvl="8">
      <w:start w:val="0"/>
      <w:numFmt w:val="bullet"/>
      <w:lvlText w:val="•"/>
      <w:lvlJc w:val="left"/>
      <w:pPr>
        <w:ind w:left="7957" w:hanging="363"/>
      </w:pPr>
      <w:rPr>
        <w:rFonts w:hint="default"/>
        <w:lang w:val="en-US" w:eastAsia="zh-CN" w:bidi="ar-SA"/>
      </w:rPr>
    </w:lvl>
  </w:abstractNum>
  <w:abstractNum w:abstractNumId="20">
    <w:nsid w:val="497E50B0"/>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98" w:hanging="720"/>
      </w:pPr>
      <w:rPr>
        <w:rFonts w:hint="default"/>
        <w:lang w:val="en-US" w:eastAsia="zh-CN" w:bidi="ar-SA"/>
      </w:rPr>
    </w:lvl>
    <w:lvl w:ilvl="2">
      <w:start w:val="0"/>
      <w:numFmt w:val="bullet"/>
      <w:lvlText w:val="•"/>
      <w:lvlJc w:val="left"/>
      <w:pPr>
        <w:ind w:left="3297" w:hanging="720"/>
      </w:pPr>
      <w:rPr>
        <w:rFonts w:hint="default"/>
        <w:lang w:val="en-US" w:eastAsia="zh-CN" w:bidi="ar-SA"/>
      </w:rPr>
    </w:lvl>
    <w:lvl w:ilvl="3">
      <w:start w:val="0"/>
      <w:numFmt w:val="bullet"/>
      <w:lvlText w:val="•"/>
      <w:lvlJc w:val="left"/>
      <w:pPr>
        <w:ind w:left="4096" w:hanging="720"/>
      </w:pPr>
      <w:rPr>
        <w:rFonts w:hint="default"/>
        <w:lang w:val="en-US" w:eastAsia="zh-CN" w:bidi="ar-SA"/>
      </w:rPr>
    </w:lvl>
    <w:lvl w:ilvl="4">
      <w:start w:val="0"/>
      <w:numFmt w:val="bullet"/>
      <w:lvlText w:val="•"/>
      <w:lvlJc w:val="left"/>
      <w:pPr>
        <w:ind w:left="4894" w:hanging="720"/>
      </w:pPr>
      <w:rPr>
        <w:rFonts w:hint="default"/>
        <w:lang w:val="en-US" w:eastAsia="zh-CN" w:bidi="ar-SA"/>
      </w:rPr>
    </w:lvl>
    <w:lvl w:ilvl="5">
      <w:start w:val="0"/>
      <w:numFmt w:val="bullet"/>
      <w:lvlText w:val="•"/>
      <w:lvlJc w:val="left"/>
      <w:pPr>
        <w:ind w:left="5693" w:hanging="720"/>
      </w:pPr>
      <w:rPr>
        <w:rFonts w:hint="default"/>
        <w:lang w:val="en-US" w:eastAsia="zh-CN" w:bidi="ar-SA"/>
      </w:rPr>
    </w:lvl>
    <w:lvl w:ilvl="6">
      <w:start w:val="0"/>
      <w:numFmt w:val="bullet"/>
      <w:lvlText w:val="•"/>
      <w:lvlJc w:val="left"/>
      <w:pPr>
        <w:ind w:left="6492" w:hanging="720"/>
      </w:pPr>
      <w:rPr>
        <w:rFonts w:hint="default"/>
        <w:lang w:val="en-US" w:eastAsia="zh-CN" w:bidi="ar-SA"/>
      </w:rPr>
    </w:lvl>
    <w:lvl w:ilvl="7">
      <w:start w:val="0"/>
      <w:numFmt w:val="bullet"/>
      <w:lvlText w:val="•"/>
      <w:lvlJc w:val="left"/>
      <w:pPr>
        <w:ind w:left="7290" w:hanging="720"/>
      </w:pPr>
      <w:rPr>
        <w:rFonts w:hint="default"/>
        <w:lang w:val="en-US" w:eastAsia="zh-CN" w:bidi="ar-SA"/>
      </w:rPr>
    </w:lvl>
    <w:lvl w:ilvl="8">
      <w:start w:val="0"/>
      <w:numFmt w:val="bullet"/>
      <w:lvlText w:val="•"/>
      <w:lvlJc w:val="left"/>
      <w:pPr>
        <w:ind w:left="8089" w:hanging="720"/>
      </w:pPr>
      <w:rPr>
        <w:rFonts w:hint="default"/>
        <w:lang w:val="en-US" w:eastAsia="zh-CN" w:bidi="ar-SA"/>
      </w:rPr>
    </w:lvl>
  </w:abstractNum>
  <w:abstractNum w:abstractNumId="21">
    <w:nsid w:val="4AC4DE9F"/>
    <w:multiLevelType w:val="hybridMultilevel"/>
    <w:tmpl w:val="00000000"/>
    <w:lvl w:ilvl="0">
      <w:start w:val="1"/>
      <w:numFmt w:val="decimal"/>
      <w:lvlText w:val="%1."/>
      <w:lvlJc w:val="left"/>
      <w:pPr>
        <w:ind w:left="1109" w:hanging="852"/>
        <w:jc w:val="left"/>
      </w:pPr>
      <w:rPr>
        <w:rFonts w:hint="default"/>
        <w:w w:val="81"/>
        <w:lang w:val="en-US" w:eastAsia="zh-CN" w:bidi="ar-SA"/>
      </w:rPr>
    </w:lvl>
    <w:lvl w:ilvl="1">
      <w:start w:val="0"/>
      <w:numFmt w:val="bullet"/>
      <w:lvlText w:val="•"/>
      <w:lvlJc w:val="left"/>
      <w:pPr>
        <w:ind w:left="1958" w:hanging="852"/>
      </w:pPr>
      <w:rPr>
        <w:rFonts w:hint="default"/>
        <w:lang w:val="en-US" w:eastAsia="zh-CN" w:bidi="ar-SA"/>
      </w:rPr>
    </w:lvl>
    <w:lvl w:ilvl="2">
      <w:start w:val="0"/>
      <w:numFmt w:val="bullet"/>
      <w:lvlText w:val="•"/>
      <w:lvlJc w:val="left"/>
      <w:pPr>
        <w:ind w:left="2817" w:hanging="852"/>
      </w:pPr>
      <w:rPr>
        <w:rFonts w:hint="default"/>
        <w:lang w:val="en-US" w:eastAsia="zh-CN" w:bidi="ar-SA"/>
      </w:rPr>
    </w:lvl>
    <w:lvl w:ilvl="3">
      <w:start w:val="0"/>
      <w:numFmt w:val="bullet"/>
      <w:lvlText w:val="•"/>
      <w:lvlJc w:val="left"/>
      <w:pPr>
        <w:ind w:left="3676" w:hanging="852"/>
      </w:pPr>
      <w:rPr>
        <w:rFonts w:hint="default"/>
        <w:lang w:val="en-US" w:eastAsia="zh-CN" w:bidi="ar-SA"/>
      </w:rPr>
    </w:lvl>
    <w:lvl w:ilvl="4">
      <w:start w:val="0"/>
      <w:numFmt w:val="bullet"/>
      <w:lvlText w:val="•"/>
      <w:lvlJc w:val="left"/>
      <w:pPr>
        <w:ind w:left="4534" w:hanging="852"/>
      </w:pPr>
      <w:rPr>
        <w:rFonts w:hint="default"/>
        <w:lang w:val="en-US" w:eastAsia="zh-CN" w:bidi="ar-SA"/>
      </w:rPr>
    </w:lvl>
    <w:lvl w:ilvl="5">
      <w:start w:val="0"/>
      <w:numFmt w:val="bullet"/>
      <w:lvlText w:val="•"/>
      <w:lvlJc w:val="left"/>
      <w:pPr>
        <w:ind w:left="5393" w:hanging="852"/>
      </w:pPr>
      <w:rPr>
        <w:rFonts w:hint="default"/>
        <w:lang w:val="en-US" w:eastAsia="zh-CN" w:bidi="ar-SA"/>
      </w:rPr>
    </w:lvl>
    <w:lvl w:ilvl="6">
      <w:start w:val="0"/>
      <w:numFmt w:val="bullet"/>
      <w:lvlText w:val="•"/>
      <w:lvlJc w:val="left"/>
      <w:pPr>
        <w:ind w:left="6252" w:hanging="852"/>
      </w:pPr>
      <w:rPr>
        <w:rFonts w:hint="default"/>
        <w:lang w:val="en-US" w:eastAsia="zh-CN" w:bidi="ar-SA"/>
      </w:rPr>
    </w:lvl>
    <w:lvl w:ilvl="7">
      <w:start w:val="0"/>
      <w:numFmt w:val="bullet"/>
      <w:lvlText w:val="•"/>
      <w:lvlJc w:val="left"/>
      <w:pPr>
        <w:ind w:left="7110" w:hanging="852"/>
      </w:pPr>
      <w:rPr>
        <w:rFonts w:hint="default"/>
        <w:lang w:val="en-US" w:eastAsia="zh-CN" w:bidi="ar-SA"/>
      </w:rPr>
    </w:lvl>
    <w:lvl w:ilvl="8">
      <w:start w:val="0"/>
      <w:numFmt w:val="bullet"/>
      <w:lvlText w:val="•"/>
      <w:lvlJc w:val="left"/>
      <w:pPr>
        <w:ind w:left="7969" w:hanging="852"/>
      </w:pPr>
      <w:rPr>
        <w:rFonts w:hint="default"/>
        <w:lang w:val="en-US" w:eastAsia="zh-CN" w:bidi="ar-SA"/>
      </w:rPr>
    </w:lvl>
  </w:abstractNum>
  <w:abstractNum w:abstractNumId="22">
    <w:nsid w:val="504AE826"/>
    <w:multiLevelType w:val="hybridMultilevel"/>
    <w:tmpl w:val="00000000"/>
    <w:lvl w:ilvl="0">
      <w:start w:val="1"/>
      <w:numFmt w:val="decimal"/>
      <w:lvlText w:val="%1)"/>
      <w:lvlJc w:val="left"/>
      <w:pPr>
        <w:ind w:left="258" w:hanging="24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202" w:hanging="241"/>
      </w:pPr>
      <w:rPr>
        <w:rFonts w:hint="default"/>
        <w:lang w:val="en-US" w:eastAsia="zh-CN" w:bidi="ar-SA"/>
      </w:rPr>
    </w:lvl>
    <w:lvl w:ilvl="2">
      <w:start w:val="0"/>
      <w:numFmt w:val="bullet"/>
      <w:lvlText w:val="•"/>
      <w:lvlJc w:val="left"/>
      <w:pPr>
        <w:ind w:left="2145" w:hanging="241"/>
      </w:pPr>
      <w:rPr>
        <w:rFonts w:hint="default"/>
        <w:lang w:val="en-US" w:eastAsia="zh-CN" w:bidi="ar-SA"/>
      </w:rPr>
    </w:lvl>
    <w:lvl w:ilvl="3">
      <w:start w:val="0"/>
      <w:numFmt w:val="bullet"/>
      <w:lvlText w:val="•"/>
      <w:lvlJc w:val="left"/>
      <w:pPr>
        <w:ind w:left="3088" w:hanging="241"/>
      </w:pPr>
      <w:rPr>
        <w:rFonts w:hint="default"/>
        <w:lang w:val="en-US" w:eastAsia="zh-CN" w:bidi="ar-SA"/>
      </w:rPr>
    </w:lvl>
    <w:lvl w:ilvl="4">
      <w:start w:val="0"/>
      <w:numFmt w:val="bullet"/>
      <w:lvlText w:val="•"/>
      <w:lvlJc w:val="left"/>
      <w:pPr>
        <w:ind w:left="4030" w:hanging="241"/>
      </w:pPr>
      <w:rPr>
        <w:rFonts w:hint="default"/>
        <w:lang w:val="en-US" w:eastAsia="zh-CN" w:bidi="ar-SA"/>
      </w:rPr>
    </w:lvl>
    <w:lvl w:ilvl="5">
      <w:start w:val="0"/>
      <w:numFmt w:val="bullet"/>
      <w:lvlText w:val="•"/>
      <w:lvlJc w:val="left"/>
      <w:pPr>
        <w:ind w:left="4973" w:hanging="241"/>
      </w:pPr>
      <w:rPr>
        <w:rFonts w:hint="default"/>
        <w:lang w:val="en-US" w:eastAsia="zh-CN" w:bidi="ar-SA"/>
      </w:rPr>
    </w:lvl>
    <w:lvl w:ilvl="6">
      <w:start w:val="0"/>
      <w:numFmt w:val="bullet"/>
      <w:lvlText w:val="•"/>
      <w:lvlJc w:val="left"/>
      <w:pPr>
        <w:ind w:left="5916" w:hanging="241"/>
      </w:pPr>
      <w:rPr>
        <w:rFonts w:hint="default"/>
        <w:lang w:val="en-US" w:eastAsia="zh-CN" w:bidi="ar-SA"/>
      </w:rPr>
    </w:lvl>
    <w:lvl w:ilvl="7">
      <w:start w:val="0"/>
      <w:numFmt w:val="bullet"/>
      <w:lvlText w:val="•"/>
      <w:lvlJc w:val="left"/>
      <w:pPr>
        <w:ind w:left="6858" w:hanging="241"/>
      </w:pPr>
      <w:rPr>
        <w:rFonts w:hint="default"/>
        <w:lang w:val="en-US" w:eastAsia="zh-CN" w:bidi="ar-SA"/>
      </w:rPr>
    </w:lvl>
    <w:lvl w:ilvl="8">
      <w:start w:val="0"/>
      <w:numFmt w:val="bullet"/>
      <w:lvlText w:val="•"/>
      <w:lvlJc w:val="left"/>
      <w:pPr>
        <w:ind w:left="7801" w:hanging="241"/>
      </w:pPr>
      <w:rPr>
        <w:rFonts w:hint="default"/>
        <w:lang w:val="en-US" w:eastAsia="zh-CN" w:bidi="ar-SA"/>
      </w:rPr>
    </w:lvl>
  </w:abstractNum>
  <w:abstractNum w:abstractNumId="23">
    <w:nsid w:val="50C5DD23"/>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98" w:hanging="720"/>
      </w:pPr>
      <w:rPr>
        <w:rFonts w:hint="default"/>
        <w:lang w:val="en-US" w:eastAsia="zh-CN" w:bidi="ar-SA"/>
      </w:rPr>
    </w:lvl>
    <w:lvl w:ilvl="2">
      <w:start w:val="0"/>
      <w:numFmt w:val="bullet"/>
      <w:lvlText w:val="•"/>
      <w:lvlJc w:val="left"/>
      <w:pPr>
        <w:ind w:left="3297" w:hanging="720"/>
      </w:pPr>
      <w:rPr>
        <w:rFonts w:hint="default"/>
        <w:lang w:val="en-US" w:eastAsia="zh-CN" w:bidi="ar-SA"/>
      </w:rPr>
    </w:lvl>
    <w:lvl w:ilvl="3">
      <w:start w:val="0"/>
      <w:numFmt w:val="bullet"/>
      <w:lvlText w:val="•"/>
      <w:lvlJc w:val="left"/>
      <w:pPr>
        <w:ind w:left="4096" w:hanging="720"/>
      </w:pPr>
      <w:rPr>
        <w:rFonts w:hint="default"/>
        <w:lang w:val="en-US" w:eastAsia="zh-CN" w:bidi="ar-SA"/>
      </w:rPr>
    </w:lvl>
    <w:lvl w:ilvl="4">
      <w:start w:val="0"/>
      <w:numFmt w:val="bullet"/>
      <w:lvlText w:val="•"/>
      <w:lvlJc w:val="left"/>
      <w:pPr>
        <w:ind w:left="4894" w:hanging="720"/>
      </w:pPr>
      <w:rPr>
        <w:rFonts w:hint="default"/>
        <w:lang w:val="en-US" w:eastAsia="zh-CN" w:bidi="ar-SA"/>
      </w:rPr>
    </w:lvl>
    <w:lvl w:ilvl="5">
      <w:start w:val="0"/>
      <w:numFmt w:val="bullet"/>
      <w:lvlText w:val="•"/>
      <w:lvlJc w:val="left"/>
      <w:pPr>
        <w:ind w:left="5693" w:hanging="720"/>
      </w:pPr>
      <w:rPr>
        <w:rFonts w:hint="default"/>
        <w:lang w:val="en-US" w:eastAsia="zh-CN" w:bidi="ar-SA"/>
      </w:rPr>
    </w:lvl>
    <w:lvl w:ilvl="6">
      <w:start w:val="0"/>
      <w:numFmt w:val="bullet"/>
      <w:lvlText w:val="•"/>
      <w:lvlJc w:val="left"/>
      <w:pPr>
        <w:ind w:left="6492" w:hanging="720"/>
      </w:pPr>
      <w:rPr>
        <w:rFonts w:hint="default"/>
        <w:lang w:val="en-US" w:eastAsia="zh-CN" w:bidi="ar-SA"/>
      </w:rPr>
    </w:lvl>
    <w:lvl w:ilvl="7">
      <w:start w:val="0"/>
      <w:numFmt w:val="bullet"/>
      <w:lvlText w:val="•"/>
      <w:lvlJc w:val="left"/>
      <w:pPr>
        <w:ind w:left="7290" w:hanging="720"/>
      </w:pPr>
      <w:rPr>
        <w:rFonts w:hint="default"/>
        <w:lang w:val="en-US" w:eastAsia="zh-CN" w:bidi="ar-SA"/>
      </w:rPr>
    </w:lvl>
    <w:lvl w:ilvl="8">
      <w:start w:val="0"/>
      <w:numFmt w:val="bullet"/>
      <w:lvlText w:val="•"/>
      <w:lvlJc w:val="left"/>
      <w:pPr>
        <w:ind w:left="8089" w:hanging="720"/>
      </w:pPr>
      <w:rPr>
        <w:rFonts w:hint="default"/>
        <w:lang w:val="en-US" w:eastAsia="zh-CN" w:bidi="ar-SA"/>
      </w:rPr>
    </w:lvl>
  </w:abstractNum>
  <w:abstractNum w:abstractNumId="24">
    <w:nsid w:val="52CD659F"/>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732" w:hanging="360"/>
      </w:pPr>
      <w:rPr>
        <w:rFonts w:ascii="Wingdings" w:eastAsia="Wingdings" w:hAnsi="Wingdings" w:cs="Wingdings" w:hint="default"/>
        <w:b w:val="0"/>
        <w:bCs w:val="0"/>
        <w:i w:val="0"/>
        <w:iCs w:val="0"/>
        <w:w w:val="100"/>
        <w:sz w:val="24"/>
        <w:szCs w:val="24"/>
        <w:lang w:val="en-US" w:eastAsia="zh-CN" w:bidi="ar-SA"/>
      </w:rPr>
    </w:lvl>
    <w:lvl w:ilvl="2">
      <w:start w:val="0"/>
      <w:numFmt w:val="bullet"/>
      <w:lvlText w:val="•"/>
      <w:lvlJc w:val="left"/>
      <w:pPr>
        <w:ind w:left="2623" w:hanging="360"/>
      </w:pPr>
      <w:rPr>
        <w:rFonts w:hint="default"/>
        <w:lang w:val="en-US" w:eastAsia="zh-CN" w:bidi="ar-SA"/>
      </w:rPr>
    </w:lvl>
    <w:lvl w:ilvl="3">
      <w:start w:val="0"/>
      <w:numFmt w:val="bullet"/>
      <w:lvlText w:val="•"/>
      <w:lvlJc w:val="left"/>
      <w:pPr>
        <w:ind w:left="3506" w:hanging="360"/>
      </w:pPr>
      <w:rPr>
        <w:rFonts w:hint="default"/>
        <w:lang w:val="en-US" w:eastAsia="zh-CN" w:bidi="ar-SA"/>
      </w:rPr>
    </w:lvl>
    <w:lvl w:ilvl="4">
      <w:start w:val="0"/>
      <w:numFmt w:val="bullet"/>
      <w:lvlText w:val="•"/>
      <w:lvlJc w:val="left"/>
      <w:pPr>
        <w:ind w:left="4389" w:hanging="360"/>
      </w:pPr>
      <w:rPr>
        <w:rFonts w:hint="default"/>
        <w:lang w:val="en-US" w:eastAsia="zh-CN" w:bidi="ar-SA"/>
      </w:rPr>
    </w:lvl>
    <w:lvl w:ilvl="5">
      <w:start w:val="0"/>
      <w:numFmt w:val="bullet"/>
      <w:lvlText w:val="•"/>
      <w:lvlJc w:val="left"/>
      <w:pPr>
        <w:ind w:left="5272" w:hanging="360"/>
      </w:pPr>
      <w:rPr>
        <w:rFonts w:hint="default"/>
        <w:lang w:val="en-US" w:eastAsia="zh-CN" w:bidi="ar-SA"/>
      </w:rPr>
    </w:lvl>
    <w:lvl w:ilvl="6">
      <w:start w:val="0"/>
      <w:numFmt w:val="bullet"/>
      <w:lvlText w:val="•"/>
      <w:lvlJc w:val="left"/>
      <w:pPr>
        <w:ind w:left="6155" w:hanging="360"/>
      </w:pPr>
      <w:rPr>
        <w:rFonts w:hint="default"/>
        <w:lang w:val="en-US" w:eastAsia="zh-CN" w:bidi="ar-SA"/>
      </w:rPr>
    </w:lvl>
    <w:lvl w:ilvl="7">
      <w:start w:val="0"/>
      <w:numFmt w:val="bullet"/>
      <w:lvlText w:val="•"/>
      <w:lvlJc w:val="left"/>
      <w:pPr>
        <w:ind w:left="7038" w:hanging="360"/>
      </w:pPr>
      <w:rPr>
        <w:rFonts w:hint="default"/>
        <w:lang w:val="en-US" w:eastAsia="zh-CN" w:bidi="ar-SA"/>
      </w:rPr>
    </w:lvl>
    <w:lvl w:ilvl="8">
      <w:start w:val="0"/>
      <w:numFmt w:val="bullet"/>
      <w:lvlText w:val="•"/>
      <w:lvlJc w:val="left"/>
      <w:pPr>
        <w:ind w:left="7921" w:hanging="360"/>
      </w:pPr>
      <w:rPr>
        <w:rFonts w:hint="default"/>
        <w:lang w:val="en-US" w:eastAsia="zh-CN" w:bidi="ar-SA"/>
      </w:rPr>
    </w:lvl>
  </w:abstractNum>
  <w:abstractNum w:abstractNumId="25">
    <w:nsid w:val="5883C16F"/>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98" w:hanging="720"/>
      </w:pPr>
      <w:rPr>
        <w:rFonts w:hint="default"/>
        <w:lang w:val="en-US" w:eastAsia="zh-CN" w:bidi="ar-SA"/>
      </w:rPr>
    </w:lvl>
    <w:lvl w:ilvl="2">
      <w:start w:val="0"/>
      <w:numFmt w:val="bullet"/>
      <w:lvlText w:val="•"/>
      <w:lvlJc w:val="left"/>
      <w:pPr>
        <w:ind w:left="3297" w:hanging="720"/>
      </w:pPr>
      <w:rPr>
        <w:rFonts w:hint="default"/>
        <w:lang w:val="en-US" w:eastAsia="zh-CN" w:bidi="ar-SA"/>
      </w:rPr>
    </w:lvl>
    <w:lvl w:ilvl="3">
      <w:start w:val="0"/>
      <w:numFmt w:val="bullet"/>
      <w:lvlText w:val="•"/>
      <w:lvlJc w:val="left"/>
      <w:pPr>
        <w:ind w:left="4096" w:hanging="720"/>
      </w:pPr>
      <w:rPr>
        <w:rFonts w:hint="default"/>
        <w:lang w:val="en-US" w:eastAsia="zh-CN" w:bidi="ar-SA"/>
      </w:rPr>
    </w:lvl>
    <w:lvl w:ilvl="4">
      <w:start w:val="0"/>
      <w:numFmt w:val="bullet"/>
      <w:lvlText w:val="•"/>
      <w:lvlJc w:val="left"/>
      <w:pPr>
        <w:ind w:left="4894" w:hanging="720"/>
      </w:pPr>
      <w:rPr>
        <w:rFonts w:hint="default"/>
        <w:lang w:val="en-US" w:eastAsia="zh-CN" w:bidi="ar-SA"/>
      </w:rPr>
    </w:lvl>
    <w:lvl w:ilvl="5">
      <w:start w:val="0"/>
      <w:numFmt w:val="bullet"/>
      <w:lvlText w:val="•"/>
      <w:lvlJc w:val="left"/>
      <w:pPr>
        <w:ind w:left="5693" w:hanging="720"/>
      </w:pPr>
      <w:rPr>
        <w:rFonts w:hint="default"/>
        <w:lang w:val="en-US" w:eastAsia="zh-CN" w:bidi="ar-SA"/>
      </w:rPr>
    </w:lvl>
    <w:lvl w:ilvl="6">
      <w:start w:val="0"/>
      <w:numFmt w:val="bullet"/>
      <w:lvlText w:val="•"/>
      <w:lvlJc w:val="left"/>
      <w:pPr>
        <w:ind w:left="6492" w:hanging="720"/>
      </w:pPr>
      <w:rPr>
        <w:rFonts w:hint="default"/>
        <w:lang w:val="en-US" w:eastAsia="zh-CN" w:bidi="ar-SA"/>
      </w:rPr>
    </w:lvl>
    <w:lvl w:ilvl="7">
      <w:start w:val="0"/>
      <w:numFmt w:val="bullet"/>
      <w:lvlText w:val="•"/>
      <w:lvlJc w:val="left"/>
      <w:pPr>
        <w:ind w:left="7290" w:hanging="720"/>
      </w:pPr>
      <w:rPr>
        <w:rFonts w:hint="default"/>
        <w:lang w:val="en-US" w:eastAsia="zh-CN" w:bidi="ar-SA"/>
      </w:rPr>
    </w:lvl>
    <w:lvl w:ilvl="8">
      <w:start w:val="0"/>
      <w:numFmt w:val="bullet"/>
      <w:lvlText w:val="•"/>
      <w:lvlJc w:val="left"/>
      <w:pPr>
        <w:ind w:left="8089" w:hanging="720"/>
      </w:pPr>
      <w:rPr>
        <w:rFonts w:hint="default"/>
        <w:lang w:val="en-US" w:eastAsia="zh-CN" w:bidi="ar-SA"/>
      </w:rPr>
    </w:lvl>
  </w:abstractNum>
  <w:abstractNum w:abstractNumId="26">
    <w:nsid w:val="5F0C64F9"/>
    <w:multiLevelType w:val="hybridMultilevel"/>
    <w:tmpl w:val="00000000"/>
    <w:lvl w:ilvl="0">
      <w:start w:val="5"/>
      <w:numFmt w:val="decimal"/>
      <w:lvlText w:val="%1"/>
      <w:lvlJc w:val="left"/>
      <w:pPr>
        <w:ind w:left="1040" w:hanging="363"/>
        <w:jc w:val="left"/>
      </w:pPr>
      <w:rPr>
        <w:rFonts w:hint="default"/>
        <w:lang w:val="en-US" w:eastAsia="zh-CN" w:bidi="ar-SA"/>
      </w:rPr>
    </w:lvl>
    <w:lvl w:ilvl="1">
      <w:start w:val="1"/>
      <w:numFmt w:val="decimal"/>
      <w:lvlText w:val="%1.%2"/>
      <w:lvlJc w:val="left"/>
      <w:pPr>
        <w:ind w:left="1040" w:hanging="363"/>
        <w:jc w:val="left"/>
      </w:pPr>
      <w:rPr>
        <w:rFonts w:ascii="Microsoft JhengHei" w:eastAsia="Microsoft JhengHei" w:hAnsi="Microsoft JhengHei" w:cs="Microsoft JhengHei" w:hint="default"/>
        <w:b/>
        <w:bCs/>
        <w:i w:val="0"/>
        <w:iCs w:val="0"/>
        <w:w w:val="83"/>
        <w:sz w:val="22"/>
        <w:szCs w:val="22"/>
        <w:lang w:val="en-US" w:eastAsia="zh-CN" w:bidi="ar-SA"/>
      </w:rPr>
    </w:lvl>
    <w:lvl w:ilvl="2">
      <w:start w:val="0"/>
      <w:numFmt w:val="bullet"/>
      <w:lvlText w:val="•"/>
      <w:lvlJc w:val="left"/>
      <w:pPr>
        <w:ind w:left="2769" w:hanging="363"/>
      </w:pPr>
      <w:rPr>
        <w:rFonts w:hint="default"/>
        <w:lang w:val="en-US" w:eastAsia="zh-CN" w:bidi="ar-SA"/>
      </w:rPr>
    </w:lvl>
    <w:lvl w:ilvl="3">
      <w:start w:val="0"/>
      <w:numFmt w:val="bullet"/>
      <w:lvlText w:val="•"/>
      <w:lvlJc w:val="left"/>
      <w:pPr>
        <w:ind w:left="3634" w:hanging="363"/>
      </w:pPr>
      <w:rPr>
        <w:rFonts w:hint="default"/>
        <w:lang w:val="en-US" w:eastAsia="zh-CN" w:bidi="ar-SA"/>
      </w:rPr>
    </w:lvl>
    <w:lvl w:ilvl="4">
      <w:start w:val="0"/>
      <w:numFmt w:val="bullet"/>
      <w:lvlText w:val="•"/>
      <w:lvlJc w:val="left"/>
      <w:pPr>
        <w:ind w:left="4498" w:hanging="363"/>
      </w:pPr>
      <w:rPr>
        <w:rFonts w:hint="default"/>
        <w:lang w:val="en-US" w:eastAsia="zh-CN" w:bidi="ar-SA"/>
      </w:rPr>
    </w:lvl>
    <w:lvl w:ilvl="5">
      <w:start w:val="0"/>
      <w:numFmt w:val="bullet"/>
      <w:lvlText w:val="•"/>
      <w:lvlJc w:val="left"/>
      <w:pPr>
        <w:ind w:left="5363" w:hanging="363"/>
      </w:pPr>
      <w:rPr>
        <w:rFonts w:hint="default"/>
        <w:lang w:val="en-US" w:eastAsia="zh-CN" w:bidi="ar-SA"/>
      </w:rPr>
    </w:lvl>
    <w:lvl w:ilvl="6">
      <w:start w:val="0"/>
      <w:numFmt w:val="bullet"/>
      <w:lvlText w:val="•"/>
      <w:lvlJc w:val="left"/>
      <w:pPr>
        <w:ind w:left="6228" w:hanging="363"/>
      </w:pPr>
      <w:rPr>
        <w:rFonts w:hint="default"/>
        <w:lang w:val="en-US" w:eastAsia="zh-CN" w:bidi="ar-SA"/>
      </w:rPr>
    </w:lvl>
    <w:lvl w:ilvl="7">
      <w:start w:val="0"/>
      <w:numFmt w:val="bullet"/>
      <w:lvlText w:val="•"/>
      <w:lvlJc w:val="left"/>
      <w:pPr>
        <w:ind w:left="7092" w:hanging="363"/>
      </w:pPr>
      <w:rPr>
        <w:rFonts w:hint="default"/>
        <w:lang w:val="en-US" w:eastAsia="zh-CN" w:bidi="ar-SA"/>
      </w:rPr>
    </w:lvl>
    <w:lvl w:ilvl="8">
      <w:start w:val="0"/>
      <w:numFmt w:val="bullet"/>
      <w:lvlText w:val="•"/>
      <w:lvlJc w:val="left"/>
      <w:pPr>
        <w:ind w:left="7957" w:hanging="363"/>
      </w:pPr>
      <w:rPr>
        <w:rFonts w:hint="default"/>
        <w:lang w:val="en-US" w:eastAsia="zh-CN" w:bidi="ar-SA"/>
      </w:rPr>
    </w:lvl>
  </w:abstractNum>
  <w:abstractNum w:abstractNumId="27">
    <w:nsid w:val="6D073BF9"/>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98" w:hanging="720"/>
      </w:pPr>
      <w:rPr>
        <w:rFonts w:hint="default"/>
        <w:lang w:val="en-US" w:eastAsia="zh-CN" w:bidi="ar-SA"/>
      </w:rPr>
    </w:lvl>
    <w:lvl w:ilvl="2">
      <w:start w:val="0"/>
      <w:numFmt w:val="bullet"/>
      <w:lvlText w:val="•"/>
      <w:lvlJc w:val="left"/>
      <w:pPr>
        <w:ind w:left="3297" w:hanging="720"/>
      </w:pPr>
      <w:rPr>
        <w:rFonts w:hint="default"/>
        <w:lang w:val="en-US" w:eastAsia="zh-CN" w:bidi="ar-SA"/>
      </w:rPr>
    </w:lvl>
    <w:lvl w:ilvl="3">
      <w:start w:val="0"/>
      <w:numFmt w:val="bullet"/>
      <w:lvlText w:val="•"/>
      <w:lvlJc w:val="left"/>
      <w:pPr>
        <w:ind w:left="4096" w:hanging="720"/>
      </w:pPr>
      <w:rPr>
        <w:rFonts w:hint="default"/>
        <w:lang w:val="en-US" w:eastAsia="zh-CN" w:bidi="ar-SA"/>
      </w:rPr>
    </w:lvl>
    <w:lvl w:ilvl="4">
      <w:start w:val="0"/>
      <w:numFmt w:val="bullet"/>
      <w:lvlText w:val="•"/>
      <w:lvlJc w:val="left"/>
      <w:pPr>
        <w:ind w:left="4894" w:hanging="720"/>
      </w:pPr>
      <w:rPr>
        <w:rFonts w:hint="default"/>
        <w:lang w:val="en-US" w:eastAsia="zh-CN" w:bidi="ar-SA"/>
      </w:rPr>
    </w:lvl>
    <w:lvl w:ilvl="5">
      <w:start w:val="0"/>
      <w:numFmt w:val="bullet"/>
      <w:lvlText w:val="•"/>
      <w:lvlJc w:val="left"/>
      <w:pPr>
        <w:ind w:left="5693" w:hanging="720"/>
      </w:pPr>
      <w:rPr>
        <w:rFonts w:hint="default"/>
        <w:lang w:val="en-US" w:eastAsia="zh-CN" w:bidi="ar-SA"/>
      </w:rPr>
    </w:lvl>
    <w:lvl w:ilvl="6">
      <w:start w:val="0"/>
      <w:numFmt w:val="bullet"/>
      <w:lvlText w:val="•"/>
      <w:lvlJc w:val="left"/>
      <w:pPr>
        <w:ind w:left="6492" w:hanging="720"/>
      </w:pPr>
      <w:rPr>
        <w:rFonts w:hint="default"/>
        <w:lang w:val="en-US" w:eastAsia="zh-CN" w:bidi="ar-SA"/>
      </w:rPr>
    </w:lvl>
    <w:lvl w:ilvl="7">
      <w:start w:val="0"/>
      <w:numFmt w:val="bullet"/>
      <w:lvlText w:val="•"/>
      <w:lvlJc w:val="left"/>
      <w:pPr>
        <w:ind w:left="7290" w:hanging="720"/>
      </w:pPr>
      <w:rPr>
        <w:rFonts w:hint="default"/>
        <w:lang w:val="en-US" w:eastAsia="zh-CN" w:bidi="ar-SA"/>
      </w:rPr>
    </w:lvl>
    <w:lvl w:ilvl="8">
      <w:start w:val="0"/>
      <w:numFmt w:val="bullet"/>
      <w:lvlText w:val="•"/>
      <w:lvlJc w:val="left"/>
      <w:pPr>
        <w:ind w:left="8089" w:hanging="720"/>
      </w:pPr>
      <w:rPr>
        <w:rFonts w:hint="default"/>
        <w:lang w:val="en-US" w:eastAsia="zh-CN" w:bidi="ar-SA"/>
      </w:rPr>
    </w:lvl>
  </w:abstractNum>
  <w:abstractNum w:abstractNumId="28">
    <w:nsid w:val="6D4ECDC8"/>
    <w:multiLevelType w:val="hybridMultilevel"/>
    <w:tmpl w:val="00000000"/>
    <w:lvl w:ilvl="0">
      <w:start w:val="1"/>
      <w:numFmt w:val="decimal"/>
      <w:lvlText w:val="%1."/>
      <w:lvlJc w:val="left"/>
      <w:pPr>
        <w:ind w:left="881" w:hanging="567"/>
        <w:jc w:val="left"/>
      </w:pPr>
      <w:rPr>
        <w:rFonts w:ascii="微软雅黑" w:eastAsia="微软雅黑" w:hAnsi="微软雅黑" w:cs="微软雅黑" w:hint="default"/>
        <w:b/>
        <w:bCs/>
        <w:i w:val="0"/>
        <w:iCs w:val="0"/>
        <w:w w:val="81"/>
        <w:sz w:val="24"/>
        <w:szCs w:val="24"/>
        <w:lang w:val="en-US" w:eastAsia="zh-CN" w:bidi="ar-SA"/>
      </w:rPr>
    </w:lvl>
    <w:lvl w:ilvl="1">
      <w:start w:val="1"/>
      <w:numFmt w:val="decimal"/>
      <w:lvlText w:val="（%2）"/>
      <w:lvlJc w:val="left"/>
      <w:pPr>
        <w:ind w:left="1584" w:hanging="907"/>
        <w:jc w:val="left"/>
      </w:pPr>
      <w:rPr>
        <w:rFonts w:ascii="宋体" w:eastAsia="宋体" w:hAnsi="宋体" w:cs="宋体" w:hint="default"/>
        <w:b w:val="0"/>
        <w:bCs w:val="0"/>
        <w:i w:val="0"/>
        <w:iCs w:val="0"/>
        <w:w w:val="100"/>
        <w:sz w:val="24"/>
        <w:szCs w:val="24"/>
        <w:lang w:val="en-US" w:eastAsia="zh-CN" w:bidi="ar-SA"/>
      </w:rPr>
    </w:lvl>
    <w:lvl w:ilvl="2">
      <w:start w:val="0"/>
      <w:numFmt w:val="bullet"/>
      <w:lvlText w:val="•"/>
      <w:lvlJc w:val="left"/>
      <w:pPr>
        <w:ind w:left="1600" w:hanging="907"/>
      </w:pPr>
      <w:rPr>
        <w:rFonts w:hint="default"/>
        <w:lang w:val="en-US" w:eastAsia="zh-CN" w:bidi="ar-SA"/>
      </w:rPr>
    </w:lvl>
    <w:lvl w:ilvl="3">
      <w:start w:val="0"/>
      <w:numFmt w:val="bullet"/>
      <w:lvlText w:val="•"/>
      <w:lvlJc w:val="left"/>
      <w:pPr>
        <w:ind w:left="2610" w:hanging="907"/>
      </w:pPr>
      <w:rPr>
        <w:rFonts w:hint="default"/>
        <w:lang w:val="en-US" w:eastAsia="zh-CN" w:bidi="ar-SA"/>
      </w:rPr>
    </w:lvl>
    <w:lvl w:ilvl="4">
      <w:start w:val="0"/>
      <w:numFmt w:val="bullet"/>
      <w:lvlText w:val="•"/>
      <w:lvlJc w:val="left"/>
      <w:pPr>
        <w:ind w:left="3621" w:hanging="907"/>
      </w:pPr>
      <w:rPr>
        <w:rFonts w:hint="default"/>
        <w:lang w:val="en-US" w:eastAsia="zh-CN" w:bidi="ar-SA"/>
      </w:rPr>
    </w:lvl>
    <w:lvl w:ilvl="5">
      <w:start w:val="0"/>
      <w:numFmt w:val="bullet"/>
      <w:lvlText w:val="•"/>
      <w:lvlJc w:val="left"/>
      <w:pPr>
        <w:ind w:left="4632" w:hanging="907"/>
      </w:pPr>
      <w:rPr>
        <w:rFonts w:hint="default"/>
        <w:lang w:val="en-US" w:eastAsia="zh-CN" w:bidi="ar-SA"/>
      </w:rPr>
    </w:lvl>
    <w:lvl w:ilvl="6">
      <w:start w:val="0"/>
      <w:numFmt w:val="bullet"/>
      <w:lvlText w:val="•"/>
      <w:lvlJc w:val="left"/>
      <w:pPr>
        <w:ind w:left="5643" w:hanging="907"/>
      </w:pPr>
      <w:rPr>
        <w:rFonts w:hint="default"/>
        <w:lang w:val="en-US" w:eastAsia="zh-CN" w:bidi="ar-SA"/>
      </w:rPr>
    </w:lvl>
    <w:lvl w:ilvl="7">
      <w:start w:val="0"/>
      <w:numFmt w:val="bullet"/>
      <w:lvlText w:val="•"/>
      <w:lvlJc w:val="left"/>
      <w:pPr>
        <w:ind w:left="6654" w:hanging="907"/>
      </w:pPr>
      <w:rPr>
        <w:rFonts w:hint="default"/>
        <w:lang w:val="en-US" w:eastAsia="zh-CN" w:bidi="ar-SA"/>
      </w:rPr>
    </w:lvl>
    <w:lvl w:ilvl="8">
      <w:start w:val="0"/>
      <w:numFmt w:val="bullet"/>
      <w:lvlText w:val="•"/>
      <w:lvlJc w:val="left"/>
      <w:pPr>
        <w:ind w:left="7665" w:hanging="907"/>
      </w:pPr>
      <w:rPr>
        <w:rFonts w:hint="default"/>
        <w:lang w:val="en-US" w:eastAsia="zh-CN" w:bidi="ar-SA"/>
      </w:rPr>
    </w:lvl>
  </w:abstractNum>
  <w:abstractNum w:abstractNumId="29">
    <w:nsid w:val="77145F76"/>
    <w:multiLevelType w:val="hybridMultilevel"/>
    <w:tmpl w:val="00000000"/>
    <w:lvl w:ilvl="0">
      <w:start w:val="4"/>
      <w:numFmt w:val="decimal"/>
      <w:lvlText w:val="%1"/>
      <w:lvlJc w:val="left"/>
      <w:pPr>
        <w:ind w:left="1040" w:hanging="363"/>
        <w:jc w:val="left"/>
      </w:pPr>
      <w:rPr>
        <w:rFonts w:hint="default"/>
        <w:lang w:val="en-US" w:eastAsia="zh-CN" w:bidi="ar-SA"/>
      </w:rPr>
    </w:lvl>
    <w:lvl w:ilvl="1">
      <w:start w:val="1"/>
      <w:numFmt w:val="decimal"/>
      <w:lvlText w:val="%1.%2"/>
      <w:lvlJc w:val="left"/>
      <w:pPr>
        <w:ind w:left="1040" w:hanging="363"/>
        <w:jc w:val="left"/>
      </w:pPr>
      <w:rPr>
        <w:rFonts w:ascii="Microsoft JhengHei" w:eastAsia="Microsoft JhengHei" w:hAnsi="Microsoft JhengHei" w:cs="Microsoft JhengHei" w:hint="default"/>
        <w:b/>
        <w:bCs/>
        <w:i w:val="0"/>
        <w:iCs w:val="0"/>
        <w:w w:val="83"/>
        <w:sz w:val="22"/>
        <w:szCs w:val="22"/>
        <w:lang w:val="en-US" w:eastAsia="zh-CN" w:bidi="ar-SA"/>
      </w:rPr>
    </w:lvl>
    <w:lvl w:ilvl="2">
      <w:start w:val="0"/>
      <w:numFmt w:val="bullet"/>
      <w:lvlText w:val="•"/>
      <w:lvlJc w:val="left"/>
      <w:pPr>
        <w:ind w:left="2769" w:hanging="363"/>
      </w:pPr>
      <w:rPr>
        <w:rFonts w:hint="default"/>
        <w:lang w:val="en-US" w:eastAsia="zh-CN" w:bidi="ar-SA"/>
      </w:rPr>
    </w:lvl>
    <w:lvl w:ilvl="3">
      <w:start w:val="0"/>
      <w:numFmt w:val="bullet"/>
      <w:lvlText w:val="•"/>
      <w:lvlJc w:val="left"/>
      <w:pPr>
        <w:ind w:left="3634" w:hanging="363"/>
      </w:pPr>
      <w:rPr>
        <w:rFonts w:hint="default"/>
        <w:lang w:val="en-US" w:eastAsia="zh-CN" w:bidi="ar-SA"/>
      </w:rPr>
    </w:lvl>
    <w:lvl w:ilvl="4">
      <w:start w:val="0"/>
      <w:numFmt w:val="bullet"/>
      <w:lvlText w:val="•"/>
      <w:lvlJc w:val="left"/>
      <w:pPr>
        <w:ind w:left="4498" w:hanging="363"/>
      </w:pPr>
      <w:rPr>
        <w:rFonts w:hint="default"/>
        <w:lang w:val="en-US" w:eastAsia="zh-CN" w:bidi="ar-SA"/>
      </w:rPr>
    </w:lvl>
    <w:lvl w:ilvl="5">
      <w:start w:val="0"/>
      <w:numFmt w:val="bullet"/>
      <w:lvlText w:val="•"/>
      <w:lvlJc w:val="left"/>
      <w:pPr>
        <w:ind w:left="5363" w:hanging="363"/>
      </w:pPr>
      <w:rPr>
        <w:rFonts w:hint="default"/>
        <w:lang w:val="en-US" w:eastAsia="zh-CN" w:bidi="ar-SA"/>
      </w:rPr>
    </w:lvl>
    <w:lvl w:ilvl="6">
      <w:start w:val="0"/>
      <w:numFmt w:val="bullet"/>
      <w:lvlText w:val="•"/>
      <w:lvlJc w:val="left"/>
      <w:pPr>
        <w:ind w:left="6228" w:hanging="363"/>
      </w:pPr>
      <w:rPr>
        <w:rFonts w:hint="default"/>
        <w:lang w:val="en-US" w:eastAsia="zh-CN" w:bidi="ar-SA"/>
      </w:rPr>
    </w:lvl>
    <w:lvl w:ilvl="7">
      <w:start w:val="0"/>
      <w:numFmt w:val="bullet"/>
      <w:lvlText w:val="•"/>
      <w:lvlJc w:val="left"/>
      <w:pPr>
        <w:ind w:left="7092" w:hanging="363"/>
      </w:pPr>
      <w:rPr>
        <w:rFonts w:hint="default"/>
        <w:lang w:val="en-US" w:eastAsia="zh-CN" w:bidi="ar-SA"/>
      </w:rPr>
    </w:lvl>
    <w:lvl w:ilvl="8">
      <w:start w:val="0"/>
      <w:numFmt w:val="bullet"/>
      <w:lvlText w:val="•"/>
      <w:lvlJc w:val="left"/>
      <w:pPr>
        <w:ind w:left="7957" w:hanging="363"/>
      </w:pPr>
      <w:rPr>
        <w:rFonts w:hint="default"/>
        <w:lang w:val="en-US" w:eastAsia="zh-CN" w:bidi="ar-SA"/>
      </w:rPr>
    </w:lvl>
  </w:abstractNum>
  <w:abstractNum w:abstractNumId="30">
    <w:nsid w:val="7EEDFA9F"/>
    <w:multiLevelType w:val="hybridMultilevel"/>
    <w:tmpl w:val="00000000"/>
    <w:lvl w:ilvl="0">
      <w:start w:val="1"/>
      <w:numFmt w:val="decimal"/>
      <w:lvlText w:val="%1."/>
      <w:lvlJc w:val="left"/>
      <w:pPr>
        <w:ind w:left="1099"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958" w:hanging="361"/>
      </w:pPr>
      <w:rPr>
        <w:rFonts w:hint="default"/>
        <w:lang w:val="en-US" w:eastAsia="zh-CN" w:bidi="ar-SA"/>
      </w:rPr>
    </w:lvl>
    <w:lvl w:ilvl="2">
      <w:start w:val="0"/>
      <w:numFmt w:val="bullet"/>
      <w:lvlText w:val="•"/>
      <w:lvlJc w:val="left"/>
      <w:pPr>
        <w:ind w:left="2817" w:hanging="361"/>
      </w:pPr>
      <w:rPr>
        <w:rFonts w:hint="default"/>
        <w:lang w:val="en-US" w:eastAsia="zh-CN" w:bidi="ar-SA"/>
      </w:rPr>
    </w:lvl>
    <w:lvl w:ilvl="3">
      <w:start w:val="0"/>
      <w:numFmt w:val="bullet"/>
      <w:lvlText w:val="•"/>
      <w:lvlJc w:val="left"/>
      <w:pPr>
        <w:ind w:left="3676" w:hanging="361"/>
      </w:pPr>
      <w:rPr>
        <w:rFonts w:hint="default"/>
        <w:lang w:val="en-US" w:eastAsia="zh-CN" w:bidi="ar-SA"/>
      </w:rPr>
    </w:lvl>
    <w:lvl w:ilvl="4">
      <w:start w:val="0"/>
      <w:numFmt w:val="bullet"/>
      <w:lvlText w:val="•"/>
      <w:lvlJc w:val="left"/>
      <w:pPr>
        <w:ind w:left="4534" w:hanging="361"/>
      </w:pPr>
      <w:rPr>
        <w:rFonts w:hint="default"/>
        <w:lang w:val="en-US" w:eastAsia="zh-CN" w:bidi="ar-SA"/>
      </w:rPr>
    </w:lvl>
    <w:lvl w:ilvl="5">
      <w:start w:val="0"/>
      <w:numFmt w:val="bullet"/>
      <w:lvlText w:val="•"/>
      <w:lvlJc w:val="left"/>
      <w:pPr>
        <w:ind w:left="5393" w:hanging="361"/>
      </w:pPr>
      <w:rPr>
        <w:rFonts w:hint="default"/>
        <w:lang w:val="en-US" w:eastAsia="zh-CN" w:bidi="ar-SA"/>
      </w:rPr>
    </w:lvl>
    <w:lvl w:ilvl="6">
      <w:start w:val="0"/>
      <w:numFmt w:val="bullet"/>
      <w:lvlText w:val="•"/>
      <w:lvlJc w:val="left"/>
      <w:pPr>
        <w:ind w:left="6252" w:hanging="361"/>
      </w:pPr>
      <w:rPr>
        <w:rFonts w:hint="default"/>
        <w:lang w:val="en-US" w:eastAsia="zh-CN" w:bidi="ar-SA"/>
      </w:rPr>
    </w:lvl>
    <w:lvl w:ilvl="7">
      <w:start w:val="0"/>
      <w:numFmt w:val="bullet"/>
      <w:lvlText w:val="•"/>
      <w:lvlJc w:val="left"/>
      <w:pPr>
        <w:ind w:left="7110" w:hanging="361"/>
      </w:pPr>
      <w:rPr>
        <w:rFonts w:hint="default"/>
        <w:lang w:val="en-US" w:eastAsia="zh-CN" w:bidi="ar-SA"/>
      </w:rPr>
    </w:lvl>
    <w:lvl w:ilvl="8">
      <w:start w:val="0"/>
      <w:numFmt w:val="bullet"/>
      <w:lvlText w:val="•"/>
      <w:lvlJc w:val="left"/>
      <w:pPr>
        <w:ind w:left="7969" w:hanging="361"/>
      </w:pPr>
      <w:rPr>
        <w:rFonts w:hint="default"/>
        <w:lang w:val="en-US" w:eastAsia="zh-CN" w:bidi="ar-SA"/>
      </w:rPr>
    </w:lvl>
  </w:abstractNum>
  <w:abstractNum w:abstractNumId="31">
    <w:nsid w:val="7F6FD7C3"/>
    <w:multiLevelType w:val="hybridMultilevel"/>
    <w:tmpl w:val="00000000"/>
    <w:lvl w:ilvl="0">
      <w:start w:val="1"/>
      <w:numFmt w:val="decimal"/>
      <w:lvlText w:val="（%1）"/>
      <w:lvlJc w:val="left"/>
      <w:pPr>
        <w:ind w:left="1698"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98" w:hanging="720"/>
      </w:pPr>
      <w:rPr>
        <w:rFonts w:hint="default"/>
        <w:lang w:val="en-US" w:eastAsia="zh-CN" w:bidi="ar-SA"/>
      </w:rPr>
    </w:lvl>
    <w:lvl w:ilvl="2">
      <w:start w:val="0"/>
      <w:numFmt w:val="bullet"/>
      <w:lvlText w:val="•"/>
      <w:lvlJc w:val="left"/>
      <w:pPr>
        <w:ind w:left="3297" w:hanging="720"/>
      </w:pPr>
      <w:rPr>
        <w:rFonts w:hint="default"/>
        <w:lang w:val="en-US" w:eastAsia="zh-CN" w:bidi="ar-SA"/>
      </w:rPr>
    </w:lvl>
    <w:lvl w:ilvl="3">
      <w:start w:val="0"/>
      <w:numFmt w:val="bullet"/>
      <w:lvlText w:val="•"/>
      <w:lvlJc w:val="left"/>
      <w:pPr>
        <w:ind w:left="4096" w:hanging="720"/>
      </w:pPr>
      <w:rPr>
        <w:rFonts w:hint="default"/>
        <w:lang w:val="en-US" w:eastAsia="zh-CN" w:bidi="ar-SA"/>
      </w:rPr>
    </w:lvl>
    <w:lvl w:ilvl="4">
      <w:start w:val="0"/>
      <w:numFmt w:val="bullet"/>
      <w:lvlText w:val="•"/>
      <w:lvlJc w:val="left"/>
      <w:pPr>
        <w:ind w:left="4894" w:hanging="720"/>
      </w:pPr>
      <w:rPr>
        <w:rFonts w:hint="default"/>
        <w:lang w:val="en-US" w:eastAsia="zh-CN" w:bidi="ar-SA"/>
      </w:rPr>
    </w:lvl>
    <w:lvl w:ilvl="5">
      <w:start w:val="0"/>
      <w:numFmt w:val="bullet"/>
      <w:lvlText w:val="•"/>
      <w:lvlJc w:val="left"/>
      <w:pPr>
        <w:ind w:left="5693" w:hanging="720"/>
      </w:pPr>
      <w:rPr>
        <w:rFonts w:hint="default"/>
        <w:lang w:val="en-US" w:eastAsia="zh-CN" w:bidi="ar-SA"/>
      </w:rPr>
    </w:lvl>
    <w:lvl w:ilvl="6">
      <w:start w:val="0"/>
      <w:numFmt w:val="bullet"/>
      <w:lvlText w:val="•"/>
      <w:lvlJc w:val="left"/>
      <w:pPr>
        <w:ind w:left="6492" w:hanging="720"/>
      </w:pPr>
      <w:rPr>
        <w:rFonts w:hint="default"/>
        <w:lang w:val="en-US" w:eastAsia="zh-CN" w:bidi="ar-SA"/>
      </w:rPr>
    </w:lvl>
    <w:lvl w:ilvl="7">
      <w:start w:val="0"/>
      <w:numFmt w:val="bullet"/>
      <w:lvlText w:val="•"/>
      <w:lvlJc w:val="left"/>
      <w:pPr>
        <w:ind w:left="7290" w:hanging="720"/>
      </w:pPr>
      <w:rPr>
        <w:rFonts w:hint="default"/>
        <w:lang w:val="en-US" w:eastAsia="zh-CN" w:bidi="ar-SA"/>
      </w:rPr>
    </w:lvl>
    <w:lvl w:ilvl="8">
      <w:start w:val="0"/>
      <w:numFmt w:val="bullet"/>
      <w:lvlText w:val="•"/>
      <w:lvlJc w:val="left"/>
      <w:pPr>
        <w:ind w:left="8089" w:hanging="720"/>
      </w:pPr>
      <w:rPr>
        <w:rFonts w:hint="default"/>
        <w:lang w:val="en-US" w:eastAsia="zh-CN" w:bidi="ar-SA"/>
      </w:rPr>
    </w:lvl>
  </w:abstractNum>
  <w:num w:numId="1">
    <w:abstractNumId w:val="30"/>
  </w:num>
  <w:num w:numId="2">
    <w:abstractNumId w:val="2"/>
  </w:num>
  <w:num w:numId="3">
    <w:abstractNumId w:val="21"/>
  </w:num>
  <w:num w:numId="4">
    <w:abstractNumId w:val="9"/>
  </w:num>
  <w:num w:numId="5">
    <w:abstractNumId w:val="10"/>
  </w:num>
  <w:num w:numId="6">
    <w:abstractNumId w:val="11"/>
  </w:num>
  <w:num w:numId="7">
    <w:abstractNumId w:val="14"/>
  </w:num>
  <w:num w:numId="8">
    <w:abstractNumId w:val="22"/>
  </w:num>
  <w:num w:numId="9">
    <w:abstractNumId w:val="6"/>
  </w:num>
  <w:num w:numId="10">
    <w:abstractNumId w:val="19"/>
  </w:num>
  <w:num w:numId="11">
    <w:abstractNumId w:val="29"/>
  </w:num>
  <w:num w:numId="12">
    <w:abstractNumId w:val="27"/>
  </w:num>
  <w:num w:numId="13">
    <w:abstractNumId w:val="18"/>
  </w:num>
  <w:num w:numId="14">
    <w:abstractNumId w:val="25"/>
  </w:num>
  <w:num w:numId="15">
    <w:abstractNumId w:val="31"/>
  </w:num>
  <w:num w:numId="16">
    <w:abstractNumId w:val="3"/>
  </w:num>
  <w:num w:numId="17">
    <w:abstractNumId w:val="7"/>
  </w:num>
  <w:num w:numId="18">
    <w:abstractNumId w:val="20"/>
  </w:num>
  <w:num w:numId="19">
    <w:abstractNumId w:val="1"/>
  </w:num>
  <w:num w:numId="20">
    <w:abstractNumId w:val="17"/>
  </w:num>
  <w:num w:numId="21">
    <w:abstractNumId w:val="23"/>
  </w:num>
  <w:num w:numId="22">
    <w:abstractNumId w:val="4"/>
  </w:num>
  <w:num w:numId="23">
    <w:abstractNumId w:val="24"/>
  </w:num>
  <w:num w:numId="24">
    <w:abstractNumId w:val="13"/>
  </w:num>
  <w:num w:numId="25">
    <w:abstractNumId w:val="16"/>
  </w:num>
  <w:num w:numId="26">
    <w:abstractNumId w:val="5"/>
  </w:num>
  <w:num w:numId="27">
    <w:abstractNumId w:val="15"/>
  </w:num>
  <w:num w:numId="28">
    <w:abstractNumId w:val="8"/>
  </w:num>
  <w:num w:numId="29">
    <w:abstractNumId w:val="28"/>
  </w:num>
  <w:num w:numId="30">
    <w:abstractNumId w:val="12"/>
  </w:num>
  <w:num w:numId="31">
    <w:abstractNumId w:val="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right="99"/>
      <w:jc w:val="center"/>
      <w:outlineLvl w:val="0"/>
    </w:pPr>
    <w:rPr>
      <w:rFonts w:ascii="微软雅黑" w:eastAsia="微软雅黑" w:hAnsi="微软雅黑" w:cs="微软雅黑"/>
      <w:b/>
      <w:bCs/>
      <w:sz w:val="32"/>
      <w:szCs w:val="32"/>
      <w:lang w:val="en-US" w:eastAsia="zh-CN" w:bidi="ar-SA"/>
    </w:rPr>
  </w:style>
  <w:style w:type="paragraph" w:styleId="Heading2">
    <w:name w:val="heading 2"/>
    <w:basedOn w:val="Normal"/>
    <w:uiPriority w:val="1"/>
    <w:qFormat/>
    <w:pPr>
      <w:spacing w:line="487" w:lineRule="exact"/>
      <w:ind w:left="4089" w:hanging="841"/>
      <w:outlineLvl w:val="1"/>
    </w:pPr>
    <w:rPr>
      <w:rFonts w:ascii="微软雅黑" w:eastAsia="微软雅黑" w:hAnsi="微软雅黑" w:cs="微软雅黑"/>
      <w:b/>
      <w:bCs/>
      <w:sz w:val="28"/>
      <w:szCs w:val="28"/>
      <w:lang w:val="en-US" w:eastAsia="zh-CN" w:bidi="ar-SA"/>
    </w:rPr>
  </w:style>
  <w:style w:type="paragraph" w:styleId="Heading3">
    <w:name w:val="heading 3"/>
    <w:basedOn w:val="Normal"/>
    <w:uiPriority w:val="1"/>
    <w:qFormat/>
    <w:pPr>
      <w:spacing w:before="70"/>
      <w:ind w:left="258"/>
      <w:outlineLvl w:val="2"/>
    </w:pPr>
    <w:rPr>
      <w:rFonts w:ascii="宋体" w:eastAsia="宋体" w:hAnsi="宋体" w:cs="宋体"/>
      <w:sz w:val="28"/>
      <w:szCs w:val="28"/>
      <w:lang w:val="en-US" w:eastAsia="zh-CN" w:bidi="ar-SA"/>
    </w:rPr>
  </w:style>
  <w:style w:type="paragraph" w:styleId="Heading4">
    <w:name w:val="heading 4"/>
    <w:basedOn w:val="Normal"/>
    <w:uiPriority w:val="1"/>
    <w:qFormat/>
    <w:pPr>
      <w:ind w:left="683" w:hanging="426"/>
      <w:outlineLvl w:val="3"/>
    </w:pPr>
    <w:rPr>
      <w:rFonts w:ascii="Microsoft JhengHei" w:eastAsia="Microsoft JhengHei" w:hAnsi="Microsoft JhengHei" w:cs="Microsoft JhengHei"/>
      <w:b/>
      <w:bCs/>
      <w:sz w:val="24"/>
      <w:szCs w:val="24"/>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12"/>
      <w:ind w:left="923"/>
    </w:pPr>
    <w:rPr>
      <w:rFonts w:ascii="宋体" w:eastAsia="宋体" w:hAnsi="宋体" w:cs="宋体"/>
      <w:sz w:val="24"/>
      <w:szCs w:val="24"/>
      <w:lang w:val="en-US" w:eastAsia="zh-CN" w:bidi="ar-SA"/>
    </w:rPr>
  </w:style>
  <w:style w:type="paragraph" w:styleId="TOC2">
    <w:name w:val="toc 2"/>
    <w:basedOn w:val="Normal"/>
    <w:uiPriority w:val="1"/>
    <w:qFormat/>
    <w:pPr>
      <w:spacing w:before="112"/>
      <w:ind w:left="923"/>
    </w:pPr>
    <w:rPr>
      <w:rFonts w:ascii="宋体" w:eastAsia="宋体" w:hAnsi="宋体" w:cs="宋体"/>
      <w:sz w:val="24"/>
      <w:szCs w:val="24"/>
      <w:lang w:val="en-US" w:eastAsia="zh-CN" w:bidi="ar-SA"/>
    </w:rPr>
  </w:style>
  <w:style w:type="paragraph" w:styleId="BodyText">
    <w:name w:val="Body Text"/>
    <w:basedOn w:val="Normal"/>
    <w:uiPriority w:val="1"/>
    <w:qFormat/>
    <w:rPr>
      <w:rFonts w:ascii="宋体" w:eastAsia="宋体" w:hAnsi="宋体" w:cs="宋体"/>
      <w:sz w:val="24"/>
      <w:szCs w:val="24"/>
      <w:lang w:val="en-US" w:eastAsia="zh-CN" w:bidi="ar-SA"/>
    </w:rPr>
  </w:style>
  <w:style w:type="paragraph" w:styleId="ListParagraph">
    <w:name w:val="List Paragraph"/>
    <w:basedOn w:val="Normal"/>
    <w:uiPriority w:val="1"/>
    <w:qFormat/>
    <w:pPr>
      <w:ind w:left="825" w:hanging="567"/>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 w:type="table" w:customStyle="1" w:styleId="TableNormal8">
    <w:name w:val="Table Normal_8"/>
    <w:uiPriority w:val="2"/>
    <w:semiHidden/>
    <w:unhideWhenUsed/>
    <w:qFormat/>
    <w:tblPr>
      <w:tblInd w:w="0" w:type="dxa"/>
      <w:tblCellMar>
        <w:top w:w="0" w:type="dxa"/>
        <w:left w:w="0" w:type="dxa"/>
        <w:bottom w:w="0" w:type="dxa"/>
        <w:right w:w="0" w:type="dxa"/>
      </w:tblCellMar>
    </w:tblPr>
  </w:style>
  <w:style w:type="table" w:customStyle="1" w:styleId="TableNormal9">
    <w:name w:val="Table Normal_9"/>
    <w:uiPriority w:val="2"/>
    <w:semiHidden/>
    <w:unhideWhenUsed/>
    <w:qFormat/>
    <w:tblPr>
      <w:tblInd w:w="0" w:type="dxa"/>
      <w:tblCellMar>
        <w:top w:w="0" w:type="dxa"/>
        <w:left w:w="0" w:type="dxa"/>
        <w:bottom w:w="0" w:type="dxa"/>
        <w:right w:w="0" w:type="dxa"/>
      </w:tblCellMar>
    </w:tblPr>
  </w:style>
  <w:style w:type="table" w:customStyle="1" w:styleId="TableNormal10">
    <w:name w:val="Table Normal_1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footer" Target="footer16.xml" /><Relationship Id="rId38" Type="http://schemas.openxmlformats.org/officeDocument/2006/relationships/header" Target="header17.xml" /><Relationship Id="rId39" Type="http://schemas.openxmlformats.org/officeDocument/2006/relationships/footer" Target="footer17.xml" /><Relationship Id="rId4" Type="http://schemas.openxmlformats.org/officeDocument/2006/relationships/header" Target="header1.xml" /><Relationship Id="rId40" Type="http://schemas.openxmlformats.org/officeDocument/2006/relationships/hyperlink" Target="http://dggp.dg.gov.cn/" TargetMode="Externa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footer" Target="footer19.xml" /><Relationship Id="rId45" Type="http://schemas.openxmlformats.org/officeDocument/2006/relationships/image" Target="media/image1.jpeg" /><Relationship Id="rId46" Type="http://schemas.openxmlformats.org/officeDocument/2006/relationships/header" Target="header20.xml" /><Relationship Id="rId47" Type="http://schemas.openxmlformats.org/officeDocument/2006/relationships/footer" Target="footer20.xml" /><Relationship Id="rId48" Type="http://schemas.openxmlformats.org/officeDocument/2006/relationships/header" Target="header21.xml" /><Relationship Id="rId49" Type="http://schemas.openxmlformats.org/officeDocument/2006/relationships/footer" Target="footer21.xml" /><Relationship Id="rId5" Type="http://schemas.openxmlformats.org/officeDocument/2006/relationships/footer" Target="footer1.xml" /><Relationship Id="rId50" Type="http://schemas.openxmlformats.org/officeDocument/2006/relationships/header" Target="header22.xml" /><Relationship Id="rId51" Type="http://schemas.openxmlformats.org/officeDocument/2006/relationships/footer" Target="footer22.xml" /><Relationship Id="rId52" Type="http://schemas.openxmlformats.org/officeDocument/2006/relationships/header" Target="header23.xml" /><Relationship Id="rId53" Type="http://schemas.openxmlformats.org/officeDocument/2006/relationships/footer" Target="footer23.xml" /><Relationship Id="rId54" Type="http://schemas.openxmlformats.org/officeDocument/2006/relationships/header" Target="header24.xml" /><Relationship Id="rId55" Type="http://schemas.openxmlformats.org/officeDocument/2006/relationships/footer" Target="footer24.xml" /><Relationship Id="rId56" Type="http://schemas.openxmlformats.org/officeDocument/2006/relationships/header" Target="header25.xml" /><Relationship Id="rId57" Type="http://schemas.openxmlformats.org/officeDocument/2006/relationships/footer" Target="footer25.xml" /><Relationship Id="rId58" Type="http://schemas.openxmlformats.org/officeDocument/2006/relationships/header" Target="header26.xml" /><Relationship Id="rId59" Type="http://schemas.openxmlformats.org/officeDocument/2006/relationships/footer" Target="footer26.xml" /><Relationship Id="rId6" Type="http://schemas.openxmlformats.org/officeDocument/2006/relationships/hyperlink" Target="http://www.tender.gd.gov.cn/" TargetMode="External" /><Relationship Id="rId60" Type="http://schemas.openxmlformats.org/officeDocument/2006/relationships/hyperlink" Target="https://d.book118.com/746221220041010053" TargetMode="External" /><Relationship Id="rId61" Type="http://schemas.openxmlformats.org/officeDocument/2006/relationships/header" Target="header27.xml" /><Relationship Id="rId62" Type="http://schemas.openxmlformats.org/officeDocument/2006/relationships/footer" Target="footer27.xml" /><Relationship Id="rId63" Type="http://schemas.openxmlformats.org/officeDocument/2006/relationships/theme" Target="theme/theme1.xml" /><Relationship Id="rId64" Type="http://schemas.openxmlformats.org/officeDocument/2006/relationships/numbering" Target="numbering.xml" /><Relationship Id="rId65" Type="http://schemas.openxmlformats.org/officeDocument/2006/relationships/styles" Target="styles.xml" /><Relationship Id="rId7" Type="http://schemas.openxmlformats.org/officeDocument/2006/relationships/hyperlink" Target="mailto:tender_dg@gd.gov.cn" TargetMode="Externa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2024-02-29T01:47:59Z</dcterms:created>
  <dcterms:modified xsi:type="dcterms:W3CDTF">2024-02-29T01:47:59Z</dcterms:modified>
</cp:coreProperties>
</file>