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充换电站项目规划设计方案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4" w:history="1">
        <w:r>
          <w:rPr>
            <w:rFonts w:ascii="仿宋" w:eastAsia="仿宋" w:hAnsi="仿宋" w:cs="仿宋" w:hint="eastAsia"/>
            <w:lang w:eastAsia="zh-CN"/>
          </w:rPr>
          <w:t>前言</w:t>
        </w:r>
        <w:r>
          <w:tab/>
        </w:r>
        <w:r>
          <w:fldChar w:fldCharType="begin"/>
        </w:r>
        <w:r>
          <w:instrText xml:space="preserve"> PAGEREF _Toc1774 \h </w:instrText>
        </w:r>
        <w:r>
          <w:fldChar w:fldCharType="separate"/>
        </w:r>
        <w:r>
          <w:t>3</w:t>
        </w:r>
        <w:r>
          <w:fldChar w:fldCharType="end"/>
        </w:r>
      </w:hyperlink>
    </w:p>
    <w:p>
      <w:pPr>
        <w:pStyle w:val="TOC1"/>
        <w:tabs>
          <w:tab w:val="right" w:leader="dot" w:pos="8306"/>
        </w:tabs>
      </w:pPr>
      <w:hyperlink w:anchor="_Toc29273" w:history="1">
        <w:r>
          <w:rPr>
            <w:rFonts w:ascii="仿宋" w:eastAsia="仿宋" w:hAnsi="仿宋" w:cs="仿宋" w:hint="eastAsia"/>
            <w:lang w:eastAsia="zh-CN"/>
          </w:rPr>
          <w:t>一、充换电站项目可持续发展</w:t>
        </w:r>
        <w:r>
          <w:tab/>
        </w:r>
        <w:r>
          <w:fldChar w:fldCharType="begin"/>
        </w:r>
        <w:r>
          <w:instrText xml:space="preserve"> PAGEREF _Toc29273 \h </w:instrText>
        </w:r>
        <w:r>
          <w:fldChar w:fldCharType="separate"/>
        </w:r>
        <w:r>
          <w:t>3</w:t>
        </w:r>
        <w:r>
          <w:fldChar w:fldCharType="end"/>
        </w:r>
      </w:hyperlink>
    </w:p>
    <w:p>
      <w:pPr>
        <w:pStyle w:val="TOC2"/>
        <w:tabs>
          <w:tab w:val="right" w:leader="dot" w:pos="8306"/>
        </w:tabs>
      </w:pPr>
      <w:hyperlink w:anchor="_Toc11599" w:history="1">
        <w:r>
          <w:rPr>
            <w:rFonts w:ascii="仿宋" w:eastAsia="仿宋" w:hAnsi="仿宋" w:cs="仿宋" w:hint="eastAsia"/>
            <w:lang w:eastAsia="zh-CN"/>
          </w:rPr>
          <w:t>(一)、可持续战略与实践</w:t>
        </w:r>
        <w:r>
          <w:tab/>
        </w:r>
        <w:r>
          <w:fldChar w:fldCharType="begin"/>
        </w:r>
        <w:r>
          <w:instrText xml:space="preserve"> PAGEREF _Toc11599 \h </w:instrText>
        </w:r>
        <w:r>
          <w:fldChar w:fldCharType="separate"/>
        </w:r>
        <w:r>
          <w:t>3</w:t>
        </w:r>
        <w:r>
          <w:fldChar w:fldCharType="end"/>
        </w:r>
      </w:hyperlink>
    </w:p>
    <w:p>
      <w:pPr>
        <w:pStyle w:val="TOC2"/>
        <w:tabs>
          <w:tab w:val="right" w:leader="dot" w:pos="8306"/>
        </w:tabs>
      </w:pPr>
      <w:hyperlink w:anchor="_Toc1020" w:history="1">
        <w:r>
          <w:rPr>
            <w:rFonts w:ascii="仿宋" w:eastAsia="仿宋" w:hAnsi="仿宋" w:cs="仿宋" w:hint="eastAsia"/>
            <w:lang w:eastAsia="zh-CN"/>
          </w:rPr>
          <w:t>(二)、环保与社会责任</w:t>
        </w:r>
        <w:r>
          <w:tab/>
        </w:r>
        <w:r>
          <w:fldChar w:fldCharType="begin"/>
        </w:r>
        <w:r>
          <w:instrText xml:space="preserve"> PAGEREF _Toc1020 \h </w:instrText>
        </w:r>
        <w:r>
          <w:fldChar w:fldCharType="separate"/>
        </w:r>
        <w:r>
          <w:t>4</w:t>
        </w:r>
        <w:r>
          <w:fldChar w:fldCharType="end"/>
        </w:r>
      </w:hyperlink>
    </w:p>
    <w:p>
      <w:pPr>
        <w:pStyle w:val="TOC1"/>
        <w:tabs>
          <w:tab w:val="right" w:leader="dot" w:pos="8306"/>
        </w:tabs>
      </w:pPr>
      <w:hyperlink w:anchor="_Toc11194" w:history="1">
        <w:r>
          <w:rPr>
            <w:rFonts w:ascii="仿宋" w:eastAsia="仿宋" w:hAnsi="仿宋" w:cs="仿宋" w:hint="eastAsia"/>
            <w:lang w:eastAsia="zh-CN"/>
          </w:rPr>
          <w:t>二、充换电站项目土建工程</w:t>
        </w:r>
        <w:r>
          <w:tab/>
        </w:r>
        <w:r>
          <w:fldChar w:fldCharType="begin"/>
        </w:r>
        <w:r>
          <w:instrText xml:space="preserve"> PAGEREF _Toc11194 \h </w:instrText>
        </w:r>
        <w:r>
          <w:fldChar w:fldCharType="separate"/>
        </w:r>
        <w:r>
          <w:t>5</w:t>
        </w:r>
        <w:r>
          <w:fldChar w:fldCharType="end"/>
        </w:r>
      </w:hyperlink>
    </w:p>
    <w:p>
      <w:pPr>
        <w:pStyle w:val="TOC2"/>
        <w:tabs>
          <w:tab w:val="right" w:leader="dot" w:pos="8306"/>
        </w:tabs>
      </w:pPr>
      <w:hyperlink w:anchor="_Toc10717" w:history="1">
        <w:r>
          <w:rPr>
            <w:rFonts w:ascii="仿宋" w:eastAsia="仿宋" w:hAnsi="仿宋" w:cs="仿宋" w:hint="eastAsia"/>
            <w:lang w:eastAsia="zh-CN"/>
          </w:rPr>
          <w:t>(一)、建筑工程设计原则</w:t>
        </w:r>
        <w:r>
          <w:tab/>
        </w:r>
        <w:r>
          <w:fldChar w:fldCharType="begin"/>
        </w:r>
        <w:r>
          <w:instrText xml:space="preserve"> PAGEREF _Toc10717 \h </w:instrText>
        </w:r>
        <w:r>
          <w:fldChar w:fldCharType="separate"/>
        </w:r>
        <w:r>
          <w:t>5</w:t>
        </w:r>
        <w:r>
          <w:fldChar w:fldCharType="end"/>
        </w:r>
      </w:hyperlink>
    </w:p>
    <w:p>
      <w:pPr>
        <w:pStyle w:val="TOC2"/>
        <w:tabs>
          <w:tab w:val="right" w:leader="dot" w:pos="8306"/>
        </w:tabs>
      </w:pPr>
      <w:hyperlink w:anchor="_Toc9549" w:history="1">
        <w:r>
          <w:rPr>
            <w:rFonts w:ascii="仿宋" w:eastAsia="仿宋" w:hAnsi="仿宋" w:cs="仿宋" w:hint="eastAsia"/>
            <w:lang w:eastAsia="zh-CN"/>
          </w:rPr>
          <w:t>(二)、土建工程设计年限及安全等级</w:t>
        </w:r>
        <w:r>
          <w:tab/>
        </w:r>
        <w:r>
          <w:fldChar w:fldCharType="begin"/>
        </w:r>
        <w:r>
          <w:instrText xml:space="preserve"> PAGEREF _Toc9549 \h </w:instrText>
        </w:r>
        <w:r>
          <w:fldChar w:fldCharType="separate"/>
        </w:r>
        <w:r>
          <w:t>6</w:t>
        </w:r>
        <w:r>
          <w:fldChar w:fldCharType="end"/>
        </w:r>
      </w:hyperlink>
    </w:p>
    <w:p>
      <w:pPr>
        <w:pStyle w:val="TOC2"/>
        <w:tabs>
          <w:tab w:val="right" w:leader="dot" w:pos="8306"/>
        </w:tabs>
      </w:pPr>
      <w:hyperlink w:anchor="_Toc3999" w:history="1">
        <w:r>
          <w:rPr>
            <w:rFonts w:ascii="仿宋" w:eastAsia="仿宋" w:hAnsi="仿宋" w:cs="仿宋" w:hint="eastAsia"/>
            <w:lang w:eastAsia="zh-CN"/>
          </w:rPr>
          <w:t>(三)、建筑工程设计总体要求</w:t>
        </w:r>
        <w:r>
          <w:tab/>
        </w:r>
        <w:r>
          <w:fldChar w:fldCharType="begin"/>
        </w:r>
        <w:r>
          <w:instrText xml:space="preserve"> PAGEREF _Toc3999 \h </w:instrText>
        </w:r>
        <w:r>
          <w:fldChar w:fldCharType="separate"/>
        </w:r>
        <w:r>
          <w:t>7</w:t>
        </w:r>
        <w:r>
          <w:fldChar w:fldCharType="end"/>
        </w:r>
      </w:hyperlink>
    </w:p>
    <w:p>
      <w:pPr>
        <w:pStyle w:val="TOC2"/>
        <w:tabs>
          <w:tab w:val="right" w:leader="dot" w:pos="8306"/>
        </w:tabs>
      </w:pPr>
      <w:hyperlink w:anchor="_Toc16434" w:history="1">
        <w:r>
          <w:rPr>
            <w:rFonts w:ascii="仿宋" w:eastAsia="仿宋" w:hAnsi="仿宋" w:cs="仿宋" w:hint="eastAsia"/>
            <w:lang w:eastAsia="zh-CN"/>
          </w:rPr>
          <w:t>(四)、土建工程建设指标</w:t>
        </w:r>
        <w:r>
          <w:tab/>
        </w:r>
        <w:r>
          <w:fldChar w:fldCharType="begin"/>
        </w:r>
        <w:r>
          <w:instrText xml:space="preserve"> PAGEREF _Toc16434 \h </w:instrText>
        </w:r>
        <w:r>
          <w:fldChar w:fldCharType="separate"/>
        </w:r>
        <w:r>
          <w:t>8</w:t>
        </w:r>
        <w:r>
          <w:fldChar w:fldCharType="end"/>
        </w:r>
      </w:hyperlink>
    </w:p>
    <w:p>
      <w:pPr>
        <w:pStyle w:val="TOC1"/>
        <w:tabs>
          <w:tab w:val="right" w:leader="dot" w:pos="8306"/>
        </w:tabs>
      </w:pPr>
      <w:hyperlink w:anchor="_Toc3987" w:history="1">
        <w:r>
          <w:rPr>
            <w:rFonts w:ascii="仿宋" w:eastAsia="仿宋" w:hAnsi="仿宋" w:cs="仿宋" w:hint="eastAsia"/>
            <w:lang w:eastAsia="zh-CN"/>
          </w:rPr>
          <w:t>三、市场分析、调研</w:t>
        </w:r>
        <w:r>
          <w:tab/>
        </w:r>
        <w:r>
          <w:fldChar w:fldCharType="begin"/>
        </w:r>
        <w:r>
          <w:instrText xml:space="preserve"> PAGEREF _Toc3987 \h </w:instrText>
        </w:r>
        <w:r>
          <w:fldChar w:fldCharType="separate"/>
        </w:r>
        <w:r>
          <w:t>8</w:t>
        </w:r>
        <w:r>
          <w:fldChar w:fldCharType="end"/>
        </w:r>
      </w:hyperlink>
    </w:p>
    <w:p>
      <w:pPr>
        <w:pStyle w:val="TOC2"/>
        <w:tabs>
          <w:tab w:val="right" w:leader="dot" w:pos="8306"/>
        </w:tabs>
      </w:pPr>
      <w:hyperlink w:anchor="_Toc12056" w:history="1">
        <w:r>
          <w:rPr>
            <w:rFonts w:ascii="仿宋" w:eastAsia="仿宋" w:hAnsi="仿宋" w:cs="仿宋" w:hint="eastAsia"/>
            <w:lang w:eastAsia="zh-CN"/>
          </w:rPr>
          <w:t>(一)、充换电站行业分析</w:t>
        </w:r>
        <w:r>
          <w:tab/>
        </w:r>
        <w:r>
          <w:fldChar w:fldCharType="begin"/>
        </w:r>
        <w:r>
          <w:instrText xml:space="preserve"> PAGEREF _Toc12056 \h </w:instrText>
        </w:r>
        <w:r>
          <w:fldChar w:fldCharType="separate"/>
        </w:r>
        <w:r>
          <w:t>8</w:t>
        </w:r>
        <w:r>
          <w:fldChar w:fldCharType="end"/>
        </w:r>
      </w:hyperlink>
    </w:p>
    <w:p>
      <w:pPr>
        <w:pStyle w:val="TOC2"/>
        <w:tabs>
          <w:tab w:val="right" w:leader="dot" w:pos="8306"/>
        </w:tabs>
      </w:pPr>
      <w:hyperlink w:anchor="_Toc21692" w:history="1">
        <w:r>
          <w:rPr>
            <w:rFonts w:ascii="仿宋" w:eastAsia="仿宋" w:hAnsi="仿宋" w:cs="仿宋" w:hint="eastAsia"/>
            <w:lang w:eastAsia="zh-CN"/>
          </w:rPr>
          <w:t>(二)、充换电站市场分析预测</w:t>
        </w:r>
        <w:r>
          <w:tab/>
        </w:r>
        <w:r>
          <w:fldChar w:fldCharType="begin"/>
        </w:r>
        <w:r>
          <w:instrText xml:space="preserve"> PAGEREF _Toc21692 \h </w:instrText>
        </w:r>
        <w:r>
          <w:fldChar w:fldCharType="separate"/>
        </w:r>
        <w:r>
          <w:t>9</w:t>
        </w:r>
        <w:r>
          <w:fldChar w:fldCharType="end"/>
        </w:r>
      </w:hyperlink>
    </w:p>
    <w:p>
      <w:pPr>
        <w:pStyle w:val="TOC1"/>
        <w:tabs>
          <w:tab w:val="right" w:leader="dot" w:pos="8306"/>
        </w:tabs>
      </w:pPr>
      <w:hyperlink w:anchor="_Toc4008" w:history="1">
        <w:r>
          <w:rPr>
            <w:rFonts w:ascii="仿宋" w:eastAsia="仿宋" w:hAnsi="仿宋" w:cs="仿宋" w:hint="eastAsia"/>
            <w:lang w:eastAsia="zh-CN"/>
          </w:rPr>
          <w:t>四、充换电站项目选址可行性分析</w:t>
        </w:r>
        <w:r>
          <w:tab/>
        </w:r>
        <w:r>
          <w:fldChar w:fldCharType="begin"/>
        </w:r>
        <w:r>
          <w:instrText xml:space="preserve"> PAGEREF _Toc4008 \h </w:instrText>
        </w:r>
        <w:r>
          <w:fldChar w:fldCharType="separate"/>
        </w:r>
        <w:r>
          <w:t>9</w:t>
        </w:r>
        <w:r>
          <w:fldChar w:fldCharType="end"/>
        </w:r>
      </w:hyperlink>
    </w:p>
    <w:p>
      <w:pPr>
        <w:pStyle w:val="TOC2"/>
        <w:tabs>
          <w:tab w:val="right" w:leader="dot" w:pos="8306"/>
        </w:tabs>
      </w:pPr>
      <w:hyperlink w:anchor="_Toc29202" w:history="1">
        <w:r>
          <w:rPr>
            <w:rFonts w:ascii="仿宋" w:eastAsia="仿宋" w:hAnsi="仿宋" w:cs="仿宋" w:hint="eastAsia"/>
            <w:lang w:eastAsia="zh-CN"/>
          </w:rPr>
          <w:t>(一)、充换电站项目选址</w:t>
        </w:r>
        <w:r>
          <w:tab/>
        </w:r>
        <w:r>
          <w:fldChar w:fldCharType="begin"/>
        </w:r>
        <w:r>
          <w:instrText xml:space="preserve"> PAGEREF _Toc29202 \h </w:instrText>
        </w:r>
        <w:r>
          <w:fldChar w:fldCharType="separate"/>
        </w:r>
        <w:r>
          <w:t>9</w:t>
        </w:r>
        <w:r>
          <w:fldChar w:fldCharType="end"/>
        </w:r>
      </w:hyperlink>
    </w:p>
    <w:p>
      <w:pPr>
        <w:pStyle w:val="TOC2"/>
        <w:tabs>
          <w:tab w:val="right" w:leader="dot" w:pos="8306"/>
        </w:tabs>
      </w:pPr>
      <w:hyperlink w:anchor="_Toc3385" w:history="1">
        <w:r>
          <w:rPr>
            <w:rFonts w:ascii="仿宋" w:eastAsia="仿宋" w:hAnsi="仿宋" w:cs="仿宋" w:hint="eastAsia"/>
            <w:lang w:eastAsia="zh-CN"/>
          </w:rPr>
          <w:t>(二)、用地控制指标</w:t>
        </w:r>
        <w:r>
          <w:tab/>
        </w:r>
        <w:r>
          <w:fldChar w:fldCharType="begin"/>
        </w:r>
        <w:r>
          <w:instrText xml:space="preserve"> PAGEREF _Toc3385 \h </w:instrText>
        </w:r>
        <w:r>
          <w:fldChar w:fldCharType="separate"/>
        </w:r>
        <w:r>
          <w:t>10</w:t>
        </w:r>
        <w:r>
          <w:fldChar w:fldCharType="end"/>
        </w:r>
      </w:hyperlink>
    </w:p>
    <w:p>
      <w:pPr>
        <w:pStyle w:val="TOC2"/>
        <w:tabs>
          <w:tab w:val="right" w:leader="dot" w:pos="8306"/>
        </w:tabs>
      </w:pPr>
      <w:hyperlink w:anchor="_Toc16578" w:history="1">
        <w:r>
          <w:rPr>
            <w:rFonts w:ascii="仿宋" w:eastAsia="仿宋" w:hAnsi="仿宋" w:cs="仿宋" w:hint="eastAsia"/>
            <w:lang w:eastAsia="zh-CN"/>
          </w:rPr>
          <w:t>(三)、节约用地措施</w:t>
        </w:r>
        <w:r>
          <w:tab/>
        </w:r>
        <w:r>
          <w:fldChar w:fldCharType="begin"/>
        </w:r>
        <w:r>
          <w:instrText xml:space="preserve"> PAGEREF _Toc16578 \h </w:instrText>
        </w:r>
        <w:r>
          <w:fldChar w:fldCharType="separate"/>
        </w:r>
        <w:r>
          <w:t>11</w:t>
        </w:r>
        <w:r>
          <w:fldChar w:fldCharType="end"/>
        </w:r>
      </w:hyperlink>
    </w:p>
    <w:p>
      <w:pPr>
        <w:pStyle w:val="TOC2"/>
        <w:tabs>
          <w:tab w:val="right" w:leader="dot" w:pos="8306"/>
        </w:tabs>
      </w:pPr>
      <w:hyperlink w:anchor="_Toc29335" w:history="1">
        <w:r>
          <w:rPr>
            <w:rFonts w:ascii="仿宋" w:eastAsia="仿宋" w:hAnsi="仿宋" w:cs="仿宋" w:hint="eastAsia"/>
            <w:lang w:eastAsia="zh-CN"/>
          </w:rPr>
          <w:t>(四)、总图布置方案</w:t>
        </w:r>
        <w:r>
          <w:tab/>
        </w:r>
        <w:r>
          <w:fldChar w:fldCharType="begin"/>
        </w:r>
        <w:r>
          <w:instrText xml:space="preserve"> PAGEREF _Toc29335 \h </w:instrText>
        </w:r>
        <w:r>
          <w:fldChar w:fldCharType="separate"/>
        </w:r>
        <w:r>
          <w:t>13</w:t>
        </w:r>
        <w:r>
          <w:fldChar w:fldCharType="end"/>
        </w:r>
      </w:hyperlink>
    </w:p>
    <w:p>
      <w:pPr>
        <w:pStyle w:val="TOC2"/>
        <w:tabs>
          <w:tab w:val="right" w:leader="dot" w:pos="8306"/>
        </w:tabs>
      </w:pPr>
      <w:hyperlink w:anchor="_Toc9595" w:history="1">
        <w:r>
          <w:rPr>
            <w:rFonts w:ascii="仿宋" w:eastAsia="仿宋" w:hAnsi="仿宋" w:cs="仿宋" w:hint="eastAsia"/>
            <w:lang w:eastAsia="zh-CN"/>
          </w:rPr>
          <w:t>(五)、选址综合评价</w:t>
        </w:r>
        <w:r>
          <w:tab/>
        </w:r>
        <w:r>
          <w:fldChar w:fldCharType="begin"/>
        </w:r>
        <w:r>
          <w:instrText xml:space="preserve"> PAGEREF _Toc9595 \h </w:instrText>
        </w:r>
        <w:r>
          <w:fldChar w:fldCharType="separate"/>
        </w:r>
        <w:r>
          <w:t>14</w:t>
        </w:r>
        <w:r>
          <w:fldChar w:fldCharType="end"/>
        </w:r>
      </w:hyperlink>
    </w:p>
    <w:p>
      <w:pPr>
        <w:pStyle w:val="TOC1"/>
        <w:tabs>
          <w:tab w:val="right" w:leader="dot" w:pos="8306"/>
        </w:tabs>
      </w:pPr>
      <w:hyperlink w:anchor="_Toc27291" w:history="1">
        <w:r>
          <w:rPr>
            <w:rFonts w:ascii="仿宋" w:eastAsia="仿宋" w:hAnsi="仿宋" w:cs="仿宋" w:hint="eastAsia"/>
            <w:lang w:eastAsia="zh-CN"/>
          </w:rPr>
          <w:t>五、充换电站项目危机管理</w:t>
        </w:r>
        <w:r>
          <w:tab/>
        </w:r>
        <w:r>
          <w:fldChar w:fldCharType="begin"/>
        </w:r>
        <w:r>
          <w:instrText xml:space="preserve"> PAGEREF _Toc27291 \h </w:instrText>
        </w:r>
        <w:r>
          <w:fldChar w:fldCharType="separate"/>
        </w:r>
        <w:r>
          <w:t>15</w:t>
        </w:r>
        <w:r>
          <w:fldChar w:fldCharType="end"/>
        </w:r>
      </w:hyperlink>
    </w:p>
    <w:p>
      <w:pPr>
        <w:pStyle w:val="TOC2"/>
        <w:tabs>
          <w:tab w:val="right" w:leader="dot" w:pos="8306"/>
        </w:tabs>
      </w:pPr>
      <w:hyperlink w:anchor="_Toc7426" w:history="1">
        <w:r>
          <w:rPr>
            <w:rFonts w:ascii="仿宋" w:eastAsia="仿宋" w:hAnsi="仿宋" w:cs="仿宋" w:hint="eastAsia"/>
            <w:lang w:eastAsia="zh-CN"/>
          </w:rPr>
          <w:t>(一)、危机预警与识别</w:t>
        </w:r>
        <w:r>
          <w:tab/>
        </w:r>
        <w:r>
          <w:fldChar w:fldCharType="begin"/>
        </w:r>
        <w:r>
          <w:instrText xml:space="preserve"> PAGEREF _Toc7426 \h </w:instrText>
        </w:r>
        <w:r>
          <w:fldChar w:fldCharType="separate"/>
        </w:r>
        <w:r>
          <w:t>15</w:t>
        </w:r>
        <w:r>
          <w:fldChar w:fldCharType="end"/>
        </w:r>
      </w:hyperlink>
    </w:p>
    <w:p>
      <w:pPr>
        <w:pStyle w:val="TOC2"/>
        <w:tabs>
          <w:tab w:val="right" w:leader="dot" w:pos="8306"/>
        </w:tabs>
      </w:pPr>
      <w:hyperlink w:anchor="_Toc28388" w:history="1">
        <w:r>
          <w:rPr>
            <w:rFonts w:ascii="仿宋" w:eastAsia="仿宋" w:hAnsi="仿宋" w:cs="仿宋" w:hint="eastAsia"/>
            <w:lang w:eastAsia="zh-CN"/>
          </w:rPr>
          <w:t>(二)、危机应对与恢复</w:t>
        </w:r>
        <w:r>
          <w:tab/>
        </w:r>
        <w:r>
          <w:fldChar w:fldCharType="begin"/>
        </w:r>
        <w:r>
          <w:instrText xml:space="preserve"> PAGEREF _Toc28388 \h </w:instrText>
        </w:r>
        <w:r>
          <w:fldChar w:fldCharType="separate"/>
        </w:r>
        <w:r>
          <w:t>16</w:t>
        </w:r>
        <w:r>
          <w:fldChar w:fldCharType="end"/>
        </w:r>
      </w:hyperlink>
    </w:p>
    <w:p>
      <w:pPr>
        <w:pStyle w:val="TOC1"/>
        <w:tabs>
          <w:tab w:val="right" w:leader="dot" w:pos="8306"/>
        </w:tabs>
      </w:pPr>
      <w:hyperlink w:anchor="_Toc12974" w:history="1">
        <w:r>
          <w:rPr>
            <w:rFonts w:ascii="仿宋" w:eastAsia="仿宋" w:hAnsi="仿宋" w:cs="仿宋" w:hint="eastAsia"/>
            <w:lang w:eastAsia="zh-CN"/>
          </w:rPr>
          <w:t>六、充换电站项目建设背景及必要性分析</w:t>
        </w:r>
        <w:r>
          <w:tab/>
        </w:r>
        <w:r>
          <w:fldChar w:fldCharType="begin"/>
        </w:r>
        <w:r>
          <w:instrText xml:space="preserve"> PAGEREF _Toc12974 \h </w:instrText>
        </w:r>
        <w:r>
          <w:fldChar w:fldCharType="separate"/>
        </w:r>
        <w:r>
          <w:t>17</w:t>
        </w:r>
        <w:r>
          <w:fldChar w:fldCharType="end"/>
        </w:r>
      </w:hyperlink>
    </w:p>
    <w:p>
      <w:pPr>
        <w:pStyle w:val="TOC2"/>
        <w:tabs>
          <w:tab w:val="right" w:leader="dot" w:pos="8306"/>
        </w:tabs>
      </w:pPr>
      <w:hyperlink w:anchor="_Toc7408" w:history="1">
        <w:r>
          <w:rPr>
            <w:rFonts w:ascii="仿宋" w:eastAsia="仿宋" w:hAnsi="仿宋" w:cs="仿宋" w:hint="eastAsia"/>
            <w:lang w:eastAsia="zh-CN"/>
          </w:rPr>
          <w:t>(一)、充换电站项目背景分析</w:t>
        </w:r>
        <w:r>
          <w:tab/>
        </w:r>
        <w:r>
          <w:fldChar w:fldCharType="begin"/>
        </w:r>
        <w:r>
          <w:instrText xml:space="preserve"> PAGEREF _Toc7408 \h </w:instrText>
        </w:r>
        <w:r>
          <w:fldChar w:fldCharType="separate"/>
        </w:r>
        <w:r>
          <w:t>17</w:t>
        </w:r>
        <w:r>
          <w:fldChar w:fldCharType="end"/>
        </w:r>
      </w:hyperlink>
    </w:p>
    <w:p>
      <w:pPr>
        <w:pStyle w:val="TOC2"/>
        <w:tabs>
          <w:tab w:val="right" w:leader="dot" w:pos="8306"/>
        </w:tabs>
      </w:pPr>
      <w:hyperlink w:anchor="_Toc22393" w:history="1">
        <w:r>
          <w:rPr>
            <w:rFonts w:ascii="仿宋" w:eastAsia="仿宋" w:hAnsi="仿宋" w:cs="仿宋" w:hint="eastAsia"/>
            <w:lang w:eastAsia="zh-CN"/>
          </w:rPr>
          <w:t>(二)、充换电站项目建设必要性分析</w:t>
        </w:r>
        <w:r>
          <w:tab/>
        </w:r>
        <w:r>
          <w:fldChar w:fldCharType="begin"/>
        </w:r>
        <w:r>
          <w:instrText xml:space="preserve"> PAGEREF _Toc22393 \h </w:instrText>
        </w:r>
        <w:r>
          <w:fldChar w:fldCharType="separate"/>
        </w:r>
        <w:r>
          <w:t>19</w:t>
        </w:r>
        <w:r>
          <w:fldChar w:fldCharType="end"/>
        </w:r>
      </w:hyperlink>
    </w:p>
    <w:p>
      <w:pPr>
        <w:pStyle w:val="TOC1"/>
        <w:tabs>
          <w:tab w:val="right" w:leader="dot" w:pos="8306"/>
        </w:tabs>
      </w:pPr>
      <w:hyperlink w:anchor="_Toc11620" w:history="1">
        <w:r>
          <w:rPr>
            <w:rFonts w:ascii="仿宋" w:eastAsia="仿宋" w:hAnsi="仿宋" w:cs="仿宋" w:hint="eastAsia"/>
            <w:lang w:eastAsia="zh-CN"/>
          </w:rPr>
          <w:t>七、充换电站项目技术管理</w:t>
        </w:r>
        <w:r>
          <w:tab/>
        </w:r>
        <w:r>
          <w:fldChar w:fldCharType="begin"/>
        </w:r>
        <w:r>
          <w:instrText xml:space="preserve"> PAGEREF _Toc11620 \h </w:instrText>
        </w:r>
        <w:r>
          <w:fldChar w:fldCharType="separate"/>
        </w:r>
        <w:r>
          <w:t>20</w:t>
        </w:r>
        <w:r>
          <w:fldChar w:fldCharType="end"/>
        </w:r>
      </w:hyperlink>
    </w:p>
    <w:p>
      <w:pPr>
        <w:pStyle w:val="TOC2"/>
        <w:tabs>
          <w:tab w:val="right" w:leader="dot" w:pos="8306"/>
        </w:tabs>
      </w:pPr>
      <w:hyperlink w:anchor="_Toc1726" w:history="1">
        <w:r>
          <w:rPr>
            <w:rFonts w:ascii="仿宋" w:eastAsia="仿宋" w:hAnsi="仿宋" w:cs="仿宋" w:hint="eastAsia"/>
            <w:lang w:eastAsia="zh-CN"/>
          </w:rPr>
          <w:t>(一)、技术方案选用方向</w:t>
        </w:r>
        <w:r>
          <w:tab/>
        </w:r>
        <w:r>
          <w:fldChar w:fldCharType="begin"/>
        </w:r>
        <w:r>
          <w:instrText xml:space="preserve"> PAGEREF _Toc1726 \h </w:instrText>
        </w:r>
        <w:r>
          <w:fldChar w:fldCharType="separate"/>
        </w:r>
        <w:r>
          <w:t>20</w:t>
        </w:r>
        <w:r>
          <w:fldChar w:fldCharType="end"/>
        </w:r>
      </w:hyperlink>
    </w:p>
    <w:p>
      <w:pPr>
        <w:pStyle w:val="TOC2"/>
        <w:tabs>
          <w:tab w:val="right" w:leader="dot" w:pos="8306"/>
        </w:tabs>
      </w:pPr>
      <w:hyperlink w:anchor="_Toc26191" w:history="1">
        <w:r>
          <w:rPr>
            <w:rFonts w:ascii="仿宋" w:eastAsia="仿宋" w:hAnsi="仿宋" w:cs="仿宋" w:hint="eastAsia"/>
            <w:lang w:eastAsia="zh-CN"/>
          </w:rPr>
          <w:t>(二)、工艺技术方案选用原则</w:t>
        </w:r>
        <w:r>
          <w:tab/>
        </w:r>
        <w:r>
          <w:fldChar w:fldCharType="begin"/>
        </w:r>
        <w:r>
          <w:instrText xml:space="preserve"> PAGEREF _Toc26191 \h </w:instrText>
        </w:r>
        <w:r>
          <w:fldChar w:fldCharType="separate"/>
        </w:r>
        <w:r>
          <w:t>22</w:t>
        </w:r>
        <w:r>
          <w:fldChar w:fldCharType="end"/>
        </w:r>
      </w:hyperlink>
    </w:p>
    <w:p>
      <w:pPr>
        <w:pStyle w:val="TOC2"/>
        <w:tabs>
          <w:tab w:val="right" w:leader="dot" w:pos="8306"/>
        </w:tabs>
      </w:pPr>
      <w:hyperlink w:anchor="_Toc19946" w:history="1">
        <w:r>
          <w:rPr>
            <w:rFonts w:ascii="仿宋" w:eastAsia="仿宋" w:hAnsi="仿宋" w:cs="仿宋" w:hint="eastAsia"/>
            <w:lang w:eastAsia="zh-CN"/>
          </w:rPr>
          <w:t>(三)、工艺技术方案要求</w:t>
        </w:r>
        <w:r>
          <w:tab/>
        </w:r>
        <w:r>
          <w:fldChar w:fldCharType="begin"/>
        </w:r>
        <w:r>
          <w:instrText xml:space="preserve"> PAGEREF _Toc19946 \h </w:instrText>
        </w:r>
        <w:r>
          <w:fldChar w:fldCharType="separate"/>
        </w:r>
        <w:r>
          <w:t>24</w:t>
        </w:r>
        <w:r>
          <w:fldChar w:fldCharType="end"/>
        </w:r>
      </w:hyperlink>
    </w:p>
    <w:p>
      <w:pPr>
        <w:pStyle w:val="TOC1"/>
        <w:tabs>
          <w:tab w:val="right" w:leader="dot" w:pos="8306"/>
        </w:tabs>
      </w:pPr>
      <w:hyperlink w:anchor="_Toc26783" w:history="1">
        <w:r>
          <w:rPr>
            <w:rFonts w:ascii="仿宋" w:eastAsia="仿宋" w:hAnsi="仿宋" w:cs="仿宋" w:hint="eastAsia"/>
            <w:lang w:eastAsia="zh-CN"/>
          </w:rPr>
          <w:t>八、充换电站项目财务管理</w:t>
        </w:r>
        <w:r>
          <w:tab/>
        </w:r>
        <w:r>
          <w:fldChar w:fldCharType="begin"/>
        </w:r>
        <w:r>
          <w:instrText xml:space="preserve"> PAGEREF _Toc26783 \h </w:instrText>
        </w:r>
        <w:r>
          <w:fldChar w:fldCharType="separate"/>
        </w:r>
        <w:r>
          <w:t>26</w:t>
        </w:r>
        <w:r>
          <w:fldChar w:fldCharType="end"/>
        </w:r>
      </w:hyperlink>
    </w:p>
    <w:p>
      <w:pPr>
        <w:pStyle w:val="TOC2"/>
        <w:tabs>
          <w:tab w:val="right" w:leader="dot" w:pos="8306"/>
        </w:tabs>
      </w:pPr>
      <w:hyperlink w:anchor="_Toc13987" w:history="1">
        <w:r>
          <w:rPr>
            <w:rFonts w:ascii="仿宋" w:eastAsia="仿宋" w:hAnsi="仿宋" w:cs="仿宋" w:hint="eastAsia"/>
            <w:lang w:eastAsia="zh-CN"/>
          </w:rPr>
          <w:t>(一)、资金需求大</w:t>
        </w:r>
        <w:r>
          <w:tab/>
        </w:r>
        <w:r>
          <w:fldChar w:fldCharType="begin"/>
        </w:r>
        <w:r>
          <w:instrText xml:space="preserve"> PAGEREF _Toc13987 \h </w:instrText>
        </w:r>
        <w:r>
          <w:fldChar w:fldCharType="separate"/>
        </w:r>
        <w:r>
          <w:t>26</w:t>
        </w:r>
        <w:r>
          <w:fldChar w:fldCharType="end"/>
        </w:r>
      </w:hyperlink>
    </w:p>
    <w:p>
      <w:pPr>
        <w:pStyle w:val="TOC2"/>
        <w:tabs>
          <w:tab w:val="right" w:leader="dot" w:pos="8306"/>
        </w:tabs>
      </w:pPr>
      <w:hyperlink w:anchor="_Toc31266" w:history="1">
        <w:r>
          <w:rPr>
            <w:rFonts w:ascii="仿宋" w:eastAsia="仿宋" w:hAnsi="仿宋" w:cs="仿宋" w:hint="eastAsia"/>
            <w:lang w:eastAsia="zh-CN"/>
          </w:rPr>
          <w:t>(二)、研发周期长</w:t>
        </w:r>
        <w:r>
          <w:tab/>
        </w:r>
        <w:r>
          <w:fldChar w:fldCharType="begin"/>
        </w:r>
        <w:r>
          <w:instrText xml:space="preserve"> PAGEREF _Toc31266 \h </w:instrText>
        </w:r>
        <w:r>
          <w:fldChar w:fldCharType="separate"/>
        </w:r>
        <w:r>
          <w:t>27</w:t>
        </w:r>
        <w:r>
          <w:fldChar w:fldCharType="end"/>
        </w:r>
      </w:hyperlink>
    </w:p>
    <w:p>
      <w:pPr>
        <w:pStyle w:val="TOC2"/>
        <w:tabs>
          <w:tab w:val="right" w:leader="dot" w:pos="8306"/>
        </w:tabs>
      </w:pPr>
      <w:hyperlink w:anchor="_Toc20273" w:history="1">
        <w:r>
          <w:rPr>
            <w:rFonts w:ascii="仿宋" w:eastAsia="仿宋" w:hAnsi="仿宋" w:cs="仿宋" w:hint="eastAsia"/>
            <w:lang w:eastAsia="zh-CN"/>
          </w:rPr>
          <w:t>(三)、市场风险大</w:t>
        </w:r>
        <w:r>
          <w:tab/>
        </w:r>
        <w:r>
          <w:fldChar w:fldCharType="begin"/>
        </w:r>
        <w:r>
          <w:instrText xml:space="preserve"> PAGEREF _Toc20273 \h </w:instrText>
        </w:r>
        <w:r>
          <w:fldChar w:fldCharType="separate"/>
        </w:r>
        <w:r>
          <w:t>28</w:t>
        </w:r>
        <w:r>
          <w:fldChar w:fldCharType="end"/>
        </w:r>
      </w:hyperlink>
    </w:p>
    <w:p>
      <w:pPr>
        <w:pStyle w:val="TOC2"/>
        <w:tabs>
          <w:tab w:val="right" w:leader="dot" w:pos="8306"/>
        </w:tabs>
      </w:pPr>
      <w:hyperlink w:anchor="_Toc14547" w:history="1">
        <w:r>
          <w:rPr>
            <w:rFonts w:ascii="仿宋" w:eastAsia="仿宋" w:hAnsi="仿宋" w:cs="仿宋" w:hint="eastAsia"/>
            <w:lang w:eastAsia="zh-CN"/>
          </w:rPr>
          <w:t>(四)、利润率高</w:t>
        </w:r>
        <w:r>
          <w:tab/>
        </w:r>
        <w:r>
          <w:fldChar w:fldCharType="begin"/>
        </w:r>
        <w:r>
          <w:instrText xml:space="preserve"> PAGEREF _Toc14547 \h </w:instrText>
        </w:r>
        <w:r>
          <w:fldChar w:fldCharType="separate"/>
        </w:r>
        <w:r>
          <w:t>31</w:t>
        </w:r>
        <w:r>
          <w:fldChar w:fldCharType="end"/>
        </w:r>
      </w:hyperlink>
    </w:p>
    <w:p>
      <w:pPr>
        <w:pStyle w:val="TOC1"/>
        <w:tabs>
          <w:tab w:val="right" w:leader="dot" w:pos="8306"/>
        </w:tabs>
      </w:pPr>
      <w:hyperlink w:anchor="_Toc11055" w:history="1">
        <w:r>
          <w:rPr>
            <w:rFonts w:ascii="仿宋" w:eastAsia="仿宋" w:hAnsi="仿宋" w:cs="仿宋" w:hint="eastAsia"/>
            <w:lang w:eastAsia="zh-CN"/>
          </w:rPr>
          <w:t>九、充换电站项目人力资源管理</w:t>
        </w:r>
        <w:r>
          <w:tab/>
        </w:r>
        <w:r>
          <w:fldChar w:fldCharType="begin"/>
        </w:r>
        <w:r>
          <w:instrText xml:space="preserve"> PAGEREF _Toc11055 \h </w:instrText>
        </w:r>
        <w:r>
          <w:fldChar w:fldCharType="separate"/>
        </w:r>
        <w:r>
          <w:t>33</w:t>
        </w:r>
        <w:r>
          <w:fldChar w:fldCharType="end"/>
        </w:r>
      </w:hyperlink>
    </w:p>
    <w:p>
      <w:pPr>
        <w:pStyle w:val="TOC2"/>
        <w:tabs>
          <w:tab w:val="right" w:leader="dot" w:pos="8306"/>
        </w:tabs>
      </w:pPr>
      <w:hyperlink w:anchor="_Toc18751" w:history="1">
        <w:r>
          <w:rPr>
            <w:rFonts w:ascii="仿宋" w:eastAsia="仿宋" w:hAnsi="仿宋" w:cs="仿宋" w:hint="eastAsia"/>
            <w:lang w:eastAsia="zh-CN"/>
          </w:rPr>
          <w:t>(一)、建立健全的预算管理制度</w:t>
        </w:r>
        <w:r>
          <w:tab/>
        </w:r>
        <w:r>
          <w:fldChar w:fldCharType="begin"/>
        </w:r>
        <w:r>
          <w:instrText xml:space="preserve"> PAGEREF _Toc18751 \h </w:instrText>
        </w:r>
        <w:r>
          <w:fldChar w:fldCharType="separate"/>
        </w:r>
        <w:r>
          <w:t>33</w:t>
        </w:r>
        <w:r>
          <w:fldChar w:fldCharType="end"/>
        </w:r>
      </w:hyperlink>
    </w:p>
    <w:p>
      <w:pPr>
        <w:pStyle w:val="TOC2"/>
        <w:tabs>
          <w:tab w:val="right" w:leader="dot" w:pos="8306"/>
        </w:tabs>
      </w:pPr>
      <w:hyperlink w:anchor="_Toc18131" w:history="1">
        <w:r>
          <w:rPr>
            <w:rFonts w:ascii="仿宋" w:eastAsia="仿宋" w:hAnsi="仿宋" w:cs="仿宋" w:hint="eastAsia"/>
            <w:lang w:eastAsia="zh-CN"/>
          </w:rPr>
          <w:t>(二)、加强资金流动监控</w:t>
        </w:r>
        <w:r>
          <w:tab/>
        </w:r>
        <w:r>
          <w:fldChar w:fldCharType="begin"/>
        </w:r>
        <w:r>
          <w:instrText xml:space="preserve"> PAGEREF _Toc18131 \h </w:instrText>
        </w:r>
        <w:r>
          <w:fldChar w:fldCharType="separate"/>
        </w:r>
        <w:r>
          <w:t>35</w:t>
        </w:r>
        <w:r>
          <w:fldChar w:fldCharType="end"/>
        </w:r>
      </w:hyperlink>
    </w:p>
    <w:p>
      <w:pPr>
        <w:pStyle w:val="TOC2"/>
        <w:tabs>
          <w:tab w:val="right" w:leader="dot" w:pos="8306"/>
        </w:tabs>
      </w:pPr>
      <w:hyperlink w:anchor="_Toc24892" w:history="1">
        <w:r>
          <w:rPr>
            <w:rFonts w:ascii="仿宋" w:eastAsia="仿宋" w:hAnsi="仿宋" w:cs="仿宋" w:hint="eastAsia"/>
            <w:lang w:eastAsia="zh-CN"/>
          </w:rPr>
          <w:t>(三)、制定完善的风险控制机制</w:t>
        </w:r>
        <w:r>
          <w:tab/>
        </w:r>
        <w:r>
          <w:fldChar w:fldCharType="begin"/>
        </w:r>
        <w:r>
          <w:instrText xml:space="preserve"> PAGEREF _Toc24892 \h </w:instrText>
        </w:r>
        <w:r>
          <w:fldChar w:fldCharType="separate"/>
        </w:r>
        <w:r>
          <w:t>36</w:t>
        </w:r>
        <w:r>
          <w:fldChar w:fldCharType="end"/>
        </w:r>
      </w:hyperlink>
    </w:p>
    <w:p>
      <w:pPr>
        <w:pStyle w:val="TOC2"/>
        <w:tabs>
          <w:tab w:val="right" w:leader="dot" w:pos="8306"/>
        </w:tabs>
      </w:pPr>
      <w:hyperlink w:anchor="_Toc18756" w:history="1">
        <w:r>
          <w:rPr>
            <w:rFonts w:ascii="仿宋" w:eastAsia="仿宋" w:hAnsi="仿宋" w:cs="仿宋" w:hint="eastAsia"/>
            <w:lang w:eastAsia="zh-CN"/>
          </w:rPr>
          <w:t>(四)、优化成本管理</w:t>
        </w:r>
        <w:r>
          <w:tab/>
        </w:r>
        <w:r>
          <w:fldChar w:fldCharType="begin"/>
        </w:r>
        <w:r>
          <w:instrText xml:space="preserve"> PAGEREF _Toc18756 \h </w:instrText>
        </w:r>
        <w:r>
          <w:fldChar w:fldCharType="separate"/>
        </w:r>
        <w:r>
          <w:t>37</w:t>
        </w:r>
        <w:r>
          <w:fldChar w:fldCharType="end"/>
        </w:r>
      </w:hyperlink>
    </w:p>
    <w:p>
      <w:pPr>
        <w:pStyle w:val="TOC1"/>
        <w:tabs>
          <w:tab w:val="right" w:leader="dot" w:pos="8306"/>
        </w:tabs>
      </w:pPr>
      <w:hyperlink w:anchor="_Toc22869" w:history="1">
        <w:r>
          <w:rPr>
            <w:rFonts w:ascii="仿宋" w:eastAsia="仿宋" w:hAnsi="仿宋" w:cs="仿宋" w:hint="eastAsia"/>
            <w:lang w:eastAsia="zh-CN"/>
          </w:rPr>
          <w:t>十、充换电站项目社会影响</w:t>
        </w:r>
        <w:r>
          <w:tab/>
        </w:r>
        <w:r>
          <w:fldChar w:fldCharType="begin"/>
        </w:r>
        <w:r>
          <w:instrText xml:space="preserve"> PAGEREF _Toc22869 \h </w:instrText>
        </w:r>
        <w:r>
          <w:fldChar w:fldCharType="separate"/>
        </w:r>
        <w:r>
          <w:t>38</w:t>
        </w:r>
        <w:r>
          <w:fldChar w:fldCharType="end"/>
        </w:r>
      </w:hyperlink>
    </w:p>
    <w:p>
      <w:pPr>
        <w:pStyle w:val="TOC2"/>
        <w:tabs>
          <w:tab w:val="right" w:leader="dot" w:pos="8306"/>
        </w:tabs>
      </w:pPr>
      <w:hyperlink w:anchor="_Toc18137" w:history="1">
        <w:r>
          <w:rPr>
            <w:rFonts w:ascii="仿宋" w:eastAsia="仿宋" w:hAnsi="仿宋" w:cs="仿宋" w:hint="eastAsia"/>
            <w:lang w:eastAsia="zh-CN"/>
          </w:rPr>
          <w:t>(一)、社会责任与义务</w:t>
        </w:r>
        <w:r>
          <w:tab/>
        </w:r>
        <w:r>
          <w:fldChar w:fldCharType="begin"/>
        </w:r>
        <w:r>
          <w:instrText xml:space="preserve"> PAGEREF _Toc18137 \h </w:instrText>
        </w:r>
        <w:r>
          <w:fldChar w:fldCharType="separate"/>
        </w:r>
        <w:r>
          <w:t>38</w:t>
        </w:r>
        <w:r>
          <w:fldChar w:fldCharType="end"/>
        </w:r>
      </w:hyperlink>
    </w:p>
    <w:p>
      <w:pPr>
        <w:pStyle w:val="TOC2"/>
        <w:tabs>
          <w:tab w:val="right" w:leader="dot" w:pos="8306"/>
        </w:tabs>
      </w:pPr>
      <w:hyperlink w:anchor="_Toc659" w:history="1">
        <w:r>
          <w:rPr>
            <w:rFonts w:ascii="仿宋" w:eastAsia="仿宋" w:hAnsi="仿宋" w:cs="仿宋" w:hint="eastAsia"/>
            <w:lang w:eastAsia="zh-CN"/>
          </w:rPr>
          <w:t>(二)、社会参与与沟通</w:t>
        </w:r>
        <w:r>
          <w:tab/>
        </w:r>
        <w:r>
          <w:fldChar w:fldCharType="begin"/>
        </w:r>
        <w:r>
          <w:instrText xml:space="preserve"> PAGEREF _Toc659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03" w:history="1">
        <w:r>
          <w:rPr>
            <w:rFonts w:ascii="仿宋" w:eastAsia="仿宋" w:hAnsi="仿宋" w:cs="仿宋" w:hint="eastAsia"/>
            <w:lang w:eastAsia="zh-CN"/>
          </w:rPr>
          <w:t>十一、充换电站项目计划安排</w:t>
        </w:r>
        <w:r>
          <w:tab/>
        </w:r>
        <w:r>
          <w:fldChar w:fldCharType="begin"/>
        </w:r>
        <w:r>
          <w:instrText xml:space="preserve"> PAGEREF _Toc27203 \h </w:instrText>
        </w:r>
        <w:r>
          <w:fldChar w:fldCharType="separate"/>
        </w:r>
        <w:r>
          <w:t>40</w:t>
        </w:r>
        <w:r>
          <w:fldChar w:fldCharType="end"/>
        </w:r>
      </w:hyperlink>
    </w:p>
    <w:p>
      <w:pPr>
        <w:pStyle w:val="TOC2"/>
        <w:tabs>
          <w:tab w:val="right" w:leader="dot" w:pos="8306"/>
        </w:tabs>
      </w:pPr>
      <w:hyperlink w:anchor="_Toc11146" w:history="1">
        <w:r>
          <w:rPr>
            <w:rFonts w:ascii="仿宋" w:eastAsia="仿宋" w:hAnsi="仿宋" w:cs="仿宋" w:hint="eastAsia"/>
            <w:lang w:eastAsia="zh-CN"/>
          </w:rPr>
          <w:t>(一)、建设周期</w:t>
        </w:r>
        <w:r>
          <w:tab/>
        </w:r>
        <w:r>
          <w:fldChar w:fldCharType="begin"/>
        </w:r>
        <w:r>
          <w:instrText xml:space="preserve"> PAGEREF _Toc11146 \h </w:instrText>
        </w:r>
        <w:r>
          <w:fldChar w:fldCharType="separate"/>
        </w:r>
        <w:r>
          <w:t>40</w:t>
        </w:r>
        <w:r>
          <w:fldChar w:fldCharType="end"/>
        </w:r>
      </w:hyperlink>
    </w:p>
    <w:p>
      <w:pPr>
        <w:pStyle w:val="TOC2"/>
        <w:tabs>
          <w:tab w:val="right" w:leader="dot" w:pos="8306"/>
        </w:tabs>
      </w:pPr>
      <w:hyperlink w:anchor="_Toc25567" w:history="1">
        <w:r>
          <w:rPr>
            <w:rFonts w:ascii="仿宋" w:eastAsia="仿宋" w:hAnsi="仿宋" w:cs="仿宋" w:hint="eastAsia"/>
            <w:lang w:eastAsia="zh-CN"/>
          </w:rPr>
          <w:t>(二)、建设进度</w:t>
        </w:r>
        <w:r>
          <w:tab/>
        </w:r>
        <w:r>
          <w:fldChar w:fldCharType="begin"/>
        </w:r>
        <w:r>
          <w:instrText xml:space="preserve"> PAGEREF _Toc25567 \h </w:instrText>
        </w:r>
        <w:r>
          <w:fldChar w:fldCharType="separate"/>
        </w:r>
        <w:r>
          <w:t>41</w:t>
        </w:r>
        <w:r>
          <w:fldChar w:fldCharType="end"/>
        </w:r>
      </w:hyperlink>
    </w:p>
    <w:p>
      <w:pPr>
        <w:pStyle w:val="TOC2"/>
        <w:tabs>
          <w:tab w:val="right" w:leader="dot" w:pos="8306"/>
        </w:tabs>
      </w:pPr>
      <w:hyperlink w:anchor="_Toc22229" w:history="1">
        <w:r>
          <w:rPr>
            <w:rFonts w:ascii="仿宋" w:eastAsia="仿宋" w:hAnsi="仿宋" w:cs="仿宋" w:hint="eastAsia"/>
            <w:lang w:eastAsia="zh-CN"/>
          </w:rPr>
          <w:t>(三)、进度安排注意事项</w:t>
        </w:r>
        <w:r>
          <w:tab/>
        </w:r>
        <w:r>
          <w:fldChar w:fldCharType="begin"/>
        </w:r>
        <w:r>
          <w:instrText xml:space="preserve"> PAGEREF _Toc22229 \h </w:instrText>
        </w:r>
        <w:r>
          <w:fldChar w:fldCharType="separate"/>
        </w:r>
        <w:r>
          <w:t>42</w:t>
        </w:r>
        <w:r>
          <w:fldChar w:fldCharType="end"/>
        </w:r>
      </w:hyperlink>
    </w:p>
    <w:p>
      <w:pPr>
        <w:pStyle w:val="TOC2"/>
        <w:tabs>
          <w:tab w:val="right" w:leader="dot" w:pos="8306"/>
        </w:tabs>
      </w:pPr>
      <w:hyperlink w:anchor="_Toc14535" w:history="1">
        <w:r>
          <w:rPr>
            <w:rFonts w:ascii="仿宋" w:eastAsia="仿宋" w:hAnsi="仿宋" w:cs="仿宋" w:hint="eastAsia"/>
            <w:lang w:eastAsia="zh-CN"/>
          </w:rPr>
          <w:t>(四)、人力资源配置</w:t>
        </w:r>
        <w:r>
          <w:tab/>
        </w:r>
        <w:r>
          <w:fldChar w:fldCharType="begin"/>
        </w:r>
        <w:r>
          <w:instrText xml:space="preserve"> PAGEREF _Toc14535 \h </w:instrText>
        </w:r>
        <w:r>
          <w:fldChar w:fldCharType="separate"/>
        </w:r>
        <w:r>
          <w:t>44</w:t>
        </w:r>
        <w:r>
          <w:fldChar w:fldCharType="end"/>
        </w:r>
      </w:hyperlink>
    </w:p>
    <w:p>
      <w:pPr>
        <w:pStyle w:val="TOC1"/>
        <w:tabs>
          <w:tab w:val="right" w:leader="dot" w:pos="8306"/>
        </w:tabs>
      </w:pPr>
      <w:hyperlink w:anchor="_Toc30306" w:history="1">
        <w:r>
          <w:rPr>
            <w:rFonts w:ascii="仿宋" w:eastAsia="仿宋" w:hAnsi="仿宋" w:cs="仿宋" w:hint="eastAsia"/>
            <w:lang w:eastAsia="zh-CN"/>
          </w:rPr>
          <w:t>十二、充换电站项目创新与研发</w:t>
        </w:r>
        <w:r>
          <w:tab/>
        </w:r>
        <w:r>
          <w:fldChar w:fldCharType="begin"/>
        </w:r>
        <w:r>
          <w:instrText xml:space="preserve"> PAGEREF _Toc30306 \h </w:instrText>
        </w:r>
        <w:r>
          <w:fldChar w:fldCharType="separate"/>
        </w:r>
        <w:r>
          <w:t>44</w:t>
        </w:r>
        <w:r>
          <w:fldChar w:fldCharType="end"/>
        </w:r>
      </w:hyperlink>
    </w:p>
    <w:p>
      <w:pPr>
        <w:pStyle w:val="TOC2"/>
        <w:tabs>
          <w:tab w:val="right" w:leader="dot" w:pos="8306"/>
        </w:tabs>
      </w:pPr>
      <w:hyperlink w:anchor="_Toc5992" w:history="1">
        <w:r>
          <w:rPr>
            <w:rFonts w:ascii="仿宋" w:eastAsia="仿宋" w:hAnsi="仿宋" w:cs="仿宋" w:hint="eastAsia"/>
            <w:lang w:eastAsia="zh-CN"/>
          </w:rPr>
          <w:t>(一)、创新策略与方向</w:t>
        </w:r>
        <w:r>
          <w:tab/>
        </w:r>
        <w:r>
          <w:fldChar w:fldCharType="begin"/>
        </w:r>
        <w:r>
          <w:instrText xml:space="preserve"> PAGEREF _Toc5992 \h </w:instrText>
        </w:r>
        <w:r>
          <w:fldChar w:fldCharType="separate"/>
        </w:r>
        <w:r>
          <w:t>44</w:t>
        </w:r>
        <w:r>
          <w:fldChar w:fldCharType="end"/>
        </w:r>
      </w:hyperlink>
    </w:p>
    <w:p>
      <w:pPr>
        <w:pStyle w:val="TOC2"/>
        <w:tabs>
          <w:tab w:val="right" w:leader="dot" w:pos="8306"/>
        </w:tabs>
      </w:pPr>
      <w:hyperlink w:anchor="_Toc23109" w:history="1">
        <w:r>
          <w:rPr>
            <w:rFonts w:ascii="仿宋" w:eastAsia="仿宋" w:hAnsi="仿宋" w:cs="仿宋" w:hint="eastAsia"/>
            <w:lang w:eastAsia="zh-CN"/>
          </w:rPr>
          <w:t>(二)、研发规划与投入</w:t>
        </w:r>
        <w:r>
          <w:tab/>
        </w:r>
        <w:r>
          <w:fldChar w:fldCharType="begin"/>
        </w:r>
        <w:r>
          <w:instrText xml:space="preserve"> PAGEREF _Toc23109 \h </w:instrText>
        </w:r>
        <w:r>
          <w:fldChar w:fldCharType="separate"/>
        </w:r>
        <w:r>
          <w:t>46</w:t>
        </w:r>
        <w:r>
          <w:fldChar w:fldCharType="end"/>
        </w:r>
      </w:hyperlink>
    </w:p>
    <w:p>
      <w:pPr>
        <w:pStyle w:val="TOC1"/>
        <w:tabs>
          <w:tab w:val="right" w:leader="dot" w:pos="8306"/>
        </w:tabs>
      </w:pPr>
      <w:hyperlink w:anchor="_Toc17812" w:history="1">
        <w:r>
          <w:rPr>
            <w:rFonts w:ascii="仿宋" w:eastAsia="仿宋" w:hAnsi="仿宋" w:cs="仿宋" w:hint="eastAsia"/>
            <w:lang w:eastAsia="zh-CN"/>
          </w:rPr>
          <w:t>十三、供应链管理</w:t>
        </w:r>
        <w:r>
          <w:tab/>
        </w:r>
        <w:r>
          <w:fldChar w:fldCharType="begin"/>
        </w:r>
        <w:r>
          <w:instrText xml:space="preserve"> PAGEREF _Toc17812 \h </w:instrText>
        </w:r>
        <w:r>
          <w:fldChar w:fldCharType="separate"/>
        </w:r>
        <w:r>
          <w:t>47</w:t>
        </w:r>
        <w:r>
          <w:fldChar w:fldCharType="end"/>
        </w:r>
      </w:hyperlink>
    </w:p>
    <w:p>
      <w:pPr>
        <w:pStyle w:val="TOC2"/>
        <w:tabs>
          <w:tab w:val="right" w:leader="dot" w:pos="8306"/>
        </w:tabs>
      </w:pPr>
      <w:hyperlink w:anchor="_Toc14051" w:history="1">
        <w:r>
          <w:rPr>
            <w:rFonts w:ascii="仿宋" w:eastAsia="仿宋" w:hAnsi="仿宋" w:cs="仿宋" w:hint="eastAsia"/>
            <w:lang w:eastAsia="zh-CN"/>
          </w:rPr>
          <w:t>(一)、供应链战略规划</w:t>
        </w:r>
        <w:r>
          <w:tab/>
        </w:r>
        <w:r>
          <w:fldChar w:fldCharType="begin"/>
        </w:r>
        <w:r>
          <w:instrText xml:space="preserve"> PAGEREF _Toc14051 \h </w:instrText>
        </w:r>
        <w:r>
          <w:fldChar w:fldCharType="separate"/>
        </w:r>
        <w:r>
          <w:t>47</w:t>
        </w:r>
        <w:r>
          <w:fldChar w:fldCharType="end"/>
        </w:r>
      </w:hyperlink>
    </w:p>
    <w:p>
      <w:pPr>
        <w:pStyle w:val="TOC2"/>
        <w:tabs>
          <w:tab w:val="right" w:leader="dot" w:pos="8306"/>
        </w:tabs>
      </w:pPr>
      <w:hyperlink w:anchor="_Toc7284" w:history="1">
        <w:r>
          <w:rPr>
            <w:rFonts w:ascii="仿宋" w:eastAsia="仿宋" w:hAnsi="仿宋" w:cs="仿宋" w:hint="eastAsia"/>
            <w:lang w:eastAsia="zh-CN"/>
          </w:rPr>
          <w:t>(二)、供应商选择与合作</w:t>
        </w:r>
        <w:r>
          <w:tab/>
        </w:r>
        <w:r>
          <w:fldChar w:fldCharType="begin"/>
        </w:r>
        <w:r>
          <w:instrText xml:space="preserve"> PAGEREF _Toc7284 \h </w:instrText>
        </w:r>
        <w:r>
          <w:fldChar w:fldCharType="separate"/>
        </w:r>
        <w:r>
          <w:t>49</w:t>
        </w:r>
        <w:r>
          <w:fldChar w:fldCharType="end"/>
        </w:r>
      </w:hyperlink>
    </w:p>
    <w:p>
      <w:pPr>
        <w:pStyle w:val="TOC2"/>
        <w:tabs>
          <w:tab w:val="right" w:leader="dot" w:pos="8306"/>
        </w:tabs>
      </w:pPr>
      <w:hyperlink w:anchor="_Toc1460" w:history="1">
        <w:r>
          <w:rPr>
            <w:rFonts w:ascii="仿宋" w:eastAsia="仿宋" w:hAnsi="仿宋" w:cs="仿宋" w:hint="eastAsia"/>
            <w:lang w:eastAsia="zh-CN"/>
          </w:rPr>
          <w:t>(三)、物流与库存管理</w:t>
        </w:r>
        <w:r>
          <w:tab/>
        </w:r>
        <w:r>
          <w:fldChar w:fldCharType="begin"/>
        </w:r>
        <w:r>
          <w:instrText xml:space="preserve"> PAGEREF _Toc1460 \h </w:instrText>
        </w:r>
        <w:r>
          <w:fldChar w:fldCharType="separate"/>
        </w:r>
        <w:r>
          <w:t>50</w:t>
        </w:r>
        <w:r>
          <w:fldChar w:fldCharType="end"/>
        </w:r>
      </w:hyperlink>
    </w:p>
    <w:p>
      <w:pPr>
        <w:pStyle w:val="TOC1"/>
        <w:tabs>
          <w:tab w:val="right" w:leader="dot" w:pos="8306"/>
        </w:tabs>
      </w:pPr>
      <w:hyperlink w:anchor="_Toc26826" w:history="1">
        <w:r>
          <w:rPr>
            <w:rFonts w:ascii="仿宋" w:eastAsia="仿宋" w:hAnsi="仿宋" w:cs="仿宋" w:hint="eastAsia"/>
            <w:lang w:eastAsia="zh-CN"/>
          </w:rPr>
          <w:t>十四、充换电站项目实施保障措施</w:t>
        </w:r>
        <w:r>
          <w:tab/>
        </w:r>
        <w:r>
          <w:fldChar w:fldCharType="begin"/>
        </w:r>
        <w:r>
          <w:instrText xml:space="preserve"> PAGEREF _Toc26826 \h </w:instrText>
        </w:r>
        <w:r>
          <w:fldChar w:fldCharType="separate"/>
        </w:r>
        <w:r>
          <w:t>52</w:t>
        </w:r>
        <w:r>
          <w:fldChar w:fldCharType="end"/>
        </w:r>
      </w:hyperlink>
    </w:p>
    <w:p>
      <w:pPr>
        <w:pStyle w:val="TOC2"/>
        <w:tabs>
          <w:tab w:val="right" w:leader="dot" w:pos="8306"/>
        </w:tabs>
      </w:pPr>
      <w:hyperlink w:anchor="_Toc23799" w:history="1">
        <w:r>
          <w:rPr>
            <w:rFonts w:ascii="仿宋" w:eastAsia="仿宋" w:hAnsi="仿宋" w:cs="仿宋" w:hint="eastAsia"/>
            <w:lang w:eastAsia="zh-CN"/>
          </w:rPr>
          <w:t>(一)、充换电站项目实施保障机制</w:t>
        </w:r>
        <w:r>
          <w:tab/>
        </w:r>
        <w:r>
          <w:fldChar w:fldCharType="begin"/>
        </w:r>
        <w:r>
          <w:instrText xml:space="preserve"> PAGEREF _Toc23799 \h </w:instrText>
        </w:r>
        <w:r>
          <w:fldChar w:fldCharType="separate"/>
        </w:r>
        <w:r>
          <w:t>52</w:t>
        </w:r>
        <w:r>
          <w:fldChar w:fldCharType="end"/>
        </w:r>
      </w:hyperlink>
    </w:p>
    <w:p>
      <w:pPr>
        <w:pStyle w:val="TOC2"/>
        <w:tabs>
          <w:tab w:val="right" w:leader="dot" w:pos="8306"/>
        </w:tabs>
      </w:pPr>
      <w:hyperlink w:anchor="_Toc31317" w:history="1">
        <w:r>
          <w:rPr>
            <w:rFonts w:ascii="仿宋" w:eastAsia="仿宋" w:hAnsi="仿宋" w:cs="仿宋" w:hint="eastAsia"/>
            <w:lang w:eastAsia="zh-CN"/>
          </w:rPr>
          <w:t>(二)、充换电站项目法律合规要求</w:t>
        </w:r>
        <w:r>
          <w:tab/>
        </w:r>
        <w:r>
          <w:fldChar w:fldCharType="begin"/>
        </w:r>
        <w:r>
          <w:instrText xml:space="preserve"> PAGEREF _Toc31317 \h </w:instrText>
        </w:r>
        <w:r>
          <w:fldChar w:fldCharType="separate"/>
        </w:r>
        <w:r>
          <w:t>55</w:t>
        </w:r>
        <w:r>
          <w:fldChar w:fldCharType="end"/>
        </w:r>
      </w:hyperlink>
    </w:p>
    <w:p>
      <w:pPr>
        <w:pStyle w:val="TOC2"/>
        <w:tabs>
          <w:tab w:val="right" w:leader="dot" w:pos="8306"/>
        </w:tabs>
      </w:pPr>
      <w:hyperlink w:anchor="_Toc32256" w:history="1">
        <w:r>
          <w:rPr>
            <w:rFonts w:ascii="仿宋" w:eastAsia="仿宋" w:hAnsi="仿宋" w:cs="仿宋" w:hint="eastAsia"/>
            <w:lang w:eastAsia="zh-CN"/>
          </w:rPr>
          <w:t>(三)、充换电站项目合同管理与法律事务</w:t>
        </w:r>
        <w:r>
          <w:tab/>
        </w:r>
        <w:r>
          <w:fldChar w:fldCharType="begin"/>
        </w:r>
        <w:r>
          <w:instrText xml:space="preserve"> PAGEREF _Toc32256 \h </w:instrText>
        </w:r>
        <w:r>
          <w:fldChar w:fldCharType="separate"/>
        </w:r>
        <w:r>
          <w:t>59</w:t>
        </w:r>
        <w:r>
          <w:fldChar w:fldCharType="end"/>
        </w:r>
      </w:hyperlink>
    </w:p>
    <w:p>
      <w:pPr>
        <w:pStyle w:val="TOC2"/>
        <w:tabs>
          <w:tab w:val="right" w:leader="dot" w:pos="8306"/>
        </w:tabs>
      </w:pPr>
      <w:hyperlink w:anchor="_Toc17247" w:history="1">
        <w:r>
          <w:rPr>
            <w:rFonts w:ascii="仿宋" w:eastAsia="仿宋" w:hAnsi="仿宋" w:cs="仿宋" w:hint="eastAsia"/>
            <w:lang w:eastAsia="zh-CN"/>
          </w:rPr>
          <w:t>(四)、充换电站项目知识产权保护策略</w:t>
        </w:r>
        <w:r>
          <w:tab/>
        </w:r>
        <w:r>
          <w:fldChar w:fldCharType="begin"/>
        </w:r>
        <w:r>
          <w:instrText xml:space="preserve"> PAGEREF _Toc17247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273"/>
      <w:r>
        <w:rPr>
          <w:rFonts w:ascii="仿宋" w:eastAsia="仿宋" w:hAnsi="仿宋" w:cs="仿宋" w:hint="eastAsia"/>
          <w:sz w:val="28"/>
          <w:lang w:eastAsia="zh-CN"/>
        </w:rPr>
        <w:t>一、充换电站项目可持续发展</w:t>
      </w:r>
      <w:bookmarkEnd w:id="2"/>
    </w:p>
    <w:p>
      <w:pPr>
        <w:pStyle w:val="Heading2"/>
        <w:rPr>
          <w:rFonts w:ascii="仿宋" w:eastAsia="仿宋" w:hAnsi="仿宋" w:cs="仿宋" w:hint="eastAsia"/>
          <w:lang w:eastAsia="zh-CN"/>
        </w:rPr>
      </w:pPr>
      <w:bookmarkStart w:id="3" w:name="_Toc1159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换电站项目中，充换电站项目团队着眼于未来，明确了可持续发展的战略方向。制定的具体可持续发展目标包括降低资源使用、采用环保技术、最大化社会效益等。这一步骤不仅有助于充换电站项目在环保和社会责任方面达到最高标准，也为未来提供了明确的指引，确保充换电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可持续实践的融入充换电站项目管理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充换电站项目管理周期。从充换电站项目规划开始，充换电站项目团队就考虑了环境和社会的因素。在执行阶段，充换电站项目团队积极推动绿色技术的应用，优化资源利用。此外，关注员工的社会责任，通过培训和沟通活动提高员工对可持续发展的认知，使他们能够在日常工作中践行可持续实践。这些举措不仅为充换电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2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扎根于充换电站项目的可持续发展理念，我们深信环保与社会责任是充换电站项目成功的关键支柱。在充换电站项目的每一步，我们都致力于通过创新和实践，履行对环境和社会的坚定责任。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充换电站项目团队通过引入先进的环保技术、建立高效的废物处理系统以及推动能源节约措施，积极履行环保责任。定期的环保监测和评估确保充换电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充换电站项目不仅致力于自身可持续发展，还注重对社会的回馈。通过支持社区充换电站项目、参与慈善事业、提供培训机会等方式，充换电站项目积极履行社会责任。与当地社区建立积极互动，关注员工的工作与生活平衡，以及员工的身心健康，是充换电站项目在社会责任层面的关键举措。这样的实践不仅增强了充换电站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1194"/>
      <w:r>
        <w:rPr>
          <w:rFonts w:ascii="仿宋" w:eastAsia="仿宋" w:hAnsi="仿宋" w:cs="仿宋" w:hint="eastAsia"/>
          <w:sz w:val="28"/>
          <w:lang w:eastAsia="zh-CN"/>
        </w:rPr>
        <w:t>二、充换电站项目土建工程</w:t>
      </w:r>
      <w:bookmarkEnd w:id="5"/>
    </w:p>
    <w:p>
      <w:pPr>
        <w:pStyle w:val="Heading2"/>
        <w:rPr>
          <w:rFonts w:ascii="仿宋" w:eastAsia="仿宋" w:hAnsi="仿宋" w:cs="仿宋" w:hint="eastAsia"/>
          <w:lang w:eastAsia="zh-CN"/>
        </w:rPr>
      </w:pPr>
      <w:bookmarkStart w:id="6" w:name="_Toc1071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在充换电站项目的建筑工程设计中，我们将秉承一系列重要的设计原则，以确保充换电站项目建筑在功能、美观、可持续性等方面达到最佳效果。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首要原则是确保建筑的功能性得到最大化的发挥。我们将充分理解充换电站项目的实际需求，合理布局各个功能区域，保证建筑在满足业务需求的同时，提供高效的工作环境。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在建筑设计中，我们将综合考虑建设和运营成本。通过精细的经济效益分析，确保设计方案在高效利用资源的同时，对充换电站项目的长期盈利能力有积极的贡献。</w:t>
      </w:r>
    </w:p>
    <w:p>
      <w:pPr>
        <w:pStyle w:val="Heading2"/>
        <w:ind w:firstLine="560" w:firstLineChars="200"/>
        <w:rPr>
          <w:rFonts w:ascii="仿宋" w:eastAsia="仿宋" w:hAnsi="仿宋" w:cs="仿宋" w:hint="eastAsia"/>
          <w:sz w:val="28"/>
          <w:lang w:eastAsia="zh-CN"/>
        </w:rPr>
      </w:pPr>
      <w:bookmarkStart w:id="7" w:name="_Toc954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换电站项目的土建工程设计中，我们将精准设定设计年限，结合充换电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充换电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99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充换电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充换电站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充换电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643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本期工程充换电站项目预计总建筑面积XXX平方米，其中：计容建筑面积XXX平方米，计划建筑工程投资XX万元，占充换电站项目总投资的XX%。</w:t>
      </w:r>
    </w:p>
    <w:p>
      <w:pPr>
        <w:pStyle w:val="Heading1"/>
        <w:ind w:firstLine="560" w:firstLineChars="200"/>
        <w:rPr>
          <w:rFonts w:ascii="仿宋" w:eastAsia="仿宋" w:hAnsi="仿宋" w:cs="仿宋" w:hint="eastAsia"/>
          <w:sz w:val="28"/>
          <w:lang w:eastAsia="zh-CN"/>
        </w:rPr>
      </w:pPr>
      <w:bookmarkStart w:id="10" w:name="_Toc3987"/>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2056"/>
      <w:r>
        <w:rPr>
          <w:rFonts w:ascii="仿宋" w:eastAsia="仿宋" w:hAnsi="仿宋" w:cs="仿宋" w:hint="eastAsia"/>
          <w:lang w:eastAsia="zh-CN"/>
        </w:rPr>
        <w:t>(一)、充换电站行业分析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充换电站行业一直以来都是市场的关注焦点。行业内的发展趋势、竞争态势以及潜在机会都对充换电站项目的推进产生深远的影响。通过深入研究行业的整体概貌，我们将更好地理解行业的核心特征，为充换电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换电站行业，技术一直是推动创新和发展的关键因素。我们将对当前技术趋势进行详尽分析，包括但不限于人工智能、大数据应用、先进制造技术等。这有助于充换电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充换电站项目成功的基础。我们将对主要竞争对手进行深入研究，包括其市场份额、产品特点、市场定位等。通过全面了解竞争对手的优势和劣势，充换电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1692"/>
      <w:r>
        <w:rPr>
          <w:rFonts w:ascii="仿宋" w:eastAsia="仿宋" w:hAnsi="仿宋" w:cs="仿宋" w:hint="eastAsia"/>
          <w:sz w:val="28"/>
          <w:lang w:eastAsia="zh-CN"/>
        </w:rPr>
        <w:t>(二)、充换电站市场分析预测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通过对市场规模的深入调研，我们将预测充换电站市场未来的增长趋势。这包括市场的整体规模、各细分领域的发展趋势等。充换电站项目可以根据市场的扩张速度和潜在机会，制定更符合市场需求的发展策略。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充换电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充换电站项目实施过程中需要充分考虑的因素。我们将对市场风险进行全面评估，包括但不限于政策法规风险、市场竞争风险、技术变革风险等。通过对潜在风险的深入分析，充换电站项目可以制定相应的风险缓解策略，降低不确定性对充换电站项目的影响。</w:t>
      </w:r>
    </w:p>
    <w:p>
      <w:pPr>
        <w:pStyle w:val="Heading1"/>
        <w:ind w:firstLine="560" w:firstLineChars="200"/>
        <w:rPr>
          <w:rFonts w:ascii="仿宋" w:eastAsia="仿宋" w:hAnsi="仿宋" w:cs="仿宋" w:hint="eastAsia"/>
          <w:sz w:val="28"/>
          <w:lang w:eastAsia="zh-CN"/>
        </w:rPr>
      </w:pPr>
      <w:bookmarkStart w:id="13" w:name="_Toc4008"/>
      <w:r>
        <w:rPr>
          <w:rFonts w:ascii="仿宋" w:eastAsia="仿宋" w:hAnsi="仿宋" w:cs="仿宋" w:hint="eastAsia"/>
          <w:sz w:val="28"/>
          <w:lang w:eastAsia="zh-CN"/>
        </w:rPr>
        <w:t>四、充换电站项目选址可行性分析</w:t>
      </w:r>
      <w:bookmarkEnd w:id="13"/>
    </w:p>
    <w:p>
      <w:pPr>
        <w:pStyle w:val="Heading2"/>
        <w:rPr>
          <w:rFonts w:ascii="仿宋" w:eastAsia="仿宋" w:hAnsi="仿宋" w:cs="仿宋" w:hint="eastAsia"/>
          <w:lang w:eastAsia="zh-CN"/>
        </w:rPr>
      </w:pPr>
      <w:bookmarkStart w:id="14" w:name="_Toc29202"/>
      <w:r>
        <w:rPr>
          <w:rFonts w:ascii="仿宋" w:eastAsia="仿宋" w:hAnsi="仿宋" w:cs="仿宋" w:hint="eastAsia"/>
          <w:lang w:eastAsia="zh-CN"/>
        </w:rPr>
        <w:t>(一)、充换电站项目选址</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该充换电站项目选址位于XX省XX市XX区XXX街道</w:t>
      </w:r>
    </w:p>
    <w:p>
      <w:pPr>
        <w:pStyle w:val="Heading2"/>
        <w:ind w:firstLine="560" w:firstLineChars="200"/>
        <w:rPr>
          <w:rFonts w:ascii="仿宋" w:eastAsia="仿宋" w:hAnsi="仿宋" w:cs="仿宋" w:hint="eastAsia"/>
          <w:sz w:val="28"/>
          <w:lang w:eastAsia="zh-CN"/>
        </w:rPr>
      </w:pPr>
      <w:bookmarkStart w:id="15" w:name="_Toc3385"/>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充换电站项目的征地面积将根据充换电站项目的实际规模和需求进行精确规划。具体面积XXX平方米，旨在确保充换电站项目不仅能够满足当前的发展需求，还能够预留空间以适应未来的扩展。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净用地面积是在征地面积基础上去除不可利用面积后的实际可开发用地。具体面积XXX平方米，考虑到环保、交通、安全等多方面因素，以确保充换电站项目在整体利用效率上达到最优。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充换电站项目计划建设的建筑总规模具体面积XXX平方米。这一规模的确定综合考虑了充换电站项目的性质、规模，以及城市规划的相关要求，确保建筑布局与周边环境协调一致。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绿地率是充换电站项目用地中被规划为绿地的比例。具体面积XXX平方米，旨在通过合理规划绿地，改善充换电站项目周边环境，提升居民生活质量，并符合城市整体绿化规划。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容积率是用地上可以建设的建筑总体积与用地面积之比。具体面积XXX，通过合理的容积率规划，确保充换电站项目建筑规模与周边环境和谐共生。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确保充换电站项目选址与当地城市规划相一致，具体面积XXX平方米。通过与城市规划部门深入沟通，确保充换电站项目不仅符合城市的整体发展方向，还能够融入城市的发展布局，为城市的长远发展贡献力量。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充换电站项目选址符合当地产业政策，具体面积XXX平方米。这包括充换电站项目对当地经济的促进作用，以及对相关产业的带动效应，确保充换电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用地总体要求必须符合环保和可持续发展的原则，具体面积XXX平方米。通过采用绿色建筑设计、节能减排等措施，确保充换电站项目在建设和运营过程中对环境的影响最小化，达到可持续发展的要求。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确保充换电站项目选址具备必要的公共设施配套，具体面积XXX平方米。这包括交通便利性、教育、医疗等基础设施，以提高居民生活品质，使得充换电站项目选址更具吸引力。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考虑用地总体要求对当地社会稳定性的影响，具体面积XXX平方米。通过深入了解当地社区反馈，确保充换电站项目的选址和建设过程对当地社会和谐稳定产生积极作用。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充换电站项目选址不仅符合法规和规划，还在实际操作中具有可行性。这一全面规划将为充换电站项目的成功实施提供坚实的基础，确保充换电站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657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充换电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充换电站项目的设备规划和空间设计中，我们将采取灵活设备布局的措施。设备布局将根据实际需求进行灵活设计，避免不必要的浪费。通过合理规划设备摆放位置，我们将提高设备的利用率，减少设备间距，以确保充换电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充换电站项目内部引入共享设施的概念，例如共享会议室、办公区等。通过这种方式，我们可以减少对资源的重复建设，提高资源共享效率，从而减小充换电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933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充换电站项目的总图布置中，我们将不同功能区域进行明确的规划，以最大程度满足充换电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9595"/>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充换电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充换电站项目对环境的影响是综合评价的重要因素之一。我们将详细考虑选址周边的自然环境、生态保护区、水源地等情况，确保充换电站项目的建设和运营对环境影响最小化，并符合当地的环保法规标准。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对选址的评价还需充分考虑当地政府的产业政策和法规。我们将详细了解充换电站项目所在地的相关政策，确保充换电站项目的规划和运营与当地法规相符，降低不必要的法律风险。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考虑到社会稳定性对企业运营的重要性，我们将评估选址地区的社会安全情况、劳工关系、社区反馈等方面，以确保充换电站项目的建设和运营不会受到社会稳定性的负面影响。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最后，我们将综合考虑用地成本，包括土地购置费用、土地开发成本等。通过对用地成本的详细评估，我们能够做出更为精确的经济效益分析，为充换电站项目的投资决策提供有力支持。</w:t>
      </w:r>
    </w:p>
    <w:p>
      <w:pPr>
        <w:pStyle w:val="Heading1"/>
        <w:ind w:firstLine="560" w:firstLineChars="200"/>
        <w:rPr>
          <w:rFonts w:ascii="仿宋" w:eastAsia="仿宋" w:hAnsi="仿宋" w:cs="仿宋" w:hint="eastAsia"/>
          <w:sz w:val="28"/>
          <w:lang w:eastAsia="zh-CN"/>
        </w:rPr>
      </w:pPr>
      <w:bookmarkStart w:id="19" w:name="_Toc27291"/>
      <w:r>
        <w:rPr>
          <w:rFonts w:ascii="仿宋" w:eastAsia="仿宋" w:hAnsi="仿宋" w:cs="仿宋" w:hint="eastAsia"/>
          <w:sz w:val="28"/>
          <w:lang w:eastAsia="zh-CN"/>
        </w:rPr>
        <w:t>五、充换电站项目危机管理</w:t>
      </w:r>
      <w:bookmarkEnd w:id="19"/>
    </w:p>
    <w:p>
      <w:pPr>
        <w:pStyle w:val="Heading2"/>
        <w:rPr>
          <w:rFonts w:ascii="仿宋" w:eastAsia="仿宋" w:hAnsi="仿宋" w:cs="仿宋" w:hint="eastAsia"/>
          <w:lang w:eastAsia="zh-CN"/>
        </w:rPr>
      </w:pPr>
      <w:bookmarkStart w:id="20" w:name="_Toc742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充换电站项目危机管理中，危机预警与识别是确保充换电站项目稳健运行的核心步骤。通过建立全面的监测机制，充换电站项目团队旨在及时发现和理解潜在的风险和危机因素，以便采取及时的预防和应对措施，确保充换电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首先，通过深入的风险评估，充换电站项目团队全面分析了整个充换电站项目和各个阶段可能存在的威胁。这包括准确评估每个潜在风险的发生概率和可能影响的程度，为后续危机预警提供了有力支持。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充换电站项目团队着重于明确定义充换电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充换电站项目进展的持续监控，团队能够及时发现潜在问题并作出迅速反应。充换电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在这一阶段，团队的专业素养和反应速度将发挥至关重要的作用，以确保潜在危机能够在初期得到有效的处理，最大程度地减轻负面影响。通过危机预警与识别，充换电站项目得以更有序、可控地推进。</w:t>
      </w:r>
    </w:p>
    <w:p>
      <w:pPr>
        <w:pStyle w:val="Heading2"/>
        <w:ind w:firstLine="560" w:firstLineChars="200"/>
        <w:rPr>
          <w:rFonts w:ascii="仿宋" w:eastAsia="仿宋" w:hAnsi="仿宋" w:cs="仿宋" w:hint="eastAsia"/>
          <w:sz w:val="28"/>
          <w:lang w:eastAsia="zh-CN"/>
        </w:rPr>
      </w:pPr>
      <w:bookmarkStart w:id="21" w:name="_Toc28388"/>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在危机发生时，充换电站项目团队立即行动，成立了应急小组。该小组的任务是迅速制定并实施紧急应对措施，以最小化潜在损失。以下是采取的主要措施：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暂停充换电站项目进度：为遏制危机蔓延，充换电站项目暂时停止进行，以便全面评估当前状况。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资源重新分配：重新评估充换电站项目资源的分配，确保最大限度地减小损失。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实时沟通：与关键利益相关者建立实时沟通机制，向他们传递充换电站项目危机的实际状况，保障充换电站项目核心利益。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在紧急应对的同时，充换电站项目团队强调了团队协作和有效沟通的重要性。以下是团队协作的关键举措：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信息共享机制：建立了信息共享平台，确保团队成员能够及时获取充换电站项目危机的实时信息。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领导者沟通：充换电站项目领导者通过定期会议和即时沟通工具，指导团队应对危机，保持团队稳定运行。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https://d.book118.com/747026154160006032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充换电站项目规划设计方案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9A460C"/>
    <w:rsid w:val="699A46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702615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2024-01-18T01:20:00Z</dcterms:created>
  <dcterms:modified xsi:type="dcterms:W3CDTF">2024-01-18T01:20:46Z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5D38B4BA2DD746F98E65511E915DEB03_11</vt:lpwstr>
  </property>
  <property fmtid="{D5CDD505-2E9C-101B-9397-08002B2CF9AE}" pid="3" name="KSOProductBuildVer">
    <vt:lpwstr>2052-12.1.0.16120</vt:lpwstr>
  </property>
</Properties>
</file>