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特种高分子材料合作协议书</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90" w:history="1">
        <w:r>
          <w:rPr>
            <w:rFonts w:ascii="仿宋" w:eastAsia="仿宋" w:hAnsi="仿宋" w:cs="仿宋" w:hint="eastAsia"/>
            <w:lang w:eastAsia="zh-CN"/>
          </w:rPr>
          <w:t>前言</w:t>
        </w:r>
        <w:r>
          <w:tab/>
        </w:r>
        <w:r>
          <w:fldChar w:fldCharType="begin"/>
        </w:r>
        <w:r>
          <w:instrText xml:space="preserve"> PAGEREF _Toc2290 \h </w:instrText>
        </w:r>
        <w:r>
          <w:fldChar w:fldCharType="separate"/>
        </w:r>
        <w:r>
          <w:t>3</w:t>
        </w:r>
        <w:r>
          <w:fldChar w:fldCharType="end"/>
        </w:r>
      </w:hyperlink>
    </w:p>
    <w:p>
      <w:pPr>
        <w:pStyle w:val="TOC1"/>
        <w:tabs>
          <w:tab w:val="right" w:leader="dot" w:pos="8306"/>
        </w:tabs>
      </w:pPr>
      <w:hyperlink w:anchor="_Toc9787" w:history="1">
        <w:r>
          <w:rPr>
            <w:rFonts w:ascii="仿宋" w:eastAsia="仿宋" w:hAnsi="仿宋" w:cs="仿宋" w:hint="eastAsia"/>
            <w:lang w:eastAsia="zh-CN"/>
          </w:rPr>
          <w:t>一、风险应对评估</w:t>
        </w:r>
        <w:r>
          <w:tab/>
        </w:r>
        <w:r>
          <w:fldChar w:fldCharType="begin"/>
        </w:r>
        <w:r>
          <w:instrText xml:space="preserve"> PAGEREF _Toc9787 \h </w:instrText>
        </w:r>
        <w:r>
          <w:fldChar w:fldCharType="separate"/>
        </w:r>
        <w:r>
          <w:t>3</w:t>
        </w:r>
        <w:r>
          <w:fldChar w:fldCharType="end"/>
        </w:r>
      </w:hyperlink>
    </w:p>
    <w:p>
      <w:pPr>
        <w:pStyle w:val="TOC2"/>
        <w:tabs>
          <w:tab w:val="right" w:leader="dot" w:pos="8306"/>
        </w:tabs>
      </w:pPr>
      <w:hyperlink w:anchor="_Toc24473" w:history="1">
        <w:r>
          <w:rPr>
            <w:rFonts w:ascii="仿宋" w:eastAsia="仿宋" w:hAnsi="仿宋" w:cs="仿宋" w:hint="eastAsia"/>
            <w:lang w:eastAsia="zh-CN"/>
          </w:rPr>
          <w:t>(一)、政策风险分析</w:t>
        </w:r>
        <w:r>
          <w:tab/>
        </w:r>
        <w:r>
          <w:fldChar w:fldCharType="begin"/>
        </w:r>
        <w:r>
          <w:instrText xml:space="preserve"> PAGEREF _Toc24473 \h </w:instrText>
        </w:r>
        <w:r>
          <w:fldChar w:fldCharType="separate"/>
        </w:r>
        <w:r>
          <w:t>3</w:t>
        </w:r>
        <w:r>
          <w:fldChar w:fldCharType="end"/>
        </w:r>
      </w:hyperlink>
    </w:p>
    <w:p>
      <w:pPr>
        <w:pStyle w:val="TOC2"/>
        <w:tabs>
          <w:tab w:val="right" w:leader="dot" w:pos="8306"/>
        </w:tabs>
      </w:pPr>
      <w:hyperlink w:anchor="_Toc20545" w:history="1">
        <w:r>
          <w:rPr>
            <w:rFonts w:ascii="仿宋" w:eastAsia="仿宋" w:hAnsi="仿宋" w:cs="仿宋" w:hint="eastAsia"/>
            <w:lang w:eastAsia="zh-CN"/>
          </w:rPr>
          <w:t>(二)、社会风险分析</w:t>
        </w:r>
        <w:r>
          <w:tab/>
        </w:r>
        <w:r>
          <w:fldChar w:fldCharType="begin"/>
        </w:r>
        <w:r>
          <w:instrText xml:space="preserve"> PAGEREF _Toc20545 \h </w:instrText>
        </w:r>
        <w:r>
          <w:fldChar w:fldCharType="separate"/>
        </w:r>
        <w:r>
          <w:t>3</w:t>
        </w:r>
        <w:r>
          <w:fldChar w:fldCharType="end"/>
        </w:r>
      </w:hyperlink>
    </w:p>
    <w:p>
      <w:pPr>
        <w:pStyle w:val="TOC2"/>
        <w:tabs>
          <w:tab w:val="right" w:leader="dot" w:pos="8306"/>
        </w:tabs>
      </w:pPr>
      <w:hyperlink w:anchor="_Toc30382" w:history="1">
        <w:r>
          <w:rPr>
            <w:rFonts w:ascii="仿宋" w:eastAsia="仿宋" w:hAnsi="仿宋" w:cs="仿宋" w:hint="eastAsia"/>
            <w:lang w:eastAsia="zh-CN"/>
          </w:rPr>
          <w:t>(三)、市场风险分析</w:t>
        </w:r>
        <w:r>
          <w:tab/>
        </w:r>
        <w:r>
          <w:fldChar w:fldCharType="begin"/>
        </w:r>
        <w:r>
          <w:instrText xml:space="preserve"> PAGEREF _Toc30382 \h </w:instrText>
        </w:r>
        <w:r>
          <w:fldChar w:fldCharType="separate"/>
        </w:r>
        <w:r>
          <w:t>4</w:t>
        </w:r>
        <w:r>
          <w:fldChar w:fldCharType="end"/>
        </w:r>
      </w:hyperlink>
    </w:p>
    <w:p>
      <w:pPr>
        <w:pStyle w:val="TOC2"/>
        <w:tabs>
          <w:tab w:val="right" w:leader="dot" w:pos="8306"/>
        </w:tabs>
      </w:pPr>
      <w:hyperlink w:anchor="_Toc28204" w:history="1">
        <w:r>
          <w:rPr>
            <w:rFonts w:ascii="仿宋" w:eastAsia="仿宋" w:hAnsi="仿宋" w:cs="仿宋" w:hint="eastAsia"/>
            <w:lang w:eastAsia="zh-CN"/>
          </w:rPr>
          <w:t>(四)、资金风险分析</w:t>
        </w:r>
        <w:r>
          <w:tab/>
        </w:r>
        <w:r>
          <w:fldChar w:fldCharType="begin"/>
        </w:r>
        <w:r>
          <w:instrText xml:space="preserve"> PAGEREF _Toc28204 \h </w:instrText>
        </w:r>
        <w:r>
          <w:fldChar w:fldCharType="separate"/>
        </w:r>
        <w:r>
          <w:t>4</w:t>
        </w:r>
        <w:r>
          <w:fldChar w:fldCharType="end"/>
        </w:r>
      </w:hyperlink>
    </w:p>
    <w:p>
      <w:pPr>
        <w:pStyle w:val="TOC2"/>
        <w:tabs>
          <w:tab w:val="right" w:leader="dot" w:pos="8306"/>
        </w:tabs>
      </w:pPr>
      <w:hyperlink w:anchor="_Toc2967" w:history="1">
        <w:r>
          <w:rPr>
            <w:rFonts w:ascii="仿宋" w:eastAsia="仿宋" w:hAnsi="仿宋" w:cs="仿宋" w:hint="eastAsia"/>
            <w:lang w:eastAsia="zh-CN"/>
          </w:rPr>
          <w:t>(五)、技术风险分析</w:t>
        </w:r>
        <w:r>
          <w:tab/>
        </w:r>
        <w:r>
          <w:fldChar w:fldCharType="begin"/>
        </w:r>
        <w:r>
          <w:instrText xml:space="preserve"> PAGEREF _Toc2967 \h </w:instrText>
        </w:r>
        <w:r>
          <w:fldChar w:fldCharType="separate"/>
        </w:r>
        <w:r>
          <w:t>4</w:t>
        </w:r>
        <w:r>
          <w:fldChar w:fldCharType="end"/>
        </w:r>
      </w:hyperlink>
    </w:p>
    <w:p>
      <w:pPr>
        <w:pStyle w:val="TOC2"/>
        <w:tabs>
          <w:tab w:val="right" w:leader="dot" w:pos="8306"/>
        </w:tabs>
      </w:pPr>
      <w:hyperlink w:anchor="_Toc6930" w:history="1">
        <w:r>
          <w:rPr>
            <w:rFonts w:ascii="仿宋" w:eastAsia="仿宋" w:hAnsi="仿宋" w:cs="仿宋" w:hint="eastAsia"/>
            <w:lang w:eastAsia="zh-CN"/>
          </w:rPr>
          <w:t>(六)、财务风险分析</w:t>
        </w:r>
        <w:r>
          <w:tab/>
        </w:r>
        <w:r>
          <w:fldChar w:fldCharType="begin"/>
        </w:r>
        <w:r>
          <w:instrText xml:space="preserve"> PAGEREF _Toc6930 \h </w:instrText>
        </w:r>
        <w:r>
          <w:fldChar w:fldCharType="separate"/>
        </w:r>
        <w:r>
          <w:t>4</w:t>
        </w:r>
        <w:r>
          <w:fldChar w:fldCharType="end"/>
        </w:r>
      </w:hyperlink>
    </w:p>
    <w:p>
      <w:pPr>
        <w:pStyle w:val="TOC2"/>
        <w:tabs>
          <w:tab w:val="right" w:leader="dot" w:pos="8306"/>
        </w:tabs>
      </w:pPr>
      <w:hyperlink w:anchor="_Toc6937" w:history="1">
        <w:r>
          <w:rPr>
            <w:rFonts w:ascii="仿宋" w:eastAsia="仿宋" w:hAnsi="仿宋" w:cs="仿宋" w:hint="eastAsia"/>
            <w:lang w:eastAsia="zh-CN"/>
          </w:rPr>
          <w:t>(七)、管理风险分析</w:t>
        </w:r>
        <w:r>
          <w:tab/>
        </w:r>
        <w:r>
          <w:fldChar w:fldCharType="begin"/>
        </w:r>
        <w:r>
          <w:instrText xml:space="preserve"> PAGEREF _Toc6937 \h </w:instrText>
        </w:r>
        <w:r>
          <w:fldChar w:fldCharType="separate"/>
        </w:r>
        <w:r>
          <w:t>5</w:t>
        </w:r>
        <w:r>
          <w:fldChar w:fldCharType="end"/>
        </w:r>
      </w:hyperlink>
    </w:p>
    <w:p>
      <w:pPr>
        <w:pStyle w:val="TOC2"/>
        <w:tabs>
          <w:tab w:val="right" w:leader="dot" w:pos="8306"/>
        </w:tabs>
      </w:pPr>
      <w:hyperlink w:anchor="_Toc7824" w:history="1">
        <w:r>
          <w:rPr>
            <w:rFonts w:ascii="仿宋" w:eastAsia="仿宋" w:hAnsi="仿宋" w:cs="仿宋" w:hint="eastAsia"/>
            <w:lang w:eastAsia="zh-CN"/>
          </w:rPr>
          <w:t>(八)、其它风险分析</w:t>
        </w:r>
        <w:r>
          <w:tab/>
        </w:r>
        <w:r>
          <w:fldChar w:fldCharType="begin"/>
        </w:r>
        <w:r>
          <w:instrText xml:space="preserve"> PAGEREF _Toc7824 \h </w:instrText>
        </w:r>
        <w:r>
          <w:fldChar w:fldCharType="separate"/>
        </w:r>
        <w:r>
          <w:t>5</w:t>
        </w:r>
        <w:r>
          <w:fldChar w:fldCharType="end"/>
        </w:r>
      </w:hyperlink>
    </w:p>
    <w:p>
      <w:pPr>
        <w:pStyle w:val="TOC1"/>
        <w:tabs>
          <w:tab w:val="right" w:leader="dot" w:pos="8306"/>
        </w:tabs>
      </w:pPr>
      <w:hyperlink w:anchor="_Toc7352" w:history="1">
        <w:r>
          <w:rPr>
            <w:rFonts w:ascii="仿宋" w:eastAsia="仿宋" w:hAnsi="仿宋" w:cs="仿宋" w:hint="eastAsia"/>
            <w:lang w:eastAsia="zh-CN"/>
          </w:rPr>
          <w:t>二、工程设计说明</w:t>
        </w:r>
        <w:r>
          <w:tab/>
        </w:r>
        <w:r>
          <w:fldChar w:fldCharType="begin"/>
        </w:r>
        <w:r>
          <w:instrText xml:space="preserve"> PAGEREF _Toc7352 \h </w:instrText>
        </w:r>
        <w:r>
          <w:fldChar w:fldCharType="separate"/>
        </w:r>
        <w:r>
          <w:t>5</w:t>
        </w:r>
        <w:r>
          <w:fldChar w:fldCharType="end"/>
        </w:r>
      </w:hyperlink>
    </w:p>
    <w:p>
      <w:pPr>
        <w:pStyle w:val="TOC2"/>
        <w:tabs>
          <w:tab w:val="right" w:leader="dot" w:pos="8306"/>
        </w:tabs>
      </w:pPr>
      <w:hyperlink w:anchor="_Toc3844" w:history="1">
        <w:r>
          <w:rPr>
            <w:rFonts w:ascii="仿宋" w:eastAsia="仿宋" w:hAnsi="仿宋" w:cs="仿宋" w:hint="eastAsia"/>
            <w:lang w:eastAsia="zh-CN"/>
          </w:rPr>
          <w:t>(一)、建筑工程设计原则</w:t>
        </w:r>
        <w:r>
          <w:tab/>
        </w:r>
        <w:r>
          <w:fldChar w:fldCharType="begin"/>
        </w:r>
        <w:r>
          <w:instrText xml:space="preserve"> PAGEREF _Toc3844 \h </w:instrText>
        </w:r>
        <w:r>
          <w:fldChar w:fldCharType="separate"/>
        </w:r>
        <w:r>
          <w:t>5</w:t>
        </w:r>
        <w:r>
          <w:fldChar w:fldCharType="end"/>
        </w:r>
      </w:hyperlink>
    </w:p>
    <w:p>
      <w:pPr>
        <w:pStyle w:val="TOC2"/>
        <w:tabs>
          <w:tab w:val="right" w:leader="dot" w:pos="8306"/>
        </w:tabs>
      </w:pPr>
      <w:hyperlink w:anchor="_Toc7813" w:history="1">
        <w:r>
          <w:rPr>
            <w:rFonts w:ascii="仿宋" w:eastAsia="仿宋" w:hAnsi="仿宋" w:cs="仿宋" w:hint="eastAsia"/>
            <w:lang w:eastAsia="zh-CN"/>
          </w:rPr>
          <w:t>(二)、特种高分子材料项目工程建设标准规范</w:t>
        </w:r>
        <w:r>
          <w:tab/>
        </w:r>
        <w:r>
          <w:fldChar w:fldCharType="begin"/>
        </w:r>
        <w:r>
          <w:instrText xml:space="preserve"> PAGEREF _Toc7813 \h </w:instrText>
        </w:r>
        <w:r>
          <w:fldChar w:fldCharType="separate"/>
        </w:r>
        <w:r>
          <w:t>5</w:t>
        </w:r>
        <w:r>
          <w:fldChar w:fldCharType="end"/>
        </w:r>
      </w:hyperlink>
    </w:p>
    <w:p>
      <w:pPr>
        <w:pStyle w:val="TOC2"/>
        <w:tabs>
          <w:tab w:val="right" w:leader="dot" w:pos="8306"/>
        </w:tabs>
      </w:pPr>
      <w:hyperlink w:anchor="_Toc30403" w:history="1">
        <w:r>
          <w:rPr>
            <w:rFonts w:ascii="仿宋" w:eastAsia="仿宋" w:hAnsi="仿宋" w:cs="仿宋" w:hint="eastAsia"/>
            <w:lang w:eastAsia="zh-CN"/>
          </w:rPr>
          <w:t>(三)、特种高分子材料项目总平面设计要求</w:t>
        </w:r>
        <w:r>
          <w:tab/>
        </w:r>
        <w:r>
          <w:fldChar w:fldCharType="begin"/>
        </w:r>
        <w:r>
          <w:instrText xml:space="preserve"> PAGEREF _Toc30403 \h </w:instrText>
        </w:r>
        <w:r>
          <w:fldChar w:fldCharType="separate"/>
        </w:r>
        <w:r>
          <w:t>6</w:t>
        </w:r>
        <w:r>
          <w:fldChar w:fldCharType="end"/>
        </w:r>
      </w:hyperlink>
    </w:p>
    <w:p>
      <w:pPr>
        <w:pStyle w:val="TOC2"/>
        <w:tabs>
          <w:tab w:val="right" w:leader="dot" w:pos="8306"/>
        </w:tabs>
      </w:pPr>
      <w:hyperlink w:anchor="_Toc27644" w:history="1">
        <w:r>
          <w:rPr>
            <w:rFonts w:ascii="仿宋" w:eastAsia="仿宋" w:hAnsi="仿宋" w:cs="仿宋" w:hint="eastAsia"/>
            <w:lang w:eastAsia="zh-CN"/>
          </w:rPr>
          <w:t>(四)、建筑设计规范和标准</w:t>
        </w:r>
        <w:r>
          <w:tab/>
        </w:r>
        <w:r>
          <w:fldChar w:fldCharType="begin"/>
        </w:r>
        <w:r>
          <w:instrText xml:space="preserve"> PAGEREF _Toc27644 \h </w:instrText>
        </w:r>
        <w:r>
          <w:fldChar w:fldCharType="separate"/>
        </w:r>
        <w:r>
          <w:t>6</w:t>
        </w:r>
        <w:r>
          <w:fldChar w:fldCharType="end"/>
        </w:r>
      </w:hyperlink>
    </w:p>
    <w:p>
      <w:pPr>
        <w:pStyle w:val="TOC2"/>
        <w:tabs>
          <w:tab w:val="right" w:leader="dot" w:pos="8306"/>
        </w:tabs>
      </w:pPr>
      <w:hyperlink w:anchor="_Toc7143" w:history="1">
        <w:r>
          <w:rPr>
            <w:rFonts w:ascii="仿宋" w:eastAsia="仿宋" w:hAnsi="仿宋" w:cs="仿宋" w:hint="eastAsia"/>
            <w:lang w:eastAsia="zh-CN"/>
          </w:rPr>
          <w:t>(五)、土建工程设计年限及安全等级</w:t>
        </w:r>
        <w:r>
          <w:tab/>
        </w:r>
        <w:r>
          <w:fldChar w:fldCharType="begin"/>
        </w:r>
        <w:r>
          <w:instrText xml:space="preserve"> PAGEREF _Toc7143 \h </w:instrText>
        </w:r>
        <w:r>
          <w:fldChar w:fldCharType="separate"/>
        </w:r>
        <w:r>
          <w:t>6</w:t>
        </w:r>
        <w:r>
          <w:fldChar w:fldCharType="end"/>
        </w:r>
      </w:hyperlink>
    </w:p>
    <w:p>
      <w:pPr>
        <w:pStyle w:val="TOC2"/>
        <w:tabs>
          <w:tab w:val="right" w:leader="dot" w:pos="8306"/>
        </w:tabs>
      </w:pPr>
      <w:hyperlink w:anchor="_Toc278" w:history="1">
        <w:r>
          <w:rPr>
            <w:rFonts w:ascii="仿宋" w:eastAsia="仿宋" w:hAnsi="仿宋" w:cs="仿宋" w:hint="eastAsia"/>
            <w:lang w:eastAsia="zh-CN"/>
          </w:rPr>
          <w:t>(六)、建筑工程设计总体要求</w:t>
        </w:r>
        <w:r>
          <w:tab/>
        </w:r>
        <w:r>
          <w:fldChar w:fldCharType="begin"/>
        </w:r>
        <w:r>
          <w:instrText xml:space="preserve"> PAGEREF _Toc278 \h </w:instrText>
        </w:r>
        <w:r>
          <w:fldChar w:fldCharType="separate"/>
        </w:r>
        <w:r>
          <w:t>6</w:t>
        </w:r>
        <w:r>
          <w:fldChar w:fldCharType="end"/>
        </w:r>
      </w:hyperlink>
    </w:p>
    <w:p>
      <w:pPr>
        <w:pStyle w:val="TOC1"/>
        <w:tabs>
          <w:tab w:val="right" w:leader="dot" w:pos="8306"/>
        </w:tabs>
      </w:pPr>
      <w:hyperlink w:anchor="_Toc18343" w:history="1">
        <w:r>
          <w:rPr>
            <w:rFonts w:ascii="仿宋" w:eastAsia="仿宋" w:hAnsi="仿宋" w:cs="仿宋" w:hint="eastAsia"/>
            <w:lang w:eastAsia="zh-CN"/>
          </w:rPr>
          <w:t>三、特种高分子材料项目建设地分析</w:t>
        </w:r>
        <w:r>
          <w:tab/>
        </w:r>
        <w:r>
          <w:fldChar w:fldCharType="begin"/>
        </w:r>
        <w:r>
          <w:instrText xml:space="preserve"> PAGEREF _Toc18343 \h </w:instrText>
        </w:r>
        <w:r>
          <w:fldChar w:fldCharType="separate"/>
        </w:r>
        <w:r>
          <w:t>7</w:t>
        </w:r>
        <w:r>
          <w:fldChar w:fldCharType="end"/>
        </w:r>
      </w:hyperlink>
    </w:p>
    <w:p>
      <w:pPr>
        <w:pStyle w:val="TOC2"/>
        <w:tabs>
          <w:tab w:val="right" w:leader="dot" w:pos="8306"/>
        </w:tabs>
      </w:pPr>
      <w:hyperlink w:anchor="_Toc21191" w:history="1">
        <w:r>
          <w:rPr>
            <w:rFonts w:ascii="仿宋" w:eastAsia="仿宋" w:hAnsi="仿宋" w:cs="仿宋" w:hint="eastAsia"/>
            <w:lang w:eastAsia="zh-CN"/>
          </w:rPr>
          <w:t>(一)、特种高分子材料项目选址原则</w:t>
        </w:r>
        <w:r>
          <w:tab/>
        </w:r>
        <w:r>
          <w:fldChar w:fldCharType="begin"/>
        </w:r>
        <w:r>
          <w:instrText xml:space="preserve"> PAGEREF _Toc21191 \h </w:instrText>
        </w:r>
        <w:r>
          <w:fldChar w:fldCharType="separate"/>
        </w:r>
        <w:r>
          <w:t>7</w:t>
        </w:r>
        <w:r>
          <w:fldChar w:fldCharType="end"/>
        </w:r>
      </w:hyperlink>
    </w:p>
    <w:p>
      <w:pPr>
        <w:pStyle w:val="TOC2"/>
        <w:tabs>
          <w:tab w:val="right" w:leader="dot" w:pos="8306"/>
        </w:tabs>
      </w:pPr>
      <w:hyperlink w:anchor="_Toc4443" w:history="1">
        <w:r>
          <w:rPr>
            <w:rFonts w:ascii="仿宋" w:eastAsia="仿宋" w:hAnsi="仿宋" w:cs="仿宋" w:hint="eastAsia"/>
            <w:lang w:eastAsia="zh-CN"/>
          </w:rPr>
          <w:t>(二)、特种高分子材料项目选址</w:t>
        </w:r>
        <w:r>
          <w:tab/>
        </w:r>
        <w:r>
          <w:fldChar w:fldCharType="begin"/>
        </w:r>
        <w:r>
          <w:instrText xml:space="preserve"> PAGEREF _Toc4443 \h </w:instrText>
        </w:r>
        <w:r>
          <w:fldChar w:fldCharType="separate"/>
        </w:r>
        <w:r>
          <w:t>7</w:t>
        </w:r>
        <w:r>
          <w:fldChar w:fldCharType="end"/>
        </w:r>
      </w:hyperlink>
    </w:p>
    <w:p>
      <w:pPr>
        <w:pStyle w:val="TOC2"/>
        <w:tabs>
          <w:tab w:val="right" w:leader="dot" w:pos="8306"/>
        </w:tabs>
      </w:pPr>
      <w:hyperlink w:anchor="_Toc118" w:history="1">
        <w:r>
          <w:rPr>
            <w:rFonts w:ascii="仿宋" w:eastAsia="仿宋" w:hAnsi="仿宋" w:cs="仿宋" w:hint="eastAsia"/>
            <w:lang w:eastAsia="zh-CN"/>
          </w:rPr>
          <w:t>(三)、建设条件分析</w:t>
        </w:r>
        <w:r>
          <w:tab/>
        </w:r>
        <w:r>
          <w:fldChar w:fldCharType="begin"/>
        </w:r>
        <w:r>
          <w:instrText xml:space="preserve"> PAGEREF _Toc118 \h </w:instrText>
        </w:r>
        <w:r>
          <w:fldChar w:fldCharType="separate"/>
        </w:r>
        <w:r>
          <w:t>8</w:t>
        </w:r>
        <w:r>
          <w:fldChar w:fldCharType="end"/>
        </w:r>
      </w:hyperlink>
    </w:p>
    <w:p>
      <w:pPr>
        <w:pStyle w:val="TOC2"/>
        <w:tabs>
          <w:tab w:val="right" w:leader="dot" w:pos="8306"/>
        </w:tabs>
      </w:pPr>
      <w:hyperlink w:anchor="_Toc4751" w:history="1">
        <w:r>
          <w:rPr>
            <w:rFonts w:ascii="仿宋" w:eastAsia="仿宋" w:hAnsi="仿宋" w:cs="仿宋" w:hint="eastAsia"/>
            <w:lang w:eastAsia="zh-CN"/>
          </w:rPr>
          <w:t>(四)、用地控制指标</w:t>
        </w:r>
        <w:r>
          <w:tab/>
        </w:r>
        <w:r>
          <w:fldChar w:fldCharType="begin"/>
        </w:r>
        <w:r>
          <w:instrText xml:space="preserve"> PAGEREF _Toc4751 \h </w:instrText>
        </w:r>
        <w:r>
          <w:fldChar w:fldCharType="separate"/>
        </w:r>
        <w:r>
          <w:t>9</w:t>
        </w:r>
        <w:r>
          <w:fldChar w:fldCharType="end"/>
        </w:r>
      </w:hyperlink>
    </w:p>
    <w:p>
      <w:pPr>
        <w:pStyle w:val="TOC2"/>
        <w:tabs>
          <w:tab w:val="right" w:leader="dot" w:pos="8306"/>
        </w:tabs>
      </w:pPr>
      <w:hyperlink w:anchor="_Toc24119" w:history="1">
        <w:r>
          <w:rPr>
            <w:rFonts w:ascii="仿宋" w:eastAsia="仿宋" w:hAnsi="仿宋" w:cs="仿宋" w:hint="eastAsia"/>
            <w:lang w:eastAsia="zh-CN"/>
          </w:rPr>
          <w:t>(五)、用地总体要求</w:t>
        </w:r>
        <w:r>
          <w:tab/>
        </w:r>
        <w:r>
          <w:fldChar w:fldCharType="begin"/>
        </w:r>
        <w:r>
          <w:instrText xml:space="preserve"> PAGEREF _Toc24119 \h </w:instrText>
        </w:r>
        <w:r>
          <w:fldChar w:fldCharType="separate"/>
        </w:r>
        <w:r>
          <w:t>10</w:t>
        </w:r>
        <w:r>
          <w:fldChar w:fldCharType="end"/>
        </w:r>
      </w:hyperlink>
    </w:p>
    <w:p>
      <w:pPr>
        <w:pStyle w:val="TOC2"/>
        <w:tabs>
          <w:tab w:val="right" w:leader="dot" w:pos="8306"/>
        </w:tabs>
      </w:pPr>
      <w:hyperlink w:anchor="_Toc21722" w:history="1">
        <w:r>
          <w:rPr>
            <w:rFonts w:ascii="仿宋" w:eastAsia="仿宋" w:hAnsi="仿宋" w:cs="仿宋" w:hint="eastAsia"/>
            <w:lang w:eastAsia="zh-CN"/>
          </w:rPr>
          <w:t>(六)、节约用地措施</w:t>
        </w:r>
        <w:r>
          <w:tab/>
        </w:r>
        <w:r>
          <w:fldChar w:fldCharType="begin"/>
        </w:r>
        <w:r>
          <w:instrText xml:space="preserve"> PAGEREF _Toc21722 \h </w:instrText>
        </w:r>
        <w:r>
          <w:fldChar w:fldCharType="separate"/>
        </w:r>
        <w:r>
          <w:t>11</w:t>
        </w:r>
        <w:r>
          <w:fldChar w:fldCharType="end"/>
        </w:r>
      </w:hyperlink>
    </w:p>
    <w:p>
      <w:pPr>
        <w:pStyle w:val="TOC2"/>
        <w:tabs>
          <w:tab w:val="right" w:leader="dot" w:pos="8306"/>
        </w:tabs>
      </w:pPr>
      <w:hyperlink w:anchor="_Toc1483" w:history="1">
        <w:r>
          <w:rPr>
            <w:rFonts w:ascii="仿宋" w:eastAsia="仿宋" w:hAnsi="仿宋" w:cs="仿宋" w:hint="eastAsia"/>
            <w:lang w:eastAsia="zh-CN"/>
          </w:rPr>
          <w:t>(七)、总图布置方案</w:t>
        </w:r>
        <w:r>
          <w:tab/>
        </w:r>
        <w:r>
          <w:fldChar w:fldCharType="begin"/>
        </w:r>
        <w:r>
          <w:instrText xml:space="preserve"> PAGEREF _Toc1483 \h </w:instrText>
        </w:r>
        <w:r>
          <w:fldChar w:fldCharType="separate"/>
        </w:r>
        <w:r>
          <w:t>13</w:t>
        </w:r>
        <w:r>
          <w:fldChar w:fldCharType="end"/>
        </w:r>
      </w:hyperlink>
    </w:p>
    <w:p>
      <w:pPr>
        <w:pStyle w:val="TOC2"/>
        <w:tabs>
          <w:tab w:val="right" w:leader="dot" w:pos="8306"/>
        </w:tabs>
      </w:pPr>
      <w:hyperlink w:anchor="_Toc3931" w:history="1">
        <w:r>
          <w:rPr>
            <w:rFonts w:ascii="仿宋" w:eastAsia="仿宋" w:hAnsi="仿宋" w:cs="仿宋" w:hint="eastAsia"/>
            <w:lang w:eastAsia="zh-CN"/>
          </w:rPr>
          <w:t>(八)、运输组成</w:t>
        </w:r>
        <w:r>
          <w:tab/>
        </w:r>
        <w:r>
          <w:fldChar w:fldCharType="begin"/>
        </w:r>
        <w:r>
          <w:instrText xml:space="preserve"> PAGEREF _Toc3931 \h </w:instrText>
        </w:r>
        <w:r>
          <w:fldChar w:fldCharType="separate"/>
        </w:r>
        <w:r>
          <w:t>15</w:t>
        </w:r>
        <w:r>
          <w:fldChar w:fldCharType="end"/>
        </w:r>
      </w:hyperlink>
    </w:p>
    <w:p>
      <w:pPr>
        <w:pStyle w:val="TOC2"/>
        <w:tabs>
          <w:tab w:val="right" w:leader="dot" w:pos="8306"/>
        </w:tabs>
      </w:pPr>
      <w:hyperlink w:anchor="_Toc19637" w:history="1">
        <w:r>
          <w:rPr>
            <w:rFonts w:ascii="仿宋" w:eastAsia="仿宋" w:hAnsi="仿宋" w:cs="仿宋" w:hint="eastAsia"/>
            <w:lang w:eastAsia="zh-CN"/>
          </w:rPr>
          <w:t>(九)、选址综合评价</w:t>
        </w:r>
        <w:r>
          <w:tab/>
        </w:r>
        <w:r>
          <w:fldChar w:fldCharType="begin"/>
        </w:r>
        <w:r>
          <w:instrText xml:space="preserve"> PAGEREF _Toc19637 \h </w:instrText>
        </w:r>
        <w:r>
          <w:fldChar w:fldCharType="separate"/>
        </w:r>
        <w:r>
          <w:t>17</w:t>
        </w:r>
        <w:r>
          <w:fldChar w:fldCharType="end"/>
        </w:r>
      </w:hyperlink>
    </w:p>
    <w:p>
      <w:pPr>
        <w:pStyle w:val="TOC1"/>
        <w:tabs>
          <w:tab w:val="right" w:leader="dot" w:pos="8306"/>
        </w:tabs>
      </w:pPr>
      <w:hyperlink w:anchor="_Toc14585" w:history="1">
        <w:r>
          <w:rPr>
            <w:rFonts w:ascii="仿宋" w:eastAsia="仿宋" w:hAnsi="仿宋" w:cs="仿宋" w:hint="eastAsia"/>
            <w:lang w:eastAsia="zh-CN"/>
          </w:rPr>
          <w:t>四、后期运营与管理</w:t>
        </w:r>
        <w:r>
          <w:tab/>
        </w:r>
        <w:r>
          <w:fldChar w:fldCharType="begin"/>
        </w:r>
        <w:r>
          <w:instrText xml:space="preserve"> PAGEREF _Toc14585 \h </w:instrText>
        </w:r>
        <w:r>
          <w:fldChar w:fldCharType="separate"/>
        </w:r>
        <w:r>
          <w:t>18</w:t>
        </w:r>
        <w:r>
          <w:fldChar w:fldCharType="end"/>
        </w:r>
      </w:hyperlink>
    </w:p>
    <w:p>
      <w:pPr>
        <w:pStyle w:val="TOC2"/>
        <w:tabs>
          <w:tab w:val="right" w:leader="dot" w:pos="8306"/>
        </w:tabs>
      </w:pPr>
      <w:hyperlink w:anchor="_Toc12262" w:history="1">
        <w:r>
          <w:rPr>
            <w:rFonts w:ascii="仿宋" w:eastAsia="仿宋" w:hAnsi="仿宋" w:cs="仿宋" w:hint="eastAsia"/>
            <w:lang w:eastAsia="zh-CN"/>
          </w:rPr>
          <w:t>(一)、特种高分子材料项目运营管理机制</w:t>
        </w:r>
        <w:r>
          <w:tab/>
        </w:r>
        <w:r>
          <w:fldChar w:fldCharType="begin"/>
        </w:r>
        <w:r>
          <w:instrText xml:space="preserve"> PAGEREF _Toc12262 \h </w:instrText>
        </w:r>
        <w:r>
          <w:fldChar w:fldCharType="separate"/>
        </w:r>
        <w:r>
          <w:t>18</w:t>
        </w:r>
        <w:r>
          <w:fldChar w:fldCharType="end"/>
        </w:r>
      </w:hyperlink>
    </w:p>
    <w:p>
      <w:pPr>
        <w:pStyle w:val="TOC2"/>
        <w:tabs>
          <w:tab w:val="right" w:leader="dot" w:pos="8306"/>
        </w:tabs>
      </w:pPr>
      <w:hyperlink w:anchor="_Toc24036" w:history="1">
        <w:r>
          <w:rPr>
            <w:rFonts w:ascii="仿宋" w:eastAsia="仿宋" w:hAnsi="仿宋" w:cs="仿宋" w:hint="eastAsia"/>
            <w:lang w:eastAsia="zh-CN"/>
          </w:rPr>
          <w:t>(二)、人员培训与知识转移</w:t>
        </w:r>
        <w:r>
          <w:tab/>
        </w:r>
        <w:r>
          <w:fldChar w:fldCharType="begin"/>
        </w:r>
        <w:r>
          <w:instrText xml:space="preserve"> PAGEREF _Toc24036 \h </w:instrText>
        </w:r>
        <w:r>
          <w:fldChar w:fldCharType="separate"/>
        </w:r>
        <w:r>
          <w:t>19</w:t>
        </w:r>
        <w:r>
          <w:fldChar w:fldCharType="end"/>
        </w:r>
      </w:hyperlink>
    </w:p>
    <w:p>
      <w:pPr>
        <w:pStyle w:val="TOC2"/>
        <w:tabs>
          <w:tab w:val="right" w:leader="dot" w:pos="8306"/>
        </w:tabs>
      </w:pPr>
      <w:hyperlink w:anchor="_Toc2506" w:history="1">
        <w:r>
          <w:rPr>
            <w:rFonts w:ascii="仿宋" w:eastAsia="仿宋" w:hAnsi="仿宋" w:cs="仿宋" w:hint="eastAsia"/>
            <w:lang w:eastAsia="zh-CN"/>
          </w:rPr>
          <w:t>(三)、设备维护与保养</w:t>
        </w:r>
        <w:r>
          <w:tab/>
        </w:r>
        <w:r>
          <w:fldChar w:fldCharType="begin"/>
        </w:r>
        <w:r>
          <w:instrText xml:space="preserve"> PAGEREF _Toc2506 \h </w:instrText>
        </w:r>
        <w:r>
          <w:fldChar w:fldCharType="separate"/>
        </w:r>
        <w:r>
          <w:t>19</w:t>
        </w:r>
        <w:r>
          <w:fldChar w:fldCharType="end"/>
        </w:r>
      </w:hyperlink>
    </w:p>
    <w:p>
      <w:pPr>
        <w:pStyle w:val="TOC2"/>
        <w:tabs>
          <w:tab w:val="right" w:leader="dot" w:pos="8306"/>
        </w:tabs>
      </w:pPr>
      <w:hyperlink w:anchor="_Toc23018" w:history="1">
        <w:r>
          <w:rPr>
            <w:rFonts w:ascii="仿宋" w:eastAsia="仿宋" w:hAnsi="仿宋" w:cs="仿宋" w:hint="eastAsia"/>
            <w:lang w:eastAsia="zh-CN"/>
          </w:rPr>
          <w:t>(四)、定期检查与评估</w:t>
        </w:r>
        <w:r>
          <w:tab/>
        </w:r>
        <w:r>
          <w:fldChar w:fldCharType="begin"/>
        </w:r>
        <w:r>
          <w:instrText xml:space="preserve"> PAGEREF _Toc23018 \h </w:instrText>
        </w:r>
        <w:r>
          <w:fldChar w:fldCharType="separate"/>
        </w:r>
        <w:r>
          <w:t>20</w:t>
        </w:r>
        <w:r>
          <w:fldChar w:fldCharType="end"/>
        </w:r>
      </w:hyperlink>
    </w:p>
    <w:p>
      <w:pPr>
        <w:pStyle w:val="TOC1"/>
        <w:tabs>
          <w:tab w:val="right" w:leader="dot" w:pos="8306"/>
        </w:tabs>
      </w:pPr>
      <w:hyperlink w:anchor="_Toc19901" w:history="1">
        <w:r>
          <w:rPr>
            <w:rFonts w:ascii="仿宋" w:eastAsia="仿宋" w:hAnsi="仿宋" w:cs="仿宋" w:hint="eastAsia"/>
            <w:lang w:eastAsia="zh-CN"/>
          </w:rPr>
          <w:t>五、人员培训与发展</w:t>
        </w:r>
        <w:r>
          <w:tab/>
        </w:r>
        <w:r>
          <w:fldChar w:fldCharType="begin"/>
        </w:r>
        <w:r>
          <w:instrText xml:space="preserve"> PAGEREF _Toc19901 \h </w:instrText>
        </w:r>
        <w:r>
          <w:fldChar w:fldCharType="separate"/>
        </w:r>
        <w:r>
          <w:t>20</w:t>
        </w:r>
        <w:r>
          <w:fldChar w:fldCharType="end"/>
        </w:r>
      </w:hyperlink>
    </w:p>
    <w:p>
      <w:pPr>
        <w:pStyle w:val="TOC2"/>
        <w:tabs>
          <w:tab w:val="right" w:leader="dot" w:pos="8306"/>
        </w:tabs>
      </w:pPr>
      <w:hyperlink w:anchor="_Toc26266" w:history="1">
        <w:r>
          <w:rPr>
            <w:rFonts w:ascii="仿宋" w:eastAsia="仿宋" w:hAnsi="仿宋" w:cs="仿宋" w:hint="eastAsia"/>
            <w:lang w:eastAsia="zh-CN"/>
          </w:rPr>
          <w:t>(一)、培训需求分析</w:t>
        </w:r>
        <w:r>
          <w:tab/>
        </w:r>
        <w:r>
          <w:fldChar w:fldCharType="begin"/>
        </w:r>
        <w:r>
          <w:instrText xml:space="preserve"> PAGEREF _Toc26266 \h </w:instrText>
        </w:r>
        <w:r>
          <w:fldChar w:fldCharType="separate"/>
        </w:r>
        <w:r>
          <w:t>20</w:t>
        </w:r>
        <w:r>
          <w:fldChar w:fldCharType="end"/>
        </w:r>
      </w:hyperlink>
    </w:p>
    <w:p>
      <w:pPr>
        <w:pStyle w:val="TOC2"/>
        <w:tabs>
          <w:tab w:val="right" w:leader="dot" w:pos="8306"/>
        </w:tabs>
      </w:pPr>
      <w:hyperlink w:anchor="_Toc7220" w:history="1">
        <w:r>
          <w:rPr>
            <w:rFonts w:ascii="仿宋" w:eastAsia="仿宋" w:hAnsi="仿宋" w:cs="仿宋" w:hint="eastAsia"/>
            <w:lang w:eastAsia="zh-CN"/>
          </w:rPr>
          <w:t>(二)、培训计划制定</w:t>
        </w:r>
        <w:r>
          <w:tab/>
        </w:r>
        <w:r>
          <w:fldChar w:fldCharType="begin"/>
        </w:r>
        <w:r>
          <w:instrText xml:space="preserve"> PAGEREF _Toc7220 \h </w:instrText>
        </w:r>
        <w:r>
          <w:fldChar w:fldCharType="separate"/>
        </w:r>
        <w:r>
          <w:t>22</w:t>
        </w:r>
        <w:r>
          <w:fldChar w:fldCharType="end"/>
        </w:r>
      </w:hyperlink>
    </w:p>
    <w:p>
      <w:pPr>
        <w:pStyle w:val="TOC2"/>
        <w:tabs>
          <w:tab w:val="right" w:leader="dot" w:pos="8306"/>
        </w:tabs>
      </w:pPr>
      <w:hyperlink w:anchor="_Toc9030" w:history="1">
        <w:r>
          <w:rPr>
            <w:rFonts w:ascii="仿宋" w:eastAsia="仿宋" w:hAnsi="仿宋" w:cs="仿宋" w:hint="eastAsia"/>
            <w:lang w:eastAsia="zh-CN"/>
          </w:rPr>
          <w:t>(三)、培训执行与评估</w:t>
        </w:r>
        <w:r>
          <w:tab/>
        </w:r>
        <w:r>
          <w:fldChar w:fldCharType="begin"/>
        </w:r>
        <w:r>
          <w:instrText xml:space="preserve"> PAGEREF _Toc9030 \h </w:instrText>
        </w:r>
        <w:r>
          <w:fldChar w:fldCharType="separate"/>
        </w:r>
        <w:r>
          <w:t>23</w:t>
        </w:r>
        <w:r>
          <w:fldChar w:fldCharType="end"/>
        </w:r>
      </w:hyperlink>
    </w:p>
    <w:p>
      <w:pPr>
        <w:pStyle w:val="TOC2"/>
        <w:tabs>
          <w:tab w:val="right" w:leader="dot" w:pos="8306"/>
        </w:tabs>
      </w:pPr>
      <w:hyperlink w:anchor="_Toc23836" w:history="1">
        <w:r>
          <w:rPr>
            <w:rFonts w:ascii="仿宋" w:eastAsia="仿宋" w:hAnsi="仿宋" w:cs="仿宋" w:hint="eastAsia"/>
            <w:lang w:eastAsia="zh-CN"/>
          </w:rPr>
          <w:t>(四)、员工职业发展规划</w:t>
        </w:r>
        <w:r>
          <w:tab/>
        </w:r>
        <w:r>
          <w:fldChar w:fldCharType="begin"/>
        </w:r>
        <w:r>
          <w:instrText xml:space="preserve"> PAGEREF _Toc23836 \h </w:instrText>
        </w:r>
        <w:r>
          <w:fldChar w:fldCharType="separate"/>
        </w:r>
        <w:r>
          <w:t>24</w:t>
        </w:r>
        <w:r>
          <w:fldChar w:fldCharType="end"/>
        </w:r>
      </w:hyperlink>
    </w:p>
    <w:p>
      <w:pPr>
        <w:pStyle w:val="TOC1"/>
        <w:tabs>
          <w:tab w:val="right" w:leader="dot" w:pos="8306"/>
        </w:tabs>
      </w:pPr>
      <w:hyperlink w:anchor="_Toc11883" w:history="1">
        <w:r>
          <w:rPr>
            <w:rFonts w:ascii="仿宋" w:eastAsia="仿宋" w:hAnsi="仿宋" w:cs="仿宋" w:hint="eastAsia"/>
            <w:lang w:eastAsia="zh-CN"/>
          </w:rPr>
          <w:t>六、特种高分子材料项目收尾与总结</w:t>
        </w:r>
        <w:r>
          <w:tab/>
        </w:r>
        <w:r>
          <w:fldChar w:fldCharType="begin"/>
        </w:r>
        <w:r>
          <w:instrText xml:space="preserve"> PAGEREF _Toc11883 \h </w:instrText>
        </w:r>
        <w:r>
          <w:fldChar w:fldCharType="separate"/>
        </w:r>
        <w:r>
          <w:t>26</w:t>
        </w:r>
        <w:r>
          <w:fldChar w:fldCharType="end"/>
        </w:r>
      </w:hyperlink>
    </w:p>
    <w:p>
      <w:pPr>
        <w:pStyle w:val="TOC2"/>
        <w:tabs>
          <w:tab w:val="right" w:leader="dot" w:pos="8306"/>
        </w:tabs>
      </w:pPr>
      <w:hyperlink w:anchor="_Toc14906" w:history="1">
        <w:r>
          <w:rPr>
            <w:rFonts w:ascii="仿宋" w:eastAsia="仿宋" w:hAnsi="仿宋" w:cs="仿宋" w:hint="eastAsia"/>
            <w:lang w:eastAsia="zh-CN"/>
          </w:rPr>
          <w:t>(一)、特种高分子材料项目总结与经验分享</w:t>
        </w:r>
        <w:r>
          <w:tab/>
        </w:r>
        <w:r>
          <w:fldChar w:fldCharType="begin"/>
        </w:r>
        <w:r>
          <w:instrText xml:space="preserve"> PAGEREF _Toc14906 \h </w:instrText>
        </w:r>
        <w:r>
          <w:fldChar w:fldCharType="separate"/>
        </w:r>
        <w:r>
          <w:t>26</w:t>
        </w:r>
        <w:r>
          <w:fldChar w:fldCharType="end"/>
        </w:r>
      </w:hyperlink>
    </w:p>
    <w:p>
      <w:pPr>
        <w:pStyle w:val="TOC2"/>
        <w:tabs>
          <w:tab w:val="right" w:leader="dot" w:pos="8306"/>
        </w:tabs>
      </w:pPr>
      <w:hyperlink w:anchor="_Toc25353" w:history="1">
        <w:r>
          <w:rPr>
            <w:rFonts w:ascii="仿宋" w:eastAsia="仿宋" w:hAnsi="仿宋" w:cs="仿宋" w:hint="eastAsia"/>
            <w:lang w:eastAsia="zh-CN"/>
          </w:rPr>
          <w:t>(二)、特种高分子材料项目报告与归档</w:t>
        </w:r>
        <w:r>
          <w:tab/>
        </w:r>
        <w:r>
          <w:fldChar w:fldCharType="begin"/>
        </w:r>
        <w:r>
          <w:instrText xml:space="preserve"> PAGEREF _Toc25353 \h </w:instrText>
        </w:r>
        <w:r>
          <w:fldChar w:fldCharType="separate"/>
        </w:r>
        <w:r>
          <w:t>29</w:t>
        </w:r>
        <w:r>
          <w:fldChar w:fldCharType="end"/>
        </w:r>
      </w:hyperlink>
    </w:p>
    <w:p>
      <w:pPr>
        <w:pStyle w:val="TOC2"/>
        <w:tabs>
          <w:tab w:val="right" w:leader="dot" w:pos="8306"/>
        </w:tabs>
      </w:pPr>
      <w:hyperlink w:anchor="_Toc24983" w:history="1">
        <w:r>
          <w:rPr>
            <w:rFonts w:ascii="仿宋" w:eastAsia="仿宋" w:hAnsi="仿宋" w:cs="仿宋" w:hint="eastAsia"/>
            <w:lang w:eastAsia="zh-CN"/>
          </w:rPr>
          <w:t>(三)、特种高分子材料项目收尾与结算</w:t>
        </w:r>
        <w:r>
          <w:tab/>
        </w:r>
        <w:r>
          <w:fldChar w:fldCharType="begin"/>
        </w:r>
        <w:r>
          <w:instrText xml:space="preserve"> PAGEREF _Toc24983 \h </w:instrText>
        </w:r>
        <w:r>
          <w:fldChar w:fldCharType="separate"/>
        </w:r>
        <w:r>
          <w:t>30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679" w:history="1">
        <w:r>
          <w:rPr>
            <w:rFonts w:ascii="仿宋" w:eastAsia="仿宋" w:hAnsi="仿宋" w:cs="仿宋" w:hint="eastAsia"/>
            <w:lang w:eastAsia="zh-CN"/>
          </w:rPr>
          <w:t>(四)、团队人员调整与反馈</w:t>
        </w:r>
        <w:r>
          <w:tab/>
        </w:r>
        <w:r>
          <w:fldChar w:fldCharType="begin"/>
        </w:r>
        <w:r>
          <w:instrText xml:space="preserve"> PAGEREF _Toc8679 \h </w:instrText>
        </w:r>
        <w:r>
          <w:fldChar w:fldCharType="separate"/>
        </w:r>
        <w:r>
          <w:t>31</w:t>
        </w:r>
        <w:r>
          <w:fldChar w:fldCharType="end"/>
        </w:r>
      </w:hyperlink>
    </w:p>
    <w:p>
      <w:pPr>
        <w:pStyle w:val="TOC1"/>
        <w:tabs>
          <w:tab w:val="right" w:leader="dot" w:pos="8306"/>
        </w:tabs>
      </w:pPr>
      <w:hyperlink w:anchor="_Toc30780" w:history="1">
        <w:r>
          <w:rPr>
            <w:rFonts w:ascii="仿宋" w:eastAsia="仿宋" w:hAnsi="仿宋" w:cs="仿宋" w:hint="eastAsia"/>
            <w:lang w:eastAsia="zh-CN"/>
          </w:rPr>
          <w:t>七、危机管理与应急响应</w:t>
        </w:r>
        <w:r>
          <w:tab/>
        </w:r>
        <w:r>
          <w:fldChar w:fldCharType="begin"/>
        </w:r>
        <w:r>
          <w:instrText xml:space="preserve"> PAGEREF _Toc30780 \h </w:instrText>
        </w:r>
        <w:r>
          <w:fldChar w:fldCharType="separate"/>
        </w:r>
        <w:r>
          <w:t>33</w:t>
        </w:r>
        <w:r>
          <w:fldChar w:fldCharType="end"/>
        </w:r>
      </w:hyperlink>
    </w:p>
    <w:p>
      <w:pPr>
        <w:pStyle w:val="TOC2"/>
        <w:tabs>
          <w:tab w:val="right" w:leader="dot" w:pos="8306"/>
        </w:tabs>
      </w:pPr>
      <w:hyperlink w:anchor="_Toc3551" w:history="1">
        <w:r>
          <w:rPr>
            <w:rFonts w:ascii="仿宋" w:eastAsia="仿宋" w:hAnsi="仿宋" w:cs="仿宋" w:hint="eastAsia"/>
            <w:lang w:eastAsia="zh-CN"/>
          </w:rPr>
          <w:t>(一)、危机管理计划制定</w:t>
        </w:r>
        <w:r>
          <w:tab/>
        </w:r>
        <w:r>
          <w:fldChar w:fldCharType="begin"/>
        </w:r>
        <w:r>
          <w:instrText xml:space="preserve"> PAGEREF _Toc3551 \h </w:instrText>
        </w:r>
        <w:r>
          <w:fldChar w:fldCharType="separate"/>
        </w:r>
        <w:r>
          <w:t>33</w:t>
        </w:r>
        <w:r>
          <w:fldChar w:fldCharType="end"/>
        </w:r>
      </w:hyperlink>
    </w:p>
    <w:p>
      <w:pPr>
        <w:pStyle w:val="TOC2"/>
        <w:tabs>
          <w:tab w:val="right" w:leader="dot" w:pos="8306"/>
        </w:tabs>
      </w:pPr>
      <w:hyperlink w:anchor="_Toc10179" w:history="1">
        <w:r>
          <w:rPr>
            <w:rFonts w:ascii="仿宋" w:eastAsia="仿宋" w:hAnsi="仿宋" w:cs="仿宋" w:hint="eastAsia"/>
            <w:lang w:eastAsia="zh-CN"/>
          </w:rPr>
          <w:t>(二)、应急响应流程</w:t>
        </w:r>
        <w:r>
          <w:tab/>
        </w:r>
        <w:r>
          <w:fldChar w:fldCharType="begin"/>
        </w:r>
        <w:r>
          <w:instrText xml:space="preserve"> PAGEREF _Toc10179 \h </w:instrText>
        </w:r>
        <w:r>
          <w:fldChar w:fldCharType="separate"/>
        </w:r>
        <w:r>
          <w:t>34</w:t>
        </w:r>
        <w:r>
          <w:fldChar w:fldCharType="end"/>
        </w:r>
      </w:hyperlink>
    </w:p>
    <w:p>
      <w:pPr>
        <w:pStyle w:val="TOC2"/>
        <w:tabs>
          <w:tab w:val="right" w:leader="dot" w:pos="8306"/>
        </w:tabs>
      </w:pPr>
      <w:hyperlink w:anchor="_Toc7074" w:history="1">
        <w:r>
          <w:rPr>
            <w:rFonts w:ascii="仿宋" w:eastAsia="仿宋" w:hAnsi="仿宋" w:cs="仿宋" w:hint="eastAsia"/>
            <w:lang w:eastAsia="zh-CN"/>
          </w:rPr>
          <w:t>(三)、危机公关与舆情管理</w:t>
        </w:r>
        <w:r>
          <w:tab/>
        </w:r>
        <w:r>
          <w:fldChar w:fldCharType="begin"/>
        </w:r>
        <w:r>
          <w:instrText xml:space="preserve"> PAGEREF _Toc7074 \h </w:instrText>
        </w:r>
        <w:r>
          <w:fldChar w:fldCharType="separate"/>
        </w:r>
        <w:r>
          <w:t>35</w:t>
        </w:r>
        <w:r>
          <w:fldChar w:fldCharType="end"/>
        </w:r>
      </w:hyperlink>
    </w:p>
    <w:p>
      <w:pPr>
        <w:pStyle w:val="TOC2"/>
        <w:tabs>
          <w:tab w:val="right" w:leader="dot" w:pos="8306"/>
        </w:tabs>
      </w:pPr>
      <w:hyperlink w:anchor="_Toc17806" w:history="1">
        <w:r>
          <w:rPr>
            <w:rFonts w:ascii="仿宋" w:eastAsia="仿宋" w:hAnsi="仿宋" w:cs="仿宋" w:hint="eastAsia"/>
            <w:lang w:eastAsia="zh-CN"/>
          </w:rPr>
          <w:t>(四)、事故调查与报告</w:t>
        </w:r>
        <w:r>
          <w:tab/>
        </w:r>
        <w:r>
          <w:fldChar w:fldCharType="begin"/>
        </w:r>
        <w:r>
          <w:instrText xml:space="preserve"> PAGEREF _Toc17806 \h </w:instrText>
        </w:r>
        <w:r>
          <w:fldChar w:fldCharType="separate"/>
        </w:r>
        <w:r>
          <w:t>35</w:t>
        </w:r>
        <w:r>
          <w:fldChar w:fldCharType="end"/>
        </w:r>
      </w:hyperlink>
    </w:p>
    <w:p>
      <w:pPr>
        <w:pStyle w:val="TOC1"/>
        <w:tabs>
          <w:tab w:val="right" w:leader="dot" w:pos="8306"/>
        </w:tabs>
      </w:pPr>
      <w:hyperlink w:anchor="_Toc6302" w:history="1">
        <w:r>
          <w:rPr>
            <w:rFonts w:ascii="仿宋" w:eastAsia="仿宋" w:hAnsi="仿宋" w:cs="仿宋" w:hint="eastAsia"/>
            <w:lang w:eastAsia="zh-CN"/>
          </w:rPr>
          <w:t>八、特种高分子材料项目落地与推广</w:t>
        </w:r>
        <w:r>
          <w:tab/>
        </w:r>
        <w:r>
          <w:fldChar w:fldCharType="begin"/>
        </w:r>
        <w:r>
          <w:instrText xml:space="preserve"> PAGEREF _Toc6302 \h </w:instrText>
        </w:r>
        <w:r>
          <w:fldChar w:fldCharType="separate"/>
        </w:r>
        <w:r>
          <w:t>36</w:t>
        </w:r>
        <w:r>
          <w:fldChar w:fldCharType="end"/>
        </w:r>
      </w:hyperlink>
    </w:p>
    <w:p>
      <w:pPr>
        <w:pStyle w:val="TOC2"/>
        <w:tabs>
          <w:tab w:val="right" w:leader="dot" w:pos="8306"/>
        </w:tabs>
      </w:pPr>
      <w:hyperlink w:anchor="_Toc18598" w:history="1">
        <w:r>
          <w:rPr>
            <w:rFonts w:ascii="仿宋" w:eastAsia="仿宋" w:hAnsi="仿宋" w:cs="仿宋" w:hint="eastAsia"/>
            <w:lang w:eastAsia="zh-CN"/>
          </w:rPr>
          <w:t>(一)、特种高分子材料项目推广计划</w:t>
        </w:r>
        <w:r>
          <w:tab/>
        </w:r>
        <w:r>
          <w:fldChar w:fldCharType="begin"/>
        </w:r>
        <w:r>
          <w:instrText xml:space="preserve"> PAGEREF _Toc18598 \h </w:instrText>
        </w:r>
        <w:r>
          <w:fldChar w:fldCharType="separate"/>
        </w:r>
        <w:r>
          <w:t>36</w:t>
        </w:r>
        <w:r>
          <w:fldChar w:fldCharType="end"/>
        </w:r>
      </w:hyperlink>
    </w:p>
    <w:p>
      <w:pPr>
        <w:pStyle w:val="TOC2"/>
        <w:tabs>
          <w:tab w:val="right" w:leader="dot" w:pos="8306"/>
        </w:tabs>
      </w:pPr>
      <w:hyperlink w:anchor="_Toc10714" w:history="1">
        <w:r>
          <w:rPr>
            <w:rFonts w:ascii="仿宋" w:eastAsia="仿宋" w:hAnsi="仿宋" w:cs="仿宋" w:hint="eastAsia"/>
            <w:lang w:eastAsia="zh-CN"/>
          </w:rPr>
          <w:t>(二)、地方政府支持与合作</w:t>
        </w:r>
        <w:r>
          <w:tab/>
        </w:r>
        <w:r>
          <w:fldChar w:fldCharType="begin"/>
        </w:r>
        <w:r>
          <w:instrText xml:space="preserve"> PAGEREF _Toc10714 \h </w:instrText>
        </w:r>
        <w:r>
          <w:fldChar w:fldCharType="separate"/>
        </w:r>
        <w:r>
          <w:t>37</w:t>
        </w:r>
        <w:r>
          <w:fldChar w:fldCharType="end"/>
        </w:r>
      </w:hyperlink>
    </w:p>
    <w:p>
      <w:pPr>
        <w:pStyle w:val="TOC2"/>
        <w:tabs>
          <w:tab w:val="right" w:leader="dot" w:pos="8306"/>
        </w:tabs>
      </w:pPr>
      <w:hyperlink w:anchor="_Toc11143" w:history="1">
        <w:r>
          <w:rPr>
            <w:rFonts w:ascii="仿宋" w:eastAsia="仿宋" w:hAnsi="仿宋" w:cs="仿宋" w:hint="eastAsia"/>
            <w:lang w:eastAsia="zh-CN"/>
          </w:rPr>
          <w:t>(三)、市场推广与品牌建设</w:t>
        </w:r>
        <w:r>
          <w:tab/>
        </w:r>
        <w:r>
          <w:fldChar w:fldCharType="begin"/>
        </w:r>
        <w:r>
          <w:instrText xml:space="preserve"> PAGEREF _Toc11143 \h </w:instrText>
        </w:r>
        <w:r>
          <w:fldChar w:fldCharType="separate"/>
        </w:r>
        <w:r>
          <w:t>38</w:t>
        </w:r>
        <w:r>
          <w:fldChar w:fldCharType="end"/>
        </w:r>
      </w:hyperlink>
    </w:p>
    <w:p>
      <w:pPr>
        <w:pStyle w:val="TOC2"/>
        <w:tabs>
          <w:tab w:val="right" w:leader="dot" w:pos="8306"/>
        </w:tabs>
      </w:pPr>
      <w:hyperlink w:anchor="_Toc2835" w:history="1">
        <w:r>
          <w:rPr>
            <w:rFonts w:ascii="仿宋" w:eastAsia="仿宋" w:hAnsi="仿宋" w:cs="仿宋" w:hint="eastAsia"/>
            <w:lang w:eastAsia="zh-CN"/>
          </w:rPr>
          <w:t>(四)、社会参与与共享机制</w:t>
        </w:r>
        <w:r>
          <w:tab/>
        </w:r>
        <w:r>
          <w:fldChar w:fldCharType="begin"/>
        </w:r>
        <w:r>
          <w:instrText xml:space="preserve"> PAGEREF _Toc2835 \h </w:instrText>
        </w:r>
        <w:r>
          <w:fldChar w:fldCharType="separate"/>
        </w:r>
        <w:r>
          <w:t>39</w:t>
        </w:r>
        <w:r>
          <w:fldChar w:fldCharType="end"/>
        </w:r>
      </w:hyperlink>
    </w:p>
    <w:p>
      <w:pPr>
        <w:pStyle w:val="TOC1"/>
        <w:tabs>
          <w:tab w:val="right" w:leader="dot" w:pos="8306"/>
        </w:tabs>
      </w:pPr>
      <w:hyperlink w:anchor="_Toc363" w:history="1">
        <w:r>
          <w:rPr>
            <w:rFonts w:ascii="仿宋" w:eastAsia="仿宋" w:hAnsi="仿宋" w:cs="仿宋" w:hint="eastAsia"/>
            <w:lang w:eastAsia="zh-CN"/>
          </w:rPr>
          <w:t>九、危机管理与应急响应</w:t>
        </w:r>
        <w:r>
          <w:tab/>
        </w:r>
        <w:r>
          <w:fldChar w:fldCharType="begin"/>
        </w:r>
        <w:r>
          <w:instrText xml:space="preserve"> PAGEREF _Toc363 \h </w:instrText>
        </w:r>
        <w:r>
          <w:fldChar w:fldCharType="separate"/>
        </w:r>
        <w:r>
          <w:t>40</w:t>
        </w:r>
        <w:r>
          <w:fldChar w:fldCharType="end"/>
        </w:r>
      </w:hyperlink>
    </w:p>
    <w:p>
      <w:pPr>
        <w:pStyle w:val="TOC2"/>
        <w:tabs>
          <w:tab w:val="right" w:leader="dot" w:pos="8306"/>
        </w:tabs>
      </w:pPr>
      <w:hyperlink w:anchor="_Toc22362" w:history="1">
        <w:r>
          <w:rPr>
            <w:rFonts w:ascii="仿宋" w:eastAsia="仿宋" w:hAnsi="仿宋" w:cs="仿宋" w:hint="eastAsia"/>
            <w:lang w:eastAsia="zh-CN"/>
          </w:rPr>
          <w:t>(一)、危机预警机制</w:t>
        </w:r>
        <w:r>
          <w:tab/>
        </w:r>
        <w:r>
          <w:fldChar w:fldCharType="begin"/>
        </w:r>
        <w:r>
          <w:instrText xml:space="preserve"> PAGEREF _Toc22362 \h </w:instrText>
        </w:r>
        <w:r>
          <w:fldChar w:fldCharType="separate"/>
        </w:r>
        <w:r>
          <w:t>40</w:t>
        </w:r>
        <w:r>
          <w:fldChar w:fldCharType="end"/>
        </w:r>
      </w:hyperlink>
    </w:p>
    <w:p>
      <w:pPr>
        <w:pStyle w:val="TOC2"/>
        <w:tabs>
          <w:tab w:val="right" w:leader="dot" w:pos="8306"/>
        </w:tabs>
      </w:pPr>
      <w:hyperlink w:anchor="_Toc724" w:history="1">
        <w:r>
          <w:rPr>
            <w:rFonts w:ascii="仿宋" w:eastAsia="仿宋" w:hAnsi="仿宋" w:cs="仿宋" w:hint="eastAsia"/>
            <w:lang w:eastAsia="zh-CN"/>
          </w:rPr>
          <w:t>(二)、应急预案与演练</w:t>
        </w:r>
        <w:r>
          <w:tab/>
        </w:r>
        <w:r>
          <w:fldChar w:fldCharType="begin"/>
        </w:r>
        <w:r>
          <w:instrText xml:space="preserve"> PAGEREF _Toc724 \h </w:instrText>
        </w:r>
        <w:r>
          <w:fldChar w:fldCharType="separate"/>
        </w:r>
        <w:r>
          <w:t>41</w:t>
        </w:r>
        <w:r>
          <w:fldChar w:fldCharType="end"/>
        </w:r>
      </w:hyperlink>
    </w:p>
    <w:p>
      <w:pPr>
        <w:pStyle w:val="TOC2"/>
        <w:tabs>
          <w:tab w:val="right" w:leader="dot" w:pos="8306"/>
        </w:tabs>
      </w:pPr>
      <w:hyperlink w:anchor="_Toc12289" w:history="1">
        <w:r>
          <w:rPr>
            <w:rFonts w:ascii="仿宋" w:eastAsia="仿宋" w:hAnsi="仿宋" w:cs="仿宋" w:hint="eastAsia"/>
            <w:lang w:eastAsia="zh-CN"/>
          </w:rPr>
          <w:t>(三)、公关与舆情管理</w:t>
        </w:r>
        <w:r>
          <w:tab/>
        </w:r>
        <w:r>
          <w:fldChar w:fldCharType="begin"/>
        </w:r>
        <w:r>
          <w:instrText xml:space="preserve"> PAGEREF _Toc12289 \h </w:instrText>
        </w:r>
        <w:r>
          <w:fldChar w:fldCharType="separate"/>
        </w:r>
        <w:r>
          <w:t>43</w:t>
        </w:r>
        <w:r>
          <w:fldChar w:fldCharType="end"/>
        </w:r>
      </w:hyperlink>
    </w:p>
    <w:p>
      <w:pPr>
        <w:pStyle w:val="TOC2"/>
        <w:tabs>
          <w:tab w:val="right" w:leader="dot" w:pos="8306"/>
        </w:tabs>
      </w:pPr>
      <w:hyperlink w:anchor="_Toc13146" w:history="1">
        <w:r>
          <w:rPr>
            <w:rFonts w:ascii="仿宋" w:eastAsia="仿宋" w:hAnsi="仿宋" w:cs="仿宋" w:hint="eastAsia"/>
            <w:lang w:eastAsia="zh-CN"/>
          </w:rPr>
          <w:t>(四)、危机后期修复与改进</w:t>
        </w:r>
        <w:r>
          <w:tab/>
        </w:r>
        <w:r>
          <w:fldChar w:fldCharType="begin"/>
        </w:r>
        <w:r>
          <w:instrText xml:space="preserve"> PAGEREF _Toc13146 \h </w:instrText>
        </w:r>
        <w:r>
          <w:fldChar w:fldCharType="separate"/>
        </w:r>
        <w:r>
          <w:t>45</w:t>
        </w:r>
        <w:r>
          <w:fldChar w:fldCharType="end"/>
        </w:r>
      </w:hyperlink>
    </w:p>
    <w:p>
      <w:pPr>
        <w:pStyle w:val="TOC1"/>
        <w:tabs>
          <w:tab w:val="right" w:leader="dot" w:pos="8306"/>
        </w:tabs>
      </w:pPr>
      <w:hyperlink w:anchor="_Toc31646" w:history="1">
        <w:r>
          <w:rPr>
            <w:rFonts w:ascii="仿宋" w:eastAsia="仿宋" w:hAnsi="仿宋" w:cs="仿宋" w:hint="eastAsia"/>
            <w:lang w:eastAsia="zh-CN"/>
          </w:rPr>
          <w:t>十、市场营销与品牌推广</w:t>
        </w:r>
        <w:r>
          <w:tab/>
        </w:r>
        <w:r>
          <w:fldChar w:fldCharType="begin"/>
        </w:r>
        <w:r>
          <w:instrText xml:space="preserve"> PAGEREF _Toc31646 \h </w:instrText>
        </w:r>
        <w:r>
          <w:fldChar w:fldCharType="separate"/>
        </w:r>
        <w:r>
          <w:t>46</w:t>
        </w:r>
        <w:r>
          <w:fldChar w:fldCharType="end"/>
        </w:r>
      </w:hyperlink>
    </w:p>
    <w:p>
      <w:pPr>
        <w:pStyle w:val="TOC2"/>
        <w:tabs>
          <w:tab w:val="right" w:leader="dot" w:pos="8306"/>
        </w:tabs>
      </w:pPr>
      <w:hyperlink w:anchor="_Toc4882" w:history="1">
        <w:r>
          <w:rPr>
            <w:rFonts w:ascii="仿宋" w:eastAsia="仿宋" w:hAnsi="仿宋" w:cs="仿宋" w:hint="eastAsia"/>
            <w:lang w:eastAsia="zh-CN"/>
          </w:rPr>
          <w:t>(一)、市场调研与定位</w:t>
        </w:r>
        <w:r>
          <w:tab/>
        </w:r>
        <w:r>
          <w:fldChar w:fldCharType="begin"/>
        </w:r>
        <w:r>
          <w:instrText xml:space="preserve"> PAGEREF _Toc4882 \h </w:instrText>
        </w:r>
        <w:r>
          <w:fldChar w:fldCharType="separate"/>
        </w:r>
        <w:r>
          <w:t>46</w:t>
        </w:r>
        <w:r>
          <w:fldChar w:fldCharType="end"/>
        </w:r>
      </w:hyperlink>
    </w:p>
    <w:p>
      <w:pPr>
        <w:pStyle w:val="TOC2"/>
        <w:tabs>
          <w:tab w:val="right" w:leader="dot" w:pos="8306"/>
        </w:tabs>
      </w:pPr>
      <w:hyperlink w:anchor="_Toc1639" w:history="1">
        <w:r>
          <w:rPr>
            <w:rFonts w:ascii="仿宋" w:eastAsia="仿宋" w:hAnsi="仿宋" w:cs="仿宋" w:hint="eastAsia"/>
            <w:lang w:eastAsia="zh-CN"/>
          </w:rPr>
          <w:t>(二)、营销策略与推广计划</w:t>
        </w:r>
        <w:r>
          <w:tab/>
        </w:r>
        <w:r>
          <w:fldChar w:fldCharType="begin"/>
        </w:r>
        <w:r>
          <w:instrText xml:space="preserve"> PAGEREF _Toc1639 \h </w:instrText>
        </w:r>
        <w:r>
          <w:fldChar w:fldCharType="separate"/>
        </w:r>
        <w:r>
          <w:t>48</w:t>
        </w:r>
        <w:r>
          <w:fldChar w:fldCharType="end"/>
        </w:r>
      </w:hyperlink>
    </w:p>
    <w:p>
      <w:pPr>
        <w:pStyle w:val="TOC2"/>
        <w:tabs>
          <w:tab w:val="right" w:leader="dot" w:pos="8306"/>
        </w:tabs>
      </w:pPr>
      <w:hyperlink w:anchor="_Toc8200" w:history="1">
        <w:r>
          <w:rPr>
            <w:rFonts w:ascii="仿宋" w:eastAsia="仿宋" w:hAnsi="仿宋" w:cs="仿宋" w:hint="eastAsia"/>
            <w:lang w:eastAsia="zh-CN"/>
          </w:rPr>
          <w:t>(三)、客户关系管理</w:t>
        </w:r>
        <w:r>
          <w:tab/>
        </w:r>
        <w:r>
          <w:fldChar w:fldCharType="begin"/>
        </w:r>
        <w:r>
          <w:instrText xml:space="preserve"> PAGEREF _Toc8200 \h </w:instrText>
        </w:r>
        <w:r>
          <w:fldChar w:fldCharType="separate"/>
        </w:r>
        <w:r>
          <w:t>49</w:t>
        </w:r>
        <w:r>
          <w:fldChar w:fldCharType="end"/>
        </w:r>
      </w:hyperlink>
    </w:p>
    <w:p>
      <w:pPr>
        <w:pStyle w:val="TOC2"/>
        <w:tabs>
          <w:tab w:val="right" w:leader="dot" w:pos="8306"/>
        </w:tabs>
      </w:pPr>
      <w:hyperlink w:anchor="_Toc22072" w:history="1">
        <w:r>
          <w:rPr>
            <w:rFonts w:ascii="仿宋" w:eastAsia="仿宋" w:hAnsi="仿宋" w:cs="仿宋" w:hint="eastAsia"/>
            <w:lang w:eastAsia="zh-CN"/>
          </w:rPr>
          <w:t>(四)、品牌建设与维护</w:t>
        </w:r>
        <w:r>
          <w:tab/>
        </w:r>
        <w:r>
          <w:fldChar w:fldCharType="begin"/>
        </w:r>
        <w:r>
          <w:instrText xml:space="preserve"> PAGEREF _Toc22072 \h </w:instrText>
        </w:r>
        <w:r>
          <w:fldChar w:fldCharType="separate"/>
        </w:r>
        <w:r>
          <w:t>51</w:t>
        </w:r>
        <w:r>
          <w:fldChar w:fldCharType="end"/>
        </w:r>
      </w:hyperlink>
    </w:p>
    <w:p>
      <w:pPr>
        <w:pStyle w:val="TOC1"/>
        <w:tabs>
          <w:tab w:val="right" w:leader="dot" w:pos="8306"/>
        </w:tabs>
      </w:pPr>
      <w:hyperlink w:anchor="_Toc20637" w:history="1">
        <w:r>
          <w:rPr>
            <w:rFonts w:ascii="仿宋" w:eastAsia="仿宋" w:hAnsi="仿宋" w:cs="仿宋" w:hint="eastAsia"/>
            <w:lang w:eastAsia="zh-CN"/>
          </w:rPr>
          <w:t>十一、员工福利与团队建设</w:t>
        </w:r>
        <w:r>
          <w:tab/>
        </w:r>
        <w:r>
          <w:fldChar w:fldCharType="begin"/>
        </w:r>
        <w:r>
          <w:instrText xml:space="preserve"> PAGEREF _Toc20637 \h </w:instrText>
        </w:r>
        <w:r>
          <w:fldChar w:fldCharType="separate"/>
        </w:r>
        <w:r>
          <w:t>53</w:t>
        </w:r>
        <w:r>
          <w:fldChar w:fldCharType="end"/>
        </w:r>
      </w:hyperlink>
    </w:p>
    <w:p>
      <w:pPr>
        <w:pStyle w:val="TOC2"/>
        <w:tabs>
          <w:tab w:val="right" w:leader="dot" w:pos="8306"/>
        </w:tabs>
      </w:pPr>
      <w:hyperlink w:anchor="_Toc22530" w:history="1">
        <w:r>
          <w:rPr>
            <w:rFonts w:ascii="仿宋" w:eastAsia="仿宋" w:hAnsi="仿宋" w:cs="仿宋" w:hint="eastAsia"/>
            <w:lang w:eastAsia="zh-CN"/>
          </w:rPr>
          <w:t>(一)、员工福利政策制定</w:t>
        </w:r>
        <w:r>
          <w:tab/>
        </w:r>
        <w:r>
          <w:fldChar w:fldCharType="begin"/>
        </w:r>
        <w:r>
          <w:instrText xml:space="preserve"> PAGEREF _Toc22530 \h </w:instrText>
        </w:r>
        <w:r>
          <w:fldChar w:fldCharType="separate"/>
        </w:r>
        <w:r>
          <w:t>53</w:t>
        </w:r>
        <w:r>
          <w:fldChar w:fldCharType="end"/>
        </w:r>
      </w:hyperlink>
    </w:p>
    <w:p>
      <w:pPr>
        <w:pStyle w:val="TOC2"/>
        <w:tabs>
          <w:tab w:val="right" w:leader="dot" w:pos="8306"/>
        </w:tabs>
      </w:pPr>
      <w:hyperlink w:anchor="_Toc13771" w:history="1">
        <w:r>
          <w:rPr>
            <w:rFonts w:ascii="仿宋" w:eastAsia="仿宋" w:hAnsi="仿宋" w:cs="仿宋" w:hint="eastAsia"/>
            <w:lang w:eastAsia="zh-CN"/>
          </w:rPr>
          <w:t>(二)、团队建设活动规划</w:t>
        </w:r>
        <w:r>
          <w:tab/>
        </w:r>
        <w:r>
          <w:fldChar w:fldCharType="begin"/>
        </w:r>
        <w:r>
          <w:instrText xml:space="preserve"> PAGEREF _Toc13771 \h </w:instrText>
        </w:r>
        <w:r>
          <w:fldChar w:fldCharType="separate"/>
        </w:r>
        <w:r>
          <w:t>54</w:t>
        </w:r>
        <w:r>
          <w:fldChar w:fldCharType="end"/>
        </w:r>
      </w:hyperlink>
    </w:p>
    <w:p>
      <w:pPr>
        <w:pStyle w:val="TOC2"/>
        <w:tabs>
          <w:tab w:val="right" w:leader="dot" w:pos="8306"/>
        </w:tabs>
      </w:pPr>
      <w:hyperlink w:anchor="_Toc31091" w:history="1">
        <w:r>
          <w:rPr>
            <w:rFonts w:ascii="仿宋" w:eastAsia="仿宋" w:hAnsi="仿宋" w:cs="仿宋" w:hint="eastAsia"/>
            <w:lang w:eastAsia="zh-CN"/>
          </w:rPr>
          <w:t>(三)、员工关怀与激励措施</w:t>
        </w:r>
        <w:r>
          <w:tab/>
        </w:r>
        <w:r>
          <w:fldChar w:fldCharType="begin"/>
        </w:r>
        <w:r>
          <w:instrText xml:space="preserve"> PAGEREF _Toc31091 \h </w:instrText>
        </w:r>
        <w:r>
          <w:fldChar w:fldCharType="separate"/>
        </w:r>
        <w:r>
          <w:t>54</w:t>
        </w:r>
        <w:r>
          <w:fldChar w:fldCharType="end"/>
        </w:r>
      </w:hyperlink>
    </w:p>
    <w:p>
      <w:pPr>
        <w:pStyle w:val="TOC2"/>
        <w:tabs>
          <w:tab w:val="right" w:leader="dot" w:pos="8306"/>
        </w:tabs>
      </w:pPr>
      <w:hyperlink w:anchor="_Toc11426" w:history="1">
        <w:r>
          <w:rPr>
            <w:rFonts w:ascii="仿宋" w:eastAsia="仿宋" w:hAnsi="仿宋" w:cs="仿宋" w:hint="eastAsia"/>
            <w:lang w:eastAsia="zh-CN"/>
          </w:rPr>
          <w:t>(四)、团队文化与价值观塑造</w:t>
        </w:r>
        <w:r>
          <w:tab/>
        </w:r>
        <w:r>
          <w:fldChar w:fldCharType="begin"/>
        </w:r>
        <w:r>
          <w:instrText xml:space="preserve"> PAGEREF _Toc11426 \h </w:instrText>
        </w:r>
        <w:r>
          <w:fldChar w:fldCharType="separate"/>
        </w:r>
        <w:r>
          <w:t>56</w:t>
        </w:r>
        <w:r>
          <w:fldChar w:fldCharType="end"/>
        </w:r>
      </w:hyperlink>
    </w:p>
    <w:p>
      <w:pPr>
        <w:pStyle w:val="TOC1"/>
        <w:tabs>
          <w:tab w:val="right" w:leader="dot" w:pos="8306"/>
        </w:tabs>
      </w:pPr>
      <w:hyperlink w:anchor="_Toc6419" w:history="1">
        <w:r>
          <w:rPr>
            <w:rFonts w:ascii="仿宋" w:eastAsia="仿宋" w:hAnsi="仿宋" w:cs="仿宋" w:hint="eastAsia"/>
            <w:lang w:eastAsia="zh-CN"/>
          </w:rPr>
          <w:t>十二、成本控制与效益提升</w:t>
        </w:r>
        <w:r>
          <w:tab/>
        </w:r>
        <w:r>
          <w:fldChar w:fldCharType="begin"/>
        </w:r>
        <w:r>
          <w:instrText xml:space="preserve"> PAGEREF _Toc6419 \h </w:instrText>
        </w:r>
        <w:r>
          <w:fldChar w:fldCharType="separate"/>
        </w:r>
        <w:r>
          <w:t>57</w:t>
        </w:r>
        <w:r>
          <w:fldChar w:fldCharType="end"/>
        </w:r>
      </w:hyperlink>
    </w:p>
    <w:p>
      <w:pPr>
        <w:pStyle w:val="TOC2"/>
        <w:tabs>
          <w:tab w:val="right" w:leader="dot" w:pos="8306"/>
        </w:tabs>
      </w:pPr>
      <w:hyperlink w:anchor="_Toc113" w:history="1">
        <w:r>
          <w:rPr>
            <w:rFonts w:ascii="仿宋" w:eastAsia="仿宋" w:hAnsi="仿宋" w:cs="仿宋" w:hint="eastAsia"/>
            <w:lang w:eastAsia="zh-CN"/>
          </w:rPr>
          <w:t>(一)、成本核算与预算管理</w:t>
        </w:r>
        <w:r>
          <w:tab/>
        </w:r>
        <w:r>
          <w:fldChar w:fldCharType="begin"/>
        </w:r>
        <w:r>
          <w:instrText xml:space="preserve"> PAGEREF _Toc113 \h </w:instrText>
        </w:r>
        <w:r>
          <w:fldChar w:fldCharType="separate"/>
        </w:r>
        <w:r>
          <w:t>57</w:t>
        </w:r>
        <w:r>
          <w:fldChar w:fldCharType="end"/>
        </w:r>
      </w:hyperlink>
    </w:p>
    <w:p>
      <w:pPr>
        <w:pStyle w:val="TOC2"/>
        <w:tabs>
          <w:tab w:val="right" w:leader="dot" w:pos="8306"/>
        </w:tabs>
      </w:pPr>
      <w:hyperlink w:anchor="_Toc18485" w:history="1">
        <w:r>
          <w:rPr>
            <w:rFonts w:ascii="仿宋" w:eastAsia="仿宋" w:hAnsi="仿宋" w:cs="仿宋" w:hint="eastAsia"/>
            <w:lang w:eastAsia="zh-CN"/>
          </w:rPr>
          <w:t>(二)、资源利用效率评估</w:t>
        </w:r>
        <w:r>
          <w:tab/>
        </w:r>
        <w:r>
          <w:fldChar w:fldCharType="begin"/>
        </w:r>
        <w:r>
          <w:instrText xml:space="preserve"> PAGEREF _Toc18485 \h </w:instrText>
        </w:r>
        <w:r>
          <w:fldChar w:fldCharType="separate"/>
        </w:r>
        <w:r>
          <w:t>59</w:t>
        </w:r>
        <w:r>
          <w:fldChar w:fldCharType="end"/>
        </w:r>
      </w:hyperlink>
    </w:p>
    <w:p>
      <w:pPr>
        <w:pStyle w:val="TOC2"/>
        <w:tabs>
          <w:tab w:val="right" w:leader="dot" w:pos="8306"/>
        </w:tabs>
      </w:pPr>
      <w:hyperlink w:anchor="_Toc11132" w:history="1">
        <w:r>
          <w:rPr>
            <w:rFonts w:ascii="仿宋" w:eastAsia="仿宋" w:hAnsi="仿宋" w:cs="仿宋" w:hint="eastAsia"/>
            <w:lang w:eastAsia="zh-CN"/>
          </w:rPr>
          <w:t>(三)、降本增效的具体措施</w:t>
        </w:r>
        <w:r>
          <w:tab/>
        </w:r>
        <w:r>
          <w:fldChar w:fldCharType="begin"/>
        </w:r>
        <w:r>
          <w:instrText xml:space="preserve"> PAGEREF _Toc11132 \h </w:instrText>
        </w:r>
        <w:r>
          <w:fldChar w:fldCharType="separate"/>
        </w:r>
        <w:r>
          <w:t>61</w:t>
        </w:r>
        <w:r>
          <w:fldChar w:fldCharType="end"/>
        </w:r>
      </w:hyperlink>
    </w:p>
    <w:p>
      <w:pPr>
        <w:pStyle w:val="TOC2"/>
        <w:tabs>
          <w:tab w:val="right" w:leader="dot" w:pos="8306"/>
        </w:tabs>
      </w:pPr>
      <w:hyperlink w:anchor="_Toc30050" w:history="1">
        <w:r>
          <w:rPr>
            <w:rFonts w:ascii="仿宋" w:eastAsia="仿宋" w:hAnsi="仿宋" w:cs="仿宋" w:hint="eastAsia"/>
            <w:lang w:eastAsia="zh-CN"/>
          </w:rPr>
          <w:t>(四)、成本与效益的平衡策略</w:t>
        </w:r>
        <w:r>
          <w:tab/>
        </w:r>
        <w:r>
          <w:fldChar w:fldCharType="begin"/>
        </w:r>
        <w:r>
          <w:instrText xml:space="preserve"> PAGEREF _Toc30050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9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当今激烈的市场竞争中，项目合作是激发创新、优化资源配置、实现共赢战略的关键手段。因而，在制定本文档时，我们注重细致分析合作双方的实力、技术特色与市场前景，旨在设计一套全面、高效的合作方案。本计划书既是合作框架的明确表述，也是搭建信任基础的有形载体，特此声明，其所有内容均仅用于非商业性的学习与交流目的，以确保知识产权及数据信息的保密性与安全性。本着专业、诚信的原则，我们期待与合作伙伴携手共创，共同开拓市场，实现双赢。</w:t>
      </w:r>
    </w:p>
    <w:p>
      <w:pPr>
        <w:pStyle w:val="Heading1"/>
        <w:ind w:firstLine="560" w:firstLineChars="200"/>
        <w:rPr>
          <w:rFonts w:ascii="仿宋" w:eastAsia="仿宋" w:hAnsi="仿宋" w:cs="仿宋" w:hint="eastAsia"/>
          <w:sz w:val="28"/>
          <w:lang w:eastAsia="zh-CN"/>
        </w:rPr>
      </w:pPr>
      <w:bookmarkStart w:id="2" w:name="_Toc9787"/>
      <w:r>
        <w:rPr>
          <w:rFonts w:ascii="仿宋" w:eastAsia="仿宋" w:hAnsi="仿宋" w:cs="仿宋" w:hint="eastAsia"/>
          <w:sz w:val="28"/>
          <w:lang w:eastAsia="zh-CN"/>
        </w:rPr>
        <w:t>一、风险应对评估</w:t>
      </w:r>
      <w:bookmarkEnd w:id="2"/>
    </w:p>
    <w:p>
      <w:pPr>
        <w:pStyle w:val="Heading2"/>
        <w:rPr>
          <w:rFonts w:ascii="仿宋" w:eastAsia="仿宋" w:hAnsi="仿宋" w:cs="仿宋" w:hint="eastAsia"/>
          <w:lang w:eastAsia="zh-CN"/>
        </w:rPr>
      </w:pPr>
      <w:bookmarkStart w:id="3" w:name="_Toc24473"/>
      <w:r>
        <w:rPr>
          <w:rFonts w:ascii="仿宋" w:eastAsia="仿宋" w:hAnsi="仿宋" w:cs="仿宋" w:hint="eastAsia"/>
          <w:lang w:eastAsia="zh-CN"/>
        </w:rPr>
        <w:t>(一)、政策风险分析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特种高分子材料项目实施过程中，政策因素可能对特种高分子材料项目产生一定的影响。为了应对潜在的政策风险，我们将密切关注国家和地方相关政策的变化。与相关政府部门建立良好的沟通渠道，及时获取政策信息，确保特种高分子材料项目能够顺利推进。同时，制定灵活的应对方案，以适应政策环境的变化。</w:t>
      </w:r>
    </w:p>
    <w:p>
      <w:pPr>
        <w:pStyle w:val="Heading2"/>
        <w:ind w:firstLine="560" w:firstLineChars="200"/>
        <w:rPr>
          <w:rFonts w:ascii="仿宋" w:eastAsia="仿宋" w:hAnsi="仿宋" w:cs="仿宋" w:hint="eastAsia"/>
          <w:sz w:val="28"/>
          <w:lang w:eastAsia="zh-CN"/>
        </w:rPr>
      </w:pPr>
      <w:bookmarkStart w:id="4" w:name="_Toc20545"/>
      <w:r>
        <w:rPr>
          <w:rFonts w:ascii="仿宋" w:eastAsia="仿宋" w:hAnsi="仿宋" w:cs="仿宋" w:hint="eastAsia"/>
          <w:sz w:val="28"/>
          <w:lang w:eastAsia="zh-CN"/>
        </w:rPr>
        <w:t>(二)、社会风险分析</w:t>
      </w:r>
      <w:bookmarkEnd w:id="4"/>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社会风险主要包括社会舆论、公共关系等方面的风险。我们将建立健全的社会风险监测机制，定期评估社会反馈和舆情动态。通过积极参与社会责任活动，维护公司良好形象，减轻社会风险的影响。</w:t>
      </w:r>
    </w:p>
    <w:p>
      <w:pPr>
        <w:pStyle w:val="Heading2"/>
        <w:ind w:firstLine="560" w:firstLineChars="200"/>
        <w:rPr>
          <w:rFonts w:ascii="仿宋" w:eastAsia="仿宋" w:hAnsi="仿宋" w:cs="仿宋" w:hint="eastAsia"/>
          <w:sz w:val="28"/>
          <w:lang w:eastAsia="zh-CN"/>
        </w:rPr>
      </w:pPr>
      <w:bookmarkStart w:id="5" w:name="_Toc30382"/>
      <w:r>
        <w:rPr>
          <w:rFonts w:ascii="仿宋" w:eastAsia="仿宋" w:hAnsi="仿宋" w:cs="仿宋" w:hint="eastAsia"/>
          <w:sz w:val="28"/>
          <w:lang w:eastAsia="zh-CN"/>
        </w:rPr>
        <w:t>(三)、市场风险分析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特种高分子材料项目面临的重要挑战之一。我们将进行全面的市场调研，了解目标市场的需求和竞争格局。同时，制定灵活的市场推广策略，以适应市场变化。建立多层次、多元化的市场渠道，降低单一市场对特种高分子材料项目的风险影响。</w:t>
      </w:r>
    </w:p>
    <w:p>
      <w:pPr>
        <w:pStyle w:val="Heading2"/>
        <w:ind w:firstLine="560" w:firstLineChars="200"/>
        <w:rPr>
          <w:rFonts w:ascii="仿宋" w:eastAsia="仿宋" w:hAnsi="仿宋" w:cs="仿宋" w:hint="eastAsia"/>
          <w:sz w:val="28"/>
          <w:lang w:eastAsia="zh-CN"/>
        </w:rPr>
      </w:pPr>
      <w:bookmarkStart w:id="6" w:name="_Toc28204"/>
      <w:r>
        <w:rPr>
          <w:rFonts w:ascii="仿宋" w:eastAsia="仿宋" w:hAnsi="仿宋" w:cs="仿宋" w:hint="eastAsia"/>
          <w:sz w:val="28"/>
          <w:lang w:eastAsia="zh-CN"/>
        </w:rPr>
        <w:t>(四)、资金风险分析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资金风险是特种高分子材料项目成功实施的基础。我们将建立健全的资金管理制度，定期进行资金流量分析，确保特种高分子材料项目运营资金的充足。与金融机构建立良好的合作关系，提前制定应对资金紧张的预案，以确保特种高分子材料项目的资金安全。</w:t>
      </w:r>
    </w:p>
    <w:p>
      <w:pPr>
        <w:pStyle w:val="Heading2"/>
        <w:ind w:firstLine="560" w:firstLineChars="200"/>
        <w:rPr>
          <w:rFonts w:ascii="仿宋" w:eastAsia="仿宋" w:hAnsi="仿宋" w:cs="仿宋" w:hint="eastAsia"/>
          <w:sz w:val="28"/>
          <w:lang w:eastAsia="zh-CN"/>
        </w:rPr>
      </w:pPr>
      <w:bookmarkStart w:id="7" w:name="_Toc2967"/>
      <w:r>
        <w:rPr>
          <w:rFonts w:ascii="仿宋" w:eastAsia="仿宋" w:hAnsi="仿宋" w:cs="仿宋" w:hint="eastAsia"/>
          <w:sz w:val="28"/>
          <w:lang w:eastAsia="zh-CN"/>
        </w:rPr>
        <w:t>(五)、技术风险分析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技术风险是特种高分子材料项目实施中不可避免的挑战。我们将进行全面的技术评估，确保所采用的技术方案是成熟、可行的。与专业技术团队建立良好的合作关系，及时解决技术难题，确保特种高分子材料项目按计划进行。</w:t>
      </w:r>
    </w:p>
    <w:p>
      <w:pPr>
        <w:pStyle w:val="Heading2"/>
        <w:ind w:firstLine="560" w:firstLineChars="200"/>
        <w:rPr>
          <w:rFonts w:ascii="仿宋" w:eastAsia="仿宋" w:hAnsi="仿宋" w:cs="仿宋" w:hint="eastAsia"/>
          <w:sz w:val="28"/>
          <w:lang w:eastAsia="zh-CN"/>
        </w:rPr>
      </w:pPr>
      <w:bookmarkStart w:id="8" w:name="_Toc6930"/>
      <w:r>
        <w:rPr>
          <w:rFonts w:ascii="仿宋" w:eastAsia="仿宋" w:hAnsi="仿宋" w:cs="仿宋" w:hint="eastAsia"/>
          <w:sz w:val="28"/>
          <w:lang w:eastAsia="zh-CN"/>
        </w:rPr>
        <w:t>(六)、财务风险分析</w:t>
      </w:r>
      <w:bookmarkEnd w:id="8"/>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财务风险是特种高分子材料项目运营中需要高度重视的方面。我们将建立健全的财务管理体系，严格执行财务制度。通过多元化投资，降低财务风险集中度。及时调整财务战略，确保特种高分子材料项目财务运作的健康发展。</w:t>
      </w:r>
    </w:p>
    <w:p>
      <w:pPr>
        <w:pStyle w:val="Heading2"/>
        <w:ind w:firstLine="560" w:firstLineChars="200"/>
        <w:rPr>
          <w:rFonts w:ascii="仿宋" w:eastAsia="仿宋" w:hAnsi="仿宋" w:cs="仿宋" w:hint="eastAsia"/>
          <w:sz w:val="28"/>
          <w:lang w:eastAsia="zh-CN"/>
        </w:rPr>
      </w:pPr>
      <w:bookmarkStart w:id="9" w:name="_Toc6937"/>
      <w:r>
        <w:rPr>
          <w:rFonts w:ascii="仿宋" w:eastAsia="仿宋" w:hAnsi="仿宋" w:cs="仿宋" w:hint="eastAsia"/>
          <w:sz w:val="28"/>
          <w:lang w:eastAsia="zh-CN"/>
        </w:rPr>
        <w:t>(七)、管理风险分析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管理风险主要涉及团队管理、特种高分子材料项目进度管理等方面。我们将通过建设高效的管理团队，提升管理水平。建立科学的特种高分子材料项目管理体系，确保特种高分子材料项目进度的掌控。通过培训和学习，提高团队应对管理风险的能力。</w:t>
      </w:r>
    </w:p>
    <w:p>
      <w:pPr>
        <w:pStyle w:val="Heading2"/>
        <w:ind w:firstLine="560" w:firstLineChars="200"/>
        <w:rPr>
          <w:rFonts w:ascii="仿宋" w:eastAsia="仿宋" w:hAnsi="仿宋" w:cs="仿宋" w:hint="eastAsia"/>
          <w:sz w:val="28"/>
          <w:lang w:eastAsia="zh-CN"/>
        </w:rPr>
      </w:pPr>
      <w:bookmarkStart w:id="10" w:name="_Toc7824"/>
      <w:r>
        <w:rPr>
          <w:rFonts w:ascii="仿宋" w:eastAsia="仿宋" w:hAnsi="仿宋" w:cs="仿宋" w:hint="eastAsia"/>
          <w:sz w:val="28"/>
          <w:lang w:eastAsia="zh-CN"/>
        </w:rPr>
        <w:t>(八)、其它风险分析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特种高分子材料项目实施中可能还存在其他各种意外风险，我们将建立综合的风险管理机制，及时评估、响应和应对各类潜在风险。通过建设风险管理团队，提高应对不确定性的能力。灵活调整特种高分子材料项目计划，确保特种高分子材料项目始终处于可控的状态。</w:t>
      </w:r>
    </w:p>
    <w:p>
      <w:pPr>
        <w:pStyle w:val="Heading1"/>
        <w:ind w:firstLine="560" w:firstLineChars="200"/>
        <w:rPr>
          <w:rFonts w:ascii="仿宋" w:eastAsia="仿宋" w:hAnsi="仿宋" w:cs="仿宋" w:hint="eastAsia"/>
          <w:sz w:val="28"/>
          <w:lang w:eastAsia="zh-CN"/>
        </w:rPr>
      </w:pPr>
      <w:bookmarkStart w:id="11" w:name="_Toc7352"/>
      <w:r>
        <w:rPr>
          <w:rFonts w:ascii="仿宋" w:eastAsia="仿宋" w:hAnsi="仿宋" w:cs="仿宋" w:hint="eastAsia"/>
          <w:sz w:val="28"/>
          <w:lang w:eastAsia="zh-CN"/>
        </w:rPr>
        <w:t>二、工程设计说明</w:t>
      </w:r>
      <w:bookmarkEnd w:id="11"/>
    </w:p>
    <w:p>
      <w:pPr>
        <w:pStyle w:val="Heading2"/>
        <w:rPr>
          <w:rFonts w:ascii="仿宋" w:eastAsia="仿宋" w:hAnsi="仿宋" w:cs="仿宋" w:hint="eastAsia"/>
          <w:lang w:eastAsia="zh-CN"/>
        </w:rPr>
      </w:pPr>
      <w:bookmarkStart w:id="12" w:name="_Toc3844"/>
      <w:r>
        <w:rPr>
          <w:rFonts w:ascii="仿宋" w:eastAsia="仿宋" w:hAnsi="仿宋" w:cs="仿宋" w:hint="eastAsia"/>
          <w:lang w:eastAsia="zh-CN"/>
        </w:rPr>
        <w:t>(一)、建筑工程设计原则</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工程设计的核心在于确保建筑结构的稳定性、功能的实用性、美学的合理性以及施工和运维的经济性。在设计过程中，需要综合考虑建筑的用途、环境特征、可持续性等方面，确立科学合理的设计原则。</w:t>
      </w:r>
    </w:p>
    <w:p>
      <w:pPr>
        <w:pStyle w:val="Heading2"/>
        <w:ind w:firstLine="560" w:firstLineChars="200"/>
        <w:rPr>
          <w:rFonts w:ascii="仿宋" w:eastAsia="仿宋" w:hAnsi="仿宋" w:cs="仿宋" w:hint="eastAsia"/>
          <w:sz w:val="28"/>
          <w:lang w:eastAsia="zh-CN"/>
        </w:rPr>
      </w:pPr>
      <w:bookmarkStart w:id="13" w:name="_Toc7813"/>
      <w:r>
        <w:rPr>
          <w:rFonts w:ascii="仿宋" w:eastAsia="仿宋" w:hAnsi="仿宋" w:cs="仿宋" w:hint="eastAsia"/>
          <w:sz w:val="28"/>
          <w:lang w:eastAsia="zh-CN"/>
        </w:rPr>
        <w:t>(二)、特种高分子材料项目工程建设标准规范</w:t>
      </w:r>
      <w:bookmarkEnd w:id="13"/>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特种高分子材料项目的建设需要符合国家和地方的相关标准规范，确保施工过程和建成后的设施符合安全、环保、质量等方面的要求。各项建设标准规范将在设计中得到充分考虑和遵循。</w:t>
      </w:r>
    </w:p>
    <w:p>
      <w:pPr>
        <w:pStyle w:val="Heading2"/>
        <w:ind w:firstLine="560" w:firstLineChars="200"/>
        <w:rPr>
          <w:rFonts w:ascii="仿宋" w:eastAsia="仿宋" w:hAnsi="仿宋" w:cs="仿宋" w:hint="eastAsia"/>
          <w:sz w:val="28"/>
          <w:lang w:eastAsia="zh-CN"/>
        </w:rPr>
      </w:pPr>
      <w:bookmarkStart w:id="14" w:name="_Toc30403"/>
      <w:r>
        <w:rPr>
          <w:rFonts w:ascii="仿宋" w:eastAsia="仿宋" w:hAnsi="仿宋" w:cs="仿宋" w:hint="eastAsia"/>
          <w:sz w:val="28"/>
          <w:lang w:eastAsia="zh-CN"/>
        </w:rPr>
        <w:t>(三)、特种高分子材料项目总平面设计要求</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特种高分子材料项目总平面设计要求将包括对特种高分子材料项目用地的科学规划，确保合理的场地利用和各功能区域的合理布局。这涉及到交通流线、景观绿化、建筑分布等方面的综合考虑。</w:t>
      </w:r>
    </w:p>
    <w:p>
      <w:pPr>
        <w:pStyle w:val="Heading2"/>
        <w:ind w:firstLine="560" w:firstLineChars="200"/>
        <w:rPr>
          <w:rFonts w:ascii="仿宋" w:eastAsia="仿宋" w:hAnsi="仿宋" w:cs="仿宋" w:hint="eastAsia"/>
          <w:sz w:val="28"/>
          <w:lang w:eastAsia="zh-CN"/>
        </w:rPr>
      </w:pPr>
      <w:bookmarkStart w:id="15" w:name="_Toc27644"/>
      <w:r>
        <w:rPr>
          <w:rFonts w:ascii="仿宋" w:eastAsia="仿宋" w:hAnsi="仿宋" w:cs="仿宋" w:hint="eastAsia"/>
          <w:sz w:val="28"/>
          <w:lang w:eastAsia="zh-CN"/>
        </w:rPr>
        <w:t>(四)、建筑设计规范和标准</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建筑设计规范和标准将详细规定建筑物的各项技术指标，包括但不限于结构设计、电气设计、给排水设计等，确保建筑的安全性和功能性。</w:t>
      </w:r>
    </w:p>
    <w:p>
      <w:pPr>
        <w:pStyle w:val="Heading2"/>
        <w:ind w:firstLine="560" w:firstLineChars="200"/>
        <w:rPr>
          <w:rFonts w:ascii="仿宋" w:eastAsia="仿宋" w:hAnsi="仿宋" w:cs="仿宋" w:hint="eastAsia"/>
          <w:sz w:val="28"/>
          <w:lang w:eastAsia="zh-CN"/>
        </w:rPr>
      </w:pPr>
      <w:bookmarkStart w:id="16" w:name="_Toc7143"/>
      <w:r>
        <w:rPr>
          <w:rFonts w:ascii="仿宋" w:eastAsia="仿宋" w:hAnsi="仿宋" w:cs="仿宋" w:hint="eastAsia"/>
          <w:sz w:val="28"/>
          <w:lang w:eastAsia="zh-CN"/>
        </w:rPr>
        <w:t>(五)、土建工程设计年限及安全等级</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土建工程的设计年限和安全等级将在设计中被准确明确。这涉及到建筑物的使用寿命和抗震等级等方面的规定，以确保建筑的长期稳定运行。</w:t>
      </w:r>
    </w:p>
    <w:p>
      <w:pPr>
        <w:pStyle w:val="Heading2"/>
        <w:ind w:firstLine="560" w:firstLineChars="200"/>
        <w:rPr>
          <w:rFonts w:ascii="仿宋" w:eastAsia="仿宋" w:hAnsi="仿宋" w:cs="仿宋" w:hint="eastAsia"/>
          <w:sz w:val="28"/>
          <w:lang w:eastAsia="zh-CN"/>
        </w:rPr>
      </w:pPr>
      <w:bookmarkStart w:id="17" w:name="_Toc278"/>
      <w:r>
        <w:rPr>
          <w:rFonts w:ascii="仿宋" w:eastAsia="仿宋" w:hAnsi="仿宋" w:cs="仿宋" w:hint="eastAsia"/>
          <w:sz w:val="28"/>
          <w:lang w:eastAsia="zh-CN"/>
        </w:rPr>
        <w:t>(六)、建筑工程设计总体要求</w:t>
      </w:r>
      <w:bookmarkEnd w:id="1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建筑工程设计总体要求将对整个设计过程进行概括，包括设计的整体目标、实施步骤、关键节点等，为设计团队提供明确的工作指导。</w:t>
      </w:r>
    </w:p>
    <w:p>
      <w:pPr>
        <w:pStyle w:val="Heading1"/>
        <w:ind w:firstLine="560" w:firstLineChars="200"/>
        <w:rPr>
          <w:rFonts w:ascii="仿宋" w:eastAsia="仿宋" w:hAnsi="仿宋" w:cs="仿宋" w:hint="eastAsia"/>
          <w:sz w:val="28"/>
          <w:lang w:eastAsia="zh-CN"/>
        </w:rPr>
      </w:pPr>
      <w:bookmarkStart w:id="18" w:name="_Toc18343"/>
      <w:r>
        <w:rPr>
          <w:rFonts w:ascii="仿宋" w:eastAsia="仿宋" w:hAnsi="仿宋" w:cs="仿宋" w:hint="eastAsia"/>
          <w:sz w:val="28"/>
          <w:lang w:eastAsia="zh-CN"/>
        </w:rPr>
        <w:t>三、特种高分子材料项目建设地分析</w:t>
      </w:r>
      <w:bookmarkEnd w:id="18"/>
    </w:p>
    <w:p>
      <w:pPr>
        <w:pStyle w:val="Heading2"/>
        <w:rPr>
          <w:rFonts w:ascii="仿宋" w:eastAsia="仿宋" w:hAnsi="仿宋" w:cs="仿宋" w:hint="eastAsia"/>
          <w:lang w:eastAsia="zh-CN"/>
        </w:rPr>
      </w:pPr>
      <w:bookmarkStart w:id="19" w:name="_Toc21191"/>
      <w:r>
        <w:rPr>
          <w:rFonts w:ascii="仿宋" w:eastAsia="仿宋" w:hAnsi="仿宋" w:cs="仿宋" w:hint="eastAsia"/>
          <w:lang w:eastAsia="zh-CN"/>
        </w:rPr>
        <w:t>(一)、特种高分子材料项目选址原则</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确保特种高分子材料项目建设不会对周围环境造成污染，或者任何潜在的污染都将控制在国家法律和标准允许的范围内。特种高分子材料项目建设的区域将依据城市总体规划，以确保布局相对独立，便于进行科研、生产经营和管理活动。同时，特种高分子材料项目建设区域与城市建设地的联系也将得到全面考虑，以促使特种高分子材料项目与城市的发展更为协调。</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高分子材料项目建设方案将在满足特种高分子材料项目产品生产工艺、消防安全、环境保护卫生等要求的前提下，尽量合并建筑，以提高资源利用效率。在布置方面，将充分利用自然空间，贯彻执行“十分珍惜和合理利用土地”的基本国策，根据具体情况因地制宜，合理布置特种高分子材料项目建设，确保土地利用的合理性和可持续性。这样的特种高分子材料项目规划将确保在特种高分子材料项目建设和运营过程中对当地居民和社会不会造成不满和不良影响。</w:t>
      </w:r>
    </w:p>
    <w:p>
      <w:pPr>
        <w:pStyle w:val="Heading2"/>
        <w:ind w:firstLine="560" w:firstLineChars="200"/>
        <w:rPr>
          <w:rFonts w:ascii="仿宋" w:eastAsia="仿宋" w:hAnsi="仿宋" w:cs="仿宋" w:hint="eastAsia"/>
          <w:sz w:val="28"/>
          <w:lang w:eastAsia="zh-CN"/>
        </w:rPr>
      </w:pPr>
      <w:bookmarkStart w:id="20" w:name="_Toc4443"/>
      <w:r>
        <w:rPr>
          <w:rFonts w:ascii="仿宋" w:eastAsia="仿宋" w:hAnsi="仿宋" w:cs="仿宋" w:hint="eastAsia"/>
          <w:sz w:val="28"/>
          <w:lang w:eastAsia="zh-CN"/>
        </w:rPr>
        <w:t>(二)、特种高分子材料项目选址</w:t>
      </w:r>
      <w:bookmarkEnd w:id="20"/>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特种高分子材料项目选址在</w:t>
      </w:r>
      <w:r>
        <w:rPr>
          <w:rFonts w:ascii="仿宋" w:eastAsia="仿宋" w:hAnsi="仿宋" w:cs="仿宋" w:hint="eastAsia"/>
          <w:sz w:val="28"/>
          <w:lang w:eastAsia="zh-CN"/>
        </w:rPr>
        <w:t xml:space="preserve"> xxx</w:t>
      </w:r>
      <w:r>
        <w:rPr>
          <w:rFonts w:ascii="仿宋" w:eastAsia="仿宋" w:hAnsi="仿宋" w:cs="仿宋" w:hint="eastAsia"/>
          <w:sz w:val="28"/>
          <w:lang w:eastAsia="zh-CN"/>
        </w:rPr>
        <w:t xml:space="preserve"> 产业示范园区，这一选址的决定经过了充分的论证和考量。首先，xxx</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产业示范园区作为地区内产业发展的重要引擎，具备了先进的基础设施和产业配套条件，为特种高分子材料项目的顺利开展提供了有力支持。其次，该示范园区拥有便捷的交通网络和优越的地理位置，有利于原材料供应、产品流通以及人员往来，提高了特种高分子材料项目的运营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此外，xxx 产业示范园区还注重生态环保和绿色发展，与特种高分子材料项目的环保理念高度契合。选址于示范园区，不仅可以有效整合各类资源，降低特种高分子材料项目建设和运营的成本，同时也有助于提升特种高分子材料项目的整体竞争力。综合考虑产业集聚效应、交通便捷性以及生态环保等多方面因素，选址于 xxx 产业示范园区对特种高分子材料项目的可持续发展具有积极的促进作用。</w:t>
      </w:r>
    </w:p>
    <w:p>
      <w:pPr>
        <w:pStyle w:val="Heading2"/>
        <w:ind w:firstLine="560" w:firstLineChars="200"/>
        <w:rPr>
          <w:rFonts w:ascii="仿宋" w:eastAsia="仿宋" w:hAnsi="仿宋" w:cs="仿宋" w:hint="eastAsia"/>
          <w:sz w:val="28"/>
          <w:lang w:eastAsia="zh-CN"/>
        </w:rPr>
      </w:pPr>
      <w:bookmarkStart w:id="21" w:name="_Toc118"/>
      <w:r>
        <w:rPr>
          <w:rFonts w:ascii="仿宋" w:eastAsia="仿宋" w:hAnsi="仿宋" w:cs="仿宋" w:hint="eastAsia"/>
          <w:sz w:val="28"/>
          <w:lang w:eastAsia="zh-CN"/>
        </w:rPr>
        <w:t>(三)、建设条件分析</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特种高分子材料项目承办单位目前资产运营状况良好，财务管理制度健全且完善，企业财务雄厚。凭借卓越的产品质量、科学的管理模式以及灵活畅通的销售网络，该单位连年实现盈利，为特种高分子材料项目建设提供充足的计划自筹资金。当地人民政府和主管部门高度重视特种高分子材料项目建设，土地、规划、建设等管理部门提出了切实可行的实施方案和保障措施，并给予充分的认可。此外，特种高分子材料项目建设区域拥有充足的水、电、气等资源供给，足以满足特种高分子材料项目正常生产的需求。</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投资特种高分子材料项目可依托特种高分子材料项目建设地成熟的公用工程、辅助工程、储运设施等富余资源，同时拥有丰富的劳动力资源和完善的社会服务体系。这将有助于加速特种高分子材料项目建设进度，降低建设成本，实现特种高分子材料项目投资的节约，提升特种高分子材料项目承办单位的综合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高分子材料项目承办单位具备一大批丰富经验的特种高分子材料项目产品生产专业技术和管理人才。通过引进和内部培养，形成了一个研究方向多元、完整的专业研发团队，包括核心技术专家、关键技术骨干和一般技术人员，构建了完整的人才梯队。该单位在当地相关行业拥有显著的人才优势。与此同时，特种高分子材料项目承办单位还与多家科研院所建立了长期的合作关系，并设立了向科研开发倾斜的奖励机制，每年投入专项资金用于重点产品和关键工艺的研发奖励。这为特种高分子材料项目的科研创新提供了有力的支持。</w:t>
      </w:r>
    </w:p>
    <w:p>
      <w:pPr>
        <w:pStyle w:val="Heading2"/>
        <w:ind w:firstLine="560" w:firstLineChars="200"/>
        <w:rPr>
          <w:rFonts w:ascii="仿宋" w:eastAsia="仿宋" w:hAnsi="仿宋" w:cs="仿宋" w:hint="eastAsia"/>
          <w:sz w:val="28"/>
          <w:lang w:eastAsia="zh-CN"/>
        </w:rPr>
      </w:pPr>
      <w:bookmarkStart w:id="22" w:name="_Toc4751"/>
      <w:r>
        <w:rPr>
          <w:rFonts w:ascii="仿宋" w:eastAsia="仿宋" w:hAnsi="仿宋" w:cs="仿宋" w:hint="eastAsia"/>
          <w:sz w:val="28"/>
          <w:lang w:eastAsia="zh-CN"/>
        </w:rPr>
        <w:t>(四)、用地控制指标</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特种高分子材料项目选址于 xxx 产业示范园区，关于用地控制指标的规划与管理，本特种高分子材料项目将严格遵循国家和地方的相关法规和标准。用地控制指标包括但不限于以下几个方面：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建筑物基底占地面积： 特种高分子材料项目将严格按照规划建设主体工程的需要，确保建筑物基底占地面积在符合法规的范围内，以最大限度地利用土地，提高用地利用效率。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建筑密度： 根据示范园区的总体规划，特种高分子材料项目将遵循相应的建筑密度标准，合理规划建设，保障特种高分子材料项目建设的紧凑性和高效性。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绿化率：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在特种高分子材料项目建设中，将注重绿化工作，确保绿化率达到或超过规划要求。通过科学合理的绿化设计，提升特种高分子材料项目周边的生态环境，使其更加宜居宜业。</w:t>
      </w:r>
    </w:p>
    <w:p>
      <w:pPr>
        <w:ind w:firstLine="560" w:firstLineChars="200"/>
        <w:rPr>
          <w:rFonts w:ascii="仿宋" w:eastAsia="仿宋" w:hAnsi="仿宋" w:cs="仿宋" w:hint="eastAsia"/>
          <w:sz w:val="28"/>
        </w:rPr>
      </w:pPr>
      <w:r>
        <w:rPr>
          <w:rFonts w:ascii="仿宋" w:eastAsia="仿宋" w:hAnsi="仿宋" w:cs="仿宋" w:hint="eastAsia"/>
          <w:sz w:val="28"/>
          <w:lang w:eastAsia="zh-CN"/>
        </w:rPr>
        <w:t>4. 建筑高度： 遵循规划规定的建筑高度限制，确保建筑在垂直空间的合理利用，不超过规划范围，保持与周边建筑的协调性。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地上层数和地下层数： 特种高分子材料项目将根据规划要求，合理规划地上和地下层数，确保建设的稳定性和安全性。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其他控制要素： 根据示范园区的具体规划和相关法规，特种高分子材料项目还将遵循其他用地控制指标，如建筑线、退让线等，确保特种高分子材料项目的建设与周边环境的和谐相处。</w:t>
      </w:r>
    </w:p>
    <w:p>
      <w:pPr>
        <w:pStyle w:val="Heading2"/>
        <w:ind w:firstLine="560" w:firstLineChars="200"/>
        <w:rPr>
          <w:rFonts w:ascii="仿宋" w:eastAsia="仿宋" w:hAnsi="仿宋" w:cs="仿宋" w:hint="eastAsia"/>
          <w:sz w:val="28"/>
          <w:lang w:eastAsia="zh-CN"/>
        </w:rPr>
      </w:pPr>
      <w:bookmarkStart w:id="23" w:name="_Toc24119"/>
      <w:r>
        <w:rPr>
          <w:rFonts w:ascii="仿宋" w:eastAsia="仿宋" w:hAnsi="仿宋" w:cs="仿宋" w:hint="eastAsia"/>
          <w:sz w:val="28"/>
          <w:lang w:eastAsia="zh-CN"/>
        </w:rPr>
        <w:t>(五)、用地总体要求</w:t>
      </w:r>
      <w:bookmarkEnd w:id="23"/>
    </w:p>
    <w:p>
      <w:pPr>
        <w:ind w:firstLine="560" w:firstLineChars="200"/>
        <w:rPr>
          <w:rFonts w:ascii="仿宋" w:eastAsia="仿宋" w:hAnsi="仿宋" w:cs="仿宋" w:hint="eastAsia"/>
          <w:sz w:val="28"/>
        </w:rPr>
      </w:pPr>
      <w:r>
        <w:rPr>
          <w:rFonts w:ascii="仿宋" w:eastAsia="仿宋" w:hAnsi="仿宋" w:cs="仿宋" w:hint="eastAsia"/>
          <w:sz w:val="28"/>
          <w:lang w:eastAsia="zh-CN"/>
        </w:rPr>
        <w:t>在本期工程特种高分子材料项目的建设规划中，涉及到一系列关键的建设指标，这些指标将有助于确保特种高分子材料项目的合理规划和高效建设。具体而言：</w:t>
      </w:r>
    </w:p>
    <w:p>
      <w:pPr>
        <w:ind w:firstLine="560" w:firstLineChars="200"/>
        <w:rPr>
          <w:rFonts w:ascii="仿宋" w:eastAsia="仿宋" w:hAnsi="仿宋" w:cs="仿宋" w:hint="eastAsia"/>
          <w:sz w:val="28"/>
        </w:rPr>
      </w:pPr>
      <w:r>
        <w:rPr>
          <w:rFonts w:ascii="仿宋" w:eastAsia="仿宋" w:hAnsi="仿宋" w:cs="仿宋" w:hint="eastAsia"/>
          <w:sz w:val="28"/>
          <w:lang w:eastAsia="zh-CN"/>
        </w:rPr>
        <w:t>1. 建筑系数： 本期工程特种高分子材料项目的建筑系数为XXX%。该系数是对特种高分子材料项目建筑面积与用地面积的比例控制，通过设定合理的建筑系数，可以确保特种高分子材料项目在有限的用地资源下实现最大的建筑利用率，达到用地经济效益的最佳平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2. 建筑容积率： 特种高分子材料项目的建筑容积率为XXX。该率值衡量了建筑物总体积与用地面积的比例，是规划中用来控制建筑高度和密度的关键参数。通过合理控制建筑容积率，可以在确保建筑物结构合理的同时，使特种高分子材料项目整体外观更协调。</w:t>
      </w:r>
    </w:p>
    <w:p>
      <w:pPr>
        <w:ind w:firstLine="560" w:firstLineChars="200"/>
        <w:rPr>
          <w:rFonts w:ascii="仿宋" w:eastAsia="仿宋" w:hAnsi="仿宋" w:cs="仿宋" w:hint="eastAsia"/>
          <w:sz w:val="28"/>
        </w:rPr>
      </w:pPr>
      <w:r>
        <w:rPr>
          <w:rFonts w:ascii="仿宋" w:eastAsia="仿宋" w:hAnsi="仿宋" w:cs="仿宋" w:hint="eastAsia"/>
          <w:sz w:val="28"/>
          <w:lang w:eastAsia="zh-CN"/>
        </w:rPr>
        <w:t>3. 绿化覆盖率： 为保护自然环境和提升特种高分子材料项目的生态品质，本期工程特种高分子材料项目将严格执行绿化覆盖率标准，目标值为XXX%。这意味着在特种高分子材料项目建设区域，将有相应的绿化面积，以促进生态平衡、改善空气质量，并提供良好的休闲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4. 固定资产投资强度： 本期工程特种高分子材料项目的固定资产投资强度为XXX万元/亩。该指标表征了每亩土地上的固定资产投资额，是评估特种高分子材料项目投资规模的重要参考。通过科学合理地控制投资强度，可以实现资金的有效利用，确保特种高分子材料项目的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这些建设规划指标将有助于特种高分子材料项目在建设过程中充分考虑资源利用效率、环境保护、投资效益等多个方面，实现可持续发展的目标。</w:t>
      </w:r>
    </w:p>
    <w:p>
      <w:pPr>
        <w:pStyle w:val="Heading2"/>
        <w:ind w:firstLine="560" w:firstLineChars="200"/>
        <w:rPr>
          <w:rFonts w:ascii="仿宋" w:eastAsia="仿宋" w:hAnsi="仿宋" w:cs="仿宋" w:hint="eastAsia"/>
          <w:sz w:val="28"/>
          <w:lang w:eastAsia="zh-CN"/>
        </w:rPr>
      </w:pPr>
      <w:bookmarkStart w:id="24" w:name="_Toc21722"/>
      <w:r>
        <w:rPr>
          <w:rFonts w:ascii="仿宋" w:eastAsia="仿宋" w:hAnsi="仿宋" w:cs="仿宋" w:hint="eastAsia"/>
          <w:sz w:val="28"/>
          <w:lang w:eastAsia="zh-CN"/>
        </w:rPr>
        <w:t>(六)、节约用地措施</w:t>
      </w:r>
      <w:bookmarkEnd w:id="24"/>
    </w:p>
    <w:p>
      <w:pPr>
        <w:ind w:firstLine="560" w:firstLineChars="200"/>
        <w:rPr>
          <w:rFonts w:ascii="仿宋" w:eastAsia="仿宋" w:hAnsi="仿宋" w:cs="仿宋" w:hint="eastAsia"/>
          <w:sz w:val="28"/>
        </w:rPr>
      </w:pPr>
      <w:r>
        <w:rPr>
          <w:rFonts w:ascii="仿宋" w:eastAsia="仿宋" w:hAnsi="仿宋" w:cs="仿宋" w:hint="eastAsia"/>
          <w:sz w:val="28"/>
          <w:lang w:eastAsia="zh-CN"/>
        </w:rPr>
        <w:t>为有效利用土地资源，采取以下措施：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1. 大跨度连跨厂房设计：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采用大跨度连跨厂房布局，有助于方便生产设备的布置，提高厂房面积的利用率。这种设计能够最大程度地减少结构支撑柱，从而节约土地资源。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2. 简易货架优化仓库布局：</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在原料及辅助材料仓库采用简易货架，通过合理布局提高库房的面积和空间利用率。这不仅有效地优化了仓库存储结构，还达到了节约土地资源的目的。</w:t>
      </w:r>
    </w:p>
    <w:p>
      <w:pPr>
        <w:ind w:firstLine="560" w:firstLineChars="200"/>
        <w:rPr>
          <w:rFonts w:ascii="仿宋" w:eastAsia="仿宋" w:hAnsi="仿宋" w:cs="仿宋" w:hint="eastAsia"/>
          <w:sz w:val="28"/>
        </w:rPr>
      </w:pPr>
      <w:r>
        <w:rPr>
          <w:rFonts w:ascii="仿宋" w:eastAsia="仿宋" w:hAnsi="仿宋" w:cs="仿宋" w:hint="eastAsia"/>
          <w:sz w:val="28"/>
          <w:lang w:eastAsia="zh-CN"/>
        </w:rPr>
        <w:t>3. 外协(外购)方式降低建设需求：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特种高分子材料项目建设坚持专业化生产原则，将主要生产过程和关键工序由特种高分子材料项目承办单位实施，而其他附属商品则采用外协(外购)的方式。通过这种方式，能够避免重复建设，达到节约资金、能源和土地资源的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4. 高效生产工艺和设备布局：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特种高分子材料项目采用高效的生产工艺，通过科学的设备布局，最大程度地提高生产效率，减少生产空间的浪费。这包括合理的生产流程设计，避免不必要的物料运输和仓储空间占用。</w:t>
      </w:r>
    </w:p>
    <w:p>
      <w:pPr>
        <w:ind w:firstLine="560" w:firstLineChars="200"/>
        <w:rPr>
          <w:rFonts w:ascii="仿宋" w:eastAsia="仿宋" w:hAnsi="仿宋" w:cs="仿宋" w:hint="eastAsia"/>
          <w:sz w:val="28"/>
        </w:rPr>
      </w:pPr>
      <w:r>
        <w:rPr>
          <w:rFonts w:ascii="仿宋" w:eastAsia="仿宋" w:hAnsi="仿宋" w:cs="仿宋" w:hint="eastAsia"/>
          <w:sz w:val="28"/>
          <w:lang w:eastAsia="zh-CN"/>
        </w:rPr>
        <w:t>5. 绿色建筑和生态环境保护：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土地利用的同时，特种高分子材料项目建设将考虑采用绿色建筑理念，以减少对周边自然环境的影响。通过科学规划和环保措施，确保生产过程中的废弃物处理和排放均符合环保标准，最小化对土地生态的冲击。</w:t>
      </w:r>
    </w:p>
    <w:p>
      <w:pPr>
        <w:ind w:firstLine="560" w:firstLineChars="200"/>
        <w:rPr>
          <w:rFonts w:ascii="仿宋" w:eastAsia="仿宋" w:hAnsi="仿宋" w:cs="仿宋" w:hint="eastAsia"/>
          <w:sz w:val="28"/>
        </w:rPr>
      </w:pPr>
      <w:r>
        <w:rPr>
          <w:rFonts w:ascii="仿宋" w:eastAsia="仿宋" w:hAnsi="仿宋" w:cs="仿宋" w:hint="eastAsia"/>
          <w:sz w:val="28"/>
          <w:lang w:eastAsia="zh-CN"/>
        </w:rPr>
        <w:t>6. 资源综合利用：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在生产过程中，特种高分子材料项目将注重资源的综合利用，减少废弃物的产生。通过回收再利用、能源回收等手段，最大化地减少对新资源的依赖，实现对土地资源的更为有效的利用。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7. 智能化管理系统的引入：</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引入智能化的生产管理系统，通过精准的数据分析和优化，降低生产中的浪费，包括原材料、能源和生产空间的浪费。这有助于更加智能、高效地利用土地资源。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以上综合措施的有机结合，特种高分子材料项目建设在土地资源的规划和使用上不仅注重高效性和科技性，同时保持对生态环境的尊重。这种全方位的土地资源节约措施将有助于特种高分子材料项目的可持续发展和为社会创造更多的经济效益。</w:t>
      </w:r>
    </w:p>
    <w:p>
      <w:pPr>
        <w:pStyle w:val="Heading2"/>
        <w:ind w:firstLine="560" w:firstLineChars="200"/>
        <w:rPr>
          <w:rFonts w:ascii="仿宋" w:eastAsia="仿宋" w:hAnsi="仿宋" w:cs="仿宋" w:hint="eastAsia"/>
          <w:sz w:val="28"/>
          <w:lang w:eastAsia="zh-CN"/>
        </w:rPr>
      </w:pPr>
      <w:bookmarkStart w:id="25" w:name="_Toc1483"/>
      <w:r>
        <w:rPr>
          <w:rFonts w:ascii="仿宋" w:eastAsia="仿宋" w:hAnsi="仿宋" w:cs="仿宋" w:hint="eastAsia"/>
          <w:sz w:val="28"/>
          <w:lang w:eastAsia="zh-CN"/>
        </w:rPr>
        <w:t>(七)、总图布置方案</w:t>
      </w:r>
      <w:bookmarkEnd w:id="25"/>
    </w:p>
    <w:p>
      <w:pPr>
        <w:ind w:firstLine="560" w:firstLineChars="200"/>
        <w:rPr>
          <w:rFonts w:ascii="仿宋" w:eastAsia="仿宋" w:hAnsi="仿宋" w:cs="仿宋" w:hint="eastAsia"/>
          <w:sz w:val="28"/>
        </w:rPr>
      </w:pPr>
      <w:r>
        <w:rPr>
          <w:rFonts w:ascii="仿宋" w:eastAsia="仿宋" w:hAnsi="仿宋" w:cs="仿宋" w:hint="eastAsia"/>
          <w:sz w:val="28"/>
          <w:lang w:eastAsia="zh-CN"/>
        </w:rPr>
        <w:t>在特种高分子材料项目规划中，总图布置方案是确保各个组成部分协调有序、高效运作的关键。以下是总图布置方案的主要考虑因素：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整体布局设计：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特种高分子材料项目整体布局应基于高效生产流程和员工流动，确保各功能区域之间协调有序。</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确定主要生产区、仓储区、办公区、设备区等功能分区，使得生产过程流畅无阻。</w:t>
      </w:r>
    </w:p>
    <w:p>
      <w:pPr>
        <w:ind w:firstLine="560" w:firstLineChars="200"/>
        <w:rPr>
          <w:rFonts w:ascii="仿宋" w:eastAsia="仿宋" w:hAnsi="仿宋" w:cs="仿宋" w:hint="eastAsia"/>
          <w:sz w:val="28"/>
        </w:rPr>
      </w:pPr>
      <w:r>
        <w:rPr>
          <w:rFonts w:ascii="仿宋" w:eastAsia="仿宋" w:hAnsi="仿宋" w:cs="仿宋" w:hint="eastAsia"/>
          <w:sz w:val="28"/>
          <w:lang w:eastAsia="zh-CN"/>
        </w:rPr>
        <w:t>2. 生产设备配置：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根据生产工艺和流程，合理配置生产设备，确保设备之间的协同作业，提高生产效率。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采用智能化设备和自动化生产线，最大限度地减少人力介入，提高生产精度和速度。</w:t>
      </w:r>
    </w:p>
    <w:p>
      <w:pPr>
        <w:ind w:firstLine="560" w:firstLineChars="200"/>
        <w:rPr>
          <w:rFonts w:ascii="仿宋" w:eastAsia="仿宋" w:hAnsi="仿宋" w:cs="仿宋" w:hint="eastAsia"/>
          <w:sz w:val="28"/>
        </w:rPr>
      </w:pPr>
      <w:r>
        <w:rPr>
          <w:rFonts w:ascii="仿宋" w:eastAsia="仿宋" w:hAnsi="仿宋" w:cs="仿宋" w:hint="eastAsia"/>
          <w:sz w:val="28"/>
          <w:lang w:eastAsia="zh-CN"/>
        </w:rPr>
        <w:t>3. 绿色空间和环保设计：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在总图布置中考虑绿色空间，例如绿化带和景观区域，提升工作环境质量，有助于员工的生产效率和生活舒适度。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引入环保设计理念，设置废弃物处理区域和环保设施，确保特种高分子材料项目对环境的影响最小化。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交通与物流通道规划：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设计合理的交通通道，确保原材料、半成品和成品之间的便捷运输，减少内部物流时间。</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考虑员工出行和物流车辆的通行，制定合理的交通规划，确保交通流畅。</w:t>
      </w:r>
    </w:p>
    <w:p>
      <w:pPr>
        <w:ind w:firstLine="560" w:firstLineChars="200"/>
        <w:rPr>
          <w:rFonts w:ascii="仿宋" w:eastAsia="仿宋" w:hAnsi="仿宋" w:cs="仿宋" w:hint="eastAsia"/>
          <w:sz w:val="28"/>
        </w:rPr>
      </w:pPr>
      <w:r>
        <w:rPr>
          <w:rFonts w:ascii="仿宋" w:eastAsia="仿宋" w:hAnsi="仿宋" w:cs="仿宋" w:hint="eastAsia"/>
          <w:sz w:val="28"/>
          <w:lang w:eastAsia="zh-CN"/>
        </w:rPr>
        <w:t>5. 安全与紧急应对：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设置安全通道和紧急疏散通道，确保在紧急情况下员工能够快速有序地撤离。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安排紧急设备和安全设备的布局，提高应急处理效率，确保特种高分子材料项目安全运行。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6. 未来扩建和更新考虑：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留出足够的空间，以便未来特种高分子材料项目扩建和设备更新。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采用模块化设计，方便未来根据业务需求进行灵活调整和拓展。</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总图布置方案应充分考虑以上因素，以确保特种高分子材料项目在运作中能够高效、安全、可持续地发展。该方案的设计应符合特种高分子材料项目的整体战略规划和长期发展目标。</w:t>
      </w:r>
    </w:p>
    <w:p>
      <w:pPr>
        <w:pStyle w:val="Heading2"/>
        <w:ind w:firstLine="560" w:firstLineChars="200"/>
        <w:rPr>
          <w:rFonts w:ascii="仿宋" w:eastAsia="仿宋" w:hAnsi="仿宋" w:cs="仿宋" w:hint="eastAsia"/>
          <w:sz w:val="28"/>
          <w:lang w:eastAsia="zh-CN"/>
        </w:rPr>
      </w:pPr>
      <w:bookmarkStart w:id="26" w:name="_Toc3931"/>
      <w:r>
        <w:rPr>
          <w:rFonts w:ascii="仿宋" w:eastAsia="仿宋" w:hAnsi="仿宋" w:cs="仿宋" w:hint="eastAsia"/>
          <w:sz w:val="28"/>
          <w:lang w:eastAsia="zh-CN"/>
        </w:rPr>
        <w:t>(八)、运输组成</w:t>
      </w:r>
      <w:bookmarkEnd w:id="26"/>
    </w:p>
    <w:p>
      <w:pPr>
        <w:ind w:firstLine="560" w:firstLineChars="200"/>
        <w:rPr>
          <w:rFonts w:ascii="仿宋" w:eastAsia="仿宋" w:hAnsi="仿宋" w:cs="仿宋" w:hint="eastAsia"/>
          <w:sz w:val="28"/>
        </w:rPr>
      </w:pPr>
      <w:r>
        <w:rPr>
          <w:rFonts w:ascii="仿宋" w:eastAsia="仿宋" w:hAnsi="仿宋" w:cs="仿宋" w:hint="eastAsia"/>
          <w:sz w:val="28"/>
          <w:lang w:eastAsia="zh-CN"/>
        </w:rPr>
        <w:t>(一) 物流系统整体设计：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1. 在特种高分子材料项目建设规划区，注重实现物料流向的合理布局，使内部和外部运输形成高效的工作系统。通过统一考虑场内外运输、接卸和贮存，确保整个物流链条的连贯性和连续性。特别强调将场内外运输与车间内部运输紧密结合，以形成有机的整体物流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2. 采用送货制，选择合适的运输方式和路线，优化企业的物流组成。通过将企业的物料流动，从原材料输入到产品外运，以及车间内部各工序之间的物料流动作为整体系统进行设计，打造有机而高效的全场物料运输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场内运输系统设计：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1. 场内运输系统的设计应注重物料支撑状态的选择，以确保物料不落地，有利于搬运。运输线路的布置应最小化货流与人流的交叉，确保运输操作的安全。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2. 场内运输主要包括原材料的卸车进库、生产过程中的原材料、半成品和成品的转运，以及成品的装车外运。这些任务由装载机、叉车和胶轮车承担，费用计入主车间设备配套费用中。本期工程特种高分子材料项目资源配置可满足场内运输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(三) 场外运输系统设计：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1.</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场外运输主要包括原材料的供给和产品的外运。远距离运输采用汽车或铁路解决，而区域内社会运输力量充足，可以满足本期工程特种高分子材料项目场外远距离运输需求。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短距离运输将利用社会运力解决，不考虑增加汽车运输设备。外部运输应充分依托社会运输力量，降低固定资产投资。主要产成品和大宗原材料的运输避免多次倒运，降低运输成本并提高效率。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(四) 运输方式选择：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考虑到XX产品所涉及的原辅材料和成品运输需求较大，初步采用铁路运输与公路运输相结合的方式。此方式有望在运输成本和效率上取得平衡，确保原辅材料的顺畅运入和成品的高效运出。</w:t>
      </w:r>
    </w:p>
    <w:p>
      <w:pPr>
        <w:ind w:firstLine="560" w:firstLineChars="200"/>
        <w:rPr>
          <w:rFonts w:ascii="仿宋" w:eastAsia="仿宋" w:hAnsi="仿宋" w:cs="仿宋" w:hint="eastAsia"/>
          <w:sz w:val="28"/>
        </w:rPr>
      </w:pPr>
      <w:r>
        <w:rPr>
          <w:rFonts w:ascii="仿宋" w:eastAsia="仿宋" w:hAnsi="仿宋" w:cs="仿宋" w:hint="eastAsia"/>
          <w:sz w:val="28"/>
          <w:lang w:eastAsia="zh-CN"/>
        </w:rPr>
        <w:t>(五) 运输安全和效率：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1. 为确保运输的安全性，将采用合适的物料支撑状态，使搬运过程中物料不落地。在场内运输线路的设计中，注重降低货流与人流的交叉，从而保障运输操作的安全。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2. 在场外运输方面，通过依托社会运输力量，降低多次倒运的可能性，减少运输过程中的风险。运输中应充分考虑物料稳定性和车辆运输条件，以确保产品在运输过程中的安全和完整性。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(六) 环保和社会影响：</w:t>
      </w:r>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r>
        <w:rPr>
          <w:rFonts w:ascii="仿宋" w:eastAsia="仿宋" w:hAnsi="仿宋" w:cs="仿宋" w:hint="eastAsia"/>
          <w:sz w:val="28"/>
          <w:lang w:eastAsia="zh-CN"/>
        </w:rPr>
        <w:t>1. 特种高分子材料项目选址位于XXX产业示范园区，将确保运输活动对周围环境不产生污染，且不超过国家法律和标准允许的范围。特种高分子材料项目建设区域布局相对独立，便于科研、生产和管理活动，同时与建成区有便捷联系，确保特种高分子材料项目的整体运营与周边社区和居民的和谐相处。</w:t>
      </w:r>
    </w:p>
    <w:p>
      <w:pPr>
        <w:ind w:firstLine="560" w:firstLineChars="200"/>
        <w:rPr>
          <w:rFonts w:ascii="仿宋" w:eastAsia="仿宋" w:hAnsi="仿宋" w:cs="仿宋" w:hint="eastAsia"/>
          <w:sz w:val="28"/>
        </w:rPr>
      </w:pPr>
      <w:r>
        <w:rPr>
          <w:rFonts w:ascii="仿宋" w:eastAsia="仿宋" w:hAnsi="仿宋" w:cs="仿宋" w:hint="eastAsia"/>
          <w:sz w:val="28"/>
          <w:lang w:eastAsia="zh-CN"/>
        </w:rPr>
        <w:t>2. 特种高分子材料项目建设方案将遵循土地利用的基本国策，采用因地制宜的方式进行合理布置，最大限度地减少土地利用的负面影响。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(七) 运输成本优化：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1. 在运输方案设计中，采用合适的运输方式和路线，以优化物流组成。通过合并建筑和充分利用自然空间，减少运输线路的长度，降低运输成本。运输系统整体设计将追求经济性和效率，以提高特种高分子材料项目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外部运输将依托社会运输力量，降低固定资产投资，减少企业自身承担的运输成本。通过有效的物流管理，降低运输环节的费用，提高运输效率，从而实现成本的优化。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综合考虑了物流系统的整体设计、运输安全、环保和社会影响、运输成本优化等方面，特种高分子材料项目将致力于打造高效、安全、环保的物流体系，以支持特种高分子材料项目的顺利实施和可持续发展。</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27" w:name="_Toc19637"/>
      <w:r>
        <w:rPr>
          <w:rFonts w:ascii="仿宋" w:eastAsia="仿宋" w:hAnsi="仿宋" w:cs="仿宋" w:hint="eastAsia"/>
          <w:sz w:val="28"/>
          <w:lang w:eastAsia="zh-CN"/>
        </w:rPr>
        <w:t>(九)、选址综合评价</w:t>
      </w:r>
      <w:bookmarkEnd w:id="27"/>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特种高分子材料项目选址地理位置优越，交通便利，具有显著的区位优势。该地区通讯便捷，水资源丰富，能源供应充足，这为特种高分子材料项目的生产、运输和运营提供了便利条件。选址所在位置有利于获取所需的原材料和辅助材料，同时也方便成品的运输。因此，该区域是发展产品制造行业的理想场所。</w:t>
      </w:r>
    </w:p>
    <w:p>
      <w:pPr>
        <w:pStyle w:val="Heading1"/>
        <w:ind w:firstLine="560" w:firstLineChars="200"/>
        <w:rPr>
          <w:rFonts w:ascii="仿宋" w:eastAsia="仿宋" w:hAnsi="仿宋" w:cs="仿宋" w:hint="eastAsia"/>
          <w:sz w:val="28"/>
          <w:lang w:eastAsia="zh-CN"/>
        </w:rPr>
      </w:pPr>
      <w:bookmarkStart w:id="28" w:name="_Toc14585"/>
      <w:r>
        <w:rPr>
          <w:rFonts w:ascii="仿宋" w:eastAsia="仿宋" w:hAnsi="仿宋" w:cs="仿宋" w:hint="eastAsia"/>
          <w:sz w:val="28"/>
          <w:lang w:eastAsia="zh-CN"/>
        </w:rPr>
        <w:t>四、后期运营与管理</w:t>
      </w:r>
      <w:bookmarkEnd w:id="28"/>
    </w:p>
    <w:p>
      <w:pPr>
        <w:pStyle w:val="Heading2"/>
        <w:rPr>
          <w:rFonts w:ascii="仿宋" w:eastAsia="仿宋" w:hAnsi="仿宋" w:cs="仿宋" w:hint="eastAsia"/>
          <w:lang w:eastAsia="zh-CN"/>
        </w:rPr>
      </w:pPr>
      <w:bookmarkStart w:id="29" w:name="_Toc12262"/>
      <w:r>
        <w:rPr>
          <w:rFonts w:ascii="仿宋" w:eastAsia="仿宋" w:hAnsi="仿宋" w:cs="仿宋" w:hint="eastAsia"/>
          <w:lang w:eastAsia="zh-CN"/>
        </w:rPr>
        <w:t>(一)、特种高分子材料项目运营管理机制</w:t>
      </w:r>
      <w:bookmarkEnd w:id="29"/>
    </w:p>
    <w:p>
      <w:pPr>
        <w:ind w:firstLine="560" w:firstLineChars="200"/>
        <w:rPr>
          <w:rFonts w:ascii="仿宋" w:eastAsia="仿宋" w:hAnsi="仿宋" w:cs="仿宋" w:hint="eastAsia"/>
          <w:sz w:val="28"/>
        </w:rPr>
      </w:pPr>
      <w:r>
        <w:rPr>
          <w:rFonts w:ascii="仿宋" w:eastAsia="仿宋" w:hAnsi="仿宋" w:cs="仿宋" w:hint="eastAsia"/>
          <w:sz w:val="28"/>
          <w:lang w:eastAsia="zh-CN"/>
        </w:rPr>
        <w:t>在特种高分子材料项目运营阶段，我们将建立完善的运营管理机制，以确保特种高分子材料项目稳健运行和高效管理。关键要点包括：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1. 运营团队组建：</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成立专业化的运营团队，囊括各领域专业人才，确保对特种高分子材料项目各方面进行全面管理。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设立明确的职责和权限，建立协同工作的团队氛围。</w:t>
      </w:r>
    </w:p>
    <w:p>
      <w:pPr>
        <w:ind w:firstLine="560" w:firstLineChars="200"/>
        <w:rPr>
          <w:rFonts w:ascii="仿宋" w:eastAsia="仿宋" w:hAnsi="仿宋" w:cs="仿宋" w:hint="eastAsia"/>
          <w:sz w:val="28"/>
        </w:rPr>
      </w:pPr>
      <w:r>
        <w:rPr>
          <w:rFonts w:ascii="仿宋" w:eastAsia="仿宋" w:hAnsi="仿宋" w:cs="仿宋" w:hint="eastAsia"/>
          <w:sz w:val="28"/>
          <w:lang w:eastAsia="zh-CN"/>
        </w:rPr>
        <w:t>2. 运营计划与执行：</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制定详细的运营计划，包括生产计划、人力资源计划、设备维护计划等，确保运营活动有序展开。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实施有效的执行机制，监督运营计划的执行，并根据实际情况及时调整。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3. 质量与安全管理：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建立质量管理体系，确保产品符合质量标准，提高客户满意度。</w:t>
      </w:r>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r>
        <w:rPr>
          <w:rFonts w:ascii="仿宋" w:eastAsia="仿宋" w:hAnsi="仿宋" w:cs="仿宋" w:hint="eastAsia"/>
          <w:sz w:val="28"/>
          <w:lang w:eastAsia="zh-CN"/>
        </w:rPr>
        <w:t xml:space="preserve">    强化安全管理，制定安全操作规程，保障员工安全与生产环境的安全。</w:t>
      </w:r>
    </w:p>
    <w:p>
      <w:pPr>
        <w:pStyle w:val="Heading2"/>
        <w:ind w:firstLine="560" w:firstLineChars="200"/>
        <w:rPr>
          <w:rFonts w:ascii="仿宋" w:eastAsia="仿宋" w:hAnsi="仿宋" w:cs="仿宋" w:hint="eastAsia"/>
          <w:sz w:val="28"/>
          <w:lang w:eastAsia="zh-CN"/>
        </w:rPr>
      </w:pPr>
      <w:bookmarkStart w:id="30" w:name="_Toc24036"/>
      <w:r>
        <w:rPr>
          <w:rFonts w:ascii="仿宋" w:eastAsia="仿宋" w:hAnsi="仿宋" w:cs="仿宋" w:hint="eastAsia"/>
          <w:sz w:val="28"/>
          <w:lang w:eastAsia="zh-CN"/>
        </w:rPr>
        <w:t>(二)、人员培训与知识转移</w:t>
      </w:r>
      <w:bookmarkEnd w:id="30"/>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为确保团队的持续发展和知识积累，我们将实施全面的人员培训与知识转移计划：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1. 培训计划设计：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制定全员培训计划，包括技术培训、管理培训、安全培训等，提高团队整体素质。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根据个人发展需要，制定个性化培训计划，促使员工在职业生涯中不断成长。</w:t>
      </w:r>
    </w:p>
    <w:p>
      <w:pPr>
        <w:ind w:firstLine="560" w:firstLineChars="200"/>
        <w:rPr>
          <w:rFonts w:ascii="仿宋" w:eastAsia="仿宋" w:hAnsi="仿宋" w:cs="仿宋" w:hint="eastAsia"/>
          <w:sz w:val="28"/>
        </w:rPr>
      </w:pPr>
      <w:r>
        <w:rPr>
          <w:rFonts w:ascii="仿宋" w:eastAsia="仿宋" w:hAnsi="仿宋" w:cs="仿宋" w:hint="eastAsia"/>
          <w:sz w:val="28"/>
          <w:lang w:eastAsia="zh-CN"/>
        </w:rPr>
        <w:t>2. 知识转移机制：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建立知识分享平台，鼓励团队成员分享专业知识和经验。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实施xxx制度，促使老员工将经验传承给新员工，实现知识的有机延续。</w:t>
      </w:r>
    </w:p>
    <w:p>
      <w:pPr>
        <w:pStyle w:val="Heading2"/>
        <w:ind w:firstLine="560" w:firstLineChars="200"/>
        <w:rPr>
          <w:rFonts w:ascii="仿宋" w:eastAsia="仿宋" w:hAnsi="仿宋" w:cs="仿宋" w:hint="eastAsia"/>
          <w:sz w:val="28"/>
          <w:lang w:eastAsia="zh-CN"/>
        </w:rPr>
      </w:pPr>
      <w:bookmarkStart w:id="31" w:name="_Toc2506"/>
      <w:r>
        <w:rPr>
          <w:rFonts w:ascii="仿宋" w:eastAsia="仿宋" w:hAnsi="仿宋" w:cs="仿宋" w:hint="eastAsia"/>
          <w:sz w:val="28"/>
          <w:lang w:eastAsia="zh-CN"/>
        </w:rPr>
        <w:t>(三)、设备维护与保养</w:t>
      </w:r>
      <w:bookmarkEnd w:id="31"/>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为确保设备的稳定运行和寿命的延长，我们将采取科学的设备维护与保养策略：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制定维护计划：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制定设备维护计划，包括定期保养、预防性维护和紧急维修，确保设备运行的可靠性和稳定性。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通过先进的维护管理系统，实现对设备状态的实时监测和分析。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2. 培训维护人员：</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2" w:history="1">
        <w:r>
          <w:rPr>
            <w:rFonts w:ascii="SimSun" w:eastAsia="SimSun" w:hAnsi="SimSun" w:cs="SimSun"/>
            <w:b/>
            <w:bCs/>
            <w:color w:val="0000EE"/>
            <w:kern w:val="0"/>
            <w:sz w:val="30"/>
            <w:szCs w:val="30"/>
            <w:u w:val="single" w:color="0000EE"/>
          </w:rPr>
          <w:t>https://d.book118.com/747053016004006044</w:t>
        </w:r>
      </w:hyperlink>
    </w:p>
    <w:p>
      <w:pPr>
        <w:ind w:firstLine="560" w:firstLineChars="200"/>
        <w:rPr>
          <w:rFonts w:ascii="仿宋" w:eastAsia="仿宋" w:hAnsi="仿宋" w:cs="仿宋" w:hint="eastAsia"/>
          <w:sz w:val="28"/>
        </w:rPr>
      </w:pPr>
    </w:p>
    <w:sectPr>
      <w:headerReference w:type="default" r:id="rId43"/>
      <w:footerReference w:type="default" r:id="rId44"/>
      <w:type w:val="nextPage"/>
      <w:pgSz w:w="11906" w:h="16838"/>
      <w:pgMar w:top="1440" w:right="1800" w:bottom="1440" w:left="1800" w:header="851" w:footer="992" w:gutter="0"/>
      <w:pgNumType w:start="20"/>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特种高分子材料合作协议书</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特种高分子材料合作协议书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特种高分子材料合作协议书</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特种高分子材料合作协议书</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特种高分子材料合作协议书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特种高分子材料合作协议书</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特种高分子材料合作协议书</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特种高分子材料合作协议书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特种高分子材料合作协议书</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特种高分子材料合作协议书</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特种高分子材料合作协议书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特种高分子材料合作协议书</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特种高分子材料合作协议书</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特种高分子材料合作协议书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特种高分子材料合作协议书</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特种高分子材料合作协议书</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特种高分子材料合作协议书</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特种高分子材料合作协议书</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特种高分子材料合作协议书</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特种高分子材料合作协议书</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6"/>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D874161"/>
    <w:rsid w:val="2CCA2C19"/>
    <w:rsid w:val="2D874161"/>
    <w:rsid w:val="79F24EA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yperlink" Target="https://d.book118.com/747053016004006044" TargetMode="External" /><Relationship Id="rId43" Type="http://schemas.openxmlformats.org/officeDocument/2006/relationships/header" Target="header20.xml" /><Relationship Id="rId44" Type="http://schemas.openxmlformats.org/officeDocument/2006/relationships/footer" Target="footer20.xml" /><Relationship Id="rId45" Type="http://schemas.openxmlformats.org/officeDocument/2006/relationships/theme" Target="theme/theme1.xml" /><Relationship Id="rId46"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30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小丑</dc:creator>
  <cp:lastModifiedBy>小丑</cp:lastModifiedBy>
  <cp:revision>1</cp:revision>
  <dcterms:created xsi:type="dcterms:W3CDTF">2024-02-18T23:53:00Z</dcterms:created>
  <dcterms:modified xsi:type="dcterms:W3CDTF">2024-02-18T23:54:12Z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34E510E417844CC08BD5A87A9D8830DE_11</vt:lpwstr>
  </property>
  <property fmtid="{D5CDD505-2E9C-101B-9397-08002B2CF9AE}" pid="3" name="KSOProductBuildVer">
    <vt:lpwstr>2052-12.1.0.16250</vt:lpwstr>
  </property>
</Properties>
</file>