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bookmarkStart w:id="0" w:name="高分子材料的生物相容性与生物应用"/>
    <w:p>
      <w:pPr>
        <w:pStyle w:val="Heading1"/>
      </w:pPr>
      <w:r>
        <w:t>高分子材料的生物相容性与生物应用</w:t>
      </w:r>
    </w:p>
    <w:bookmarkStart w:id="1" w:name="引言"/>
    <w:p>
      <w:pPr>
        <w:pStyle w:val="Heading2"/>
      </w:pPr>
      <w:r>
        <w:t>1. 引言</w:t>
      </w:r>
    </w:p>
    <w:bookmarkStart w:id="2" w:name="高分子材料简介"/>
    <w:p>
      <w:pPr>
        <w:pStyle w:val="Heading3"/>
      </w:pPr>
      <w:r>
        <w:t>1.1 高分子材料简介</w:t>
      </w:r>
    </w:p>
    <w:p>
      <w:pPr>
        <w:pStyle w:val="FirstParagraph"/>
      </w:pPr>
      <w:r>
        <w:t>高分子材料是由众多原子或原子团通过共价键相互连接形成的大分子，具有重量轻、耐腐蚀、绝缘性能好等特性，被广泛应用于日常生活、工业生产及高科技领域。随着科学技术的不断发展，高分子材料在生物领域的应用也日益广泛。</w:t>
      </w:r>
    </w:p>
    <w:bookmarkEnd w:id="2"/>
    <w:bookmarkStart w:id="3" w:name="生物相容性的概念与意义"/>
    <w:p>
      <w:pPr>
        <w:pStyle w:val="Heading3"/>
      </w:pPr>
      <w:r>
        <w:t>1.2 生物相容性的概念与意义</w:t>
      </w:r>
    </w:p>
    <w:p>
      <w:pPr>
        <w:pStyle w:val="FirstParagraph"/>
      </w:pPr>
      <w:r>
        <w:t>生物相容性是指材料与生物体组织相互作用时所表现出的性能。具有良好生物相容性的材料在生物体内使用时，不会引起明显的生物体不良反应，如免疫排斥、炎症等。生物相容性对于高分子材料在生物领域的应用至关重要，它直接关系到高分子材料在生物体内的使用寿命和治疗效果。</w:t>
      </w:r>
    </w:p>
    <w:bookmarkEnd w:id="3"/>
    <w:bookmarkStart w:id="4" w:name="生物应用领域概述"/>
    <w:p>
      <w:pPr>
        <w:pStyle w:val="Heading3"/>
      </w:pPr>
      <w:r>
        <w:t>1.3 生物应用领域概述</w:t>
      </w:r>
    </w:p>
    <w:p>
      <w:pPr>
        <w:pStyle w:val="FirstParagraph"/>
      </w:pPr>
      <w:r>
        <w:t>随着生物科学和材料科学的交叉发展，高分子材料在生物领域的应用日益广泛。其主要应用领域包括生物医学、生物农业、生物环保和生物能源等。这些应用不仅提高了生物领域的技术水平，还为人类生活带来了诸多便利。本章将重点介绍高分子材料在生物相容性和生物应用方面的研究进展。</w:t>
      </w:r>
    </w:p>
    <w:bookmarkEnd w:id="4"/>
    <w:bookmarkEnd w:id="1"/>
    <w:bookmarkStart w:id="5" w:name="高分子材料的生物相容性"/>
    <w:p>
      <w:pPr>
        <w:pStyle w:val="Heading2"/>
      </w:pPr>
      <w:r>
        <w:t>2. 高分子材料的生物相容性</w:t>
      </w:r>
    </w:p>
    <w:bookmarkStart w:id="6" w:name="生物相容性的评价方法"/>
    <w:p>
      <w:pPr>
        <w:pStyle w:val="Heading3"/>
      </w:pPr>
      <w:r>
        <w:t>2.1 生物相容性的评价方法</w:t>
      </w:r>
    </w:p>
    <w:p>
      <w:pPr>
        <w:pStyle w:val="FirstParagraph"/>
      </w:pPr>
      <w:r>
        <w:t>生物相容性是评估材料是否适合生物体内应用的关键指标。评价方法主要包括体外实验和体内实验。体外实验如细胞毒性测试（MTT法、XTT法等）、溶血性试验、补体激活试验等；体内实验包括急性毒性试验、慢性毒性试验、免疫毒性试验等。通过这些方法可全面评价材料的生物相容性。</w:t>
      </w:r>
    </w:p>
    <w:bookmarkEnd w:id="6"/>
    <w:bookmarkStart w:id="7" w:name="高分子材料的生物相容性特点"/>
    <w:p>
      <w:pPr>
        <w:pStyle w:val="Heading3"/>
      </w:pPr>
      <w:r>
        <w:t>2.2 高分子材料的生物相容性特点</w:t>
      </w:r>
    </w:p>
    <w:p>
      <w:pPr>
        <w:pStyle w:val="FirstParagraph"/>
      </w:pPr>
      <w:r>
        <w:t>高分子材料具有以下生物相容性特点：</w:t>
      </w:r>
    </w:p>
    <w:p>
      <w:pPr>
        <w:pStyle w:val="Compact"/>
        <w:numPr>
          <w:ilvl w:val="0"/>
          <w:numId w:val="19"/>
        </w:numPr>
      </w:pPr>
      <w:r>
        <w:rPr>
          <w:b/>
          <w:bCs/>
        </w:rPr>
        <w:t>无毒性</w:t>
      </w:r>
      <w:r>
        <w:t>：高分子材料在生物体内不产生有害物质，对细胞无毒性作用。</w:t>
      </w:r>
    </w:p>
    <w:p>
      <w:pPr>
        <w:pStyle w:val="Compact"/>
        <w:numPr>
          <w:ilvl w:val="0"/>
          <w:numId w:val="19"/>
        </w:numPr>
        <w:sectPr>
          <w:pgSz w:w="12240" w:h="15840"/>
          <w:pgMar w:top="1440" w:right="1800" w:bottom="1440" w:left="1800" w:header="720" w:footer="720" w:gutter="0"/>
          <w:cols w:space="720"/>
        </w:sectPr>
      </w:pPr>
      <w:r>
        <w:rPr>
          <w:b/>
          <w:bCs/>
        </w:rPr>
        <w:t>生物可降解性</w:t>
      </w:r>
      <w:r>
        <w:t>：部分高分子材料可在生物体内分解为无毒小分子，减少环境污染。</w:t>
      </w:r>
    </w:p>
    <w:p>
      <w:pPr>
        <w:pStyle w:val="Compact"/>
        <w:numPr>
          <w:ilvl w:val="0"/>
          <w:numId w:val="19"/>
        </w:numPr>
      </w:pPr>
      <w:r>
        <w:rPr>
          <w:b/>
          <w:bCs/>
        </w:rPr>
        <w:t>生物适应性</w:t>
      </w:r>
      <w:r>
        <w:t>：高分子材料与生物组织之间的相容性好，能够适应生物体内的环境。</w:t>
      </w:r>
    </w:p>
    <w:p>
      <w:pPr>
        <w:pStyle w:val="Compact"/>
        <w:numPr>
          <w:ilvl w:val="0"/>
          <w:numId w:val="19"/>
        </w:numPr>
      </w:pPr>
      <w:r>
        <w:rPr>
          <w:b/>
          <w:bCs/>
        </w:rPr>
        <w:t>表面性质</w:t>
      </w:r>
      <w:r>
        <w:t>：高分子材料表面易于细胞附着和生长，有利于细胞识别和黏附。</w:t>
      </w:r>
    </w:p>
    <w:bookmarkEnd w:id="7"/>
    <w:bookmarkStart w:id="8" w:name="影响生物相容性的因素"/>
    <w:p>
      <w:pPr>
        <w:pStyle w:val="Heading3"/>
      </w:pPr>
      <w:r>
        <w:t>2.3 影响生物相容性的因素</w:t>
      </w:r>
    </w:p>
    <w:p>
      <w:pPr>
        <w:pStyle w:val="FirstParagraph"/>
      </w:pPr>
      <w:r>
        <w:t>影响高分子材料生物相容性的因素主要包括：</w:t>
      </w:r>
    </w:p>
    <w:p>
      <w:pPr>
        <w:pStyle w:val="Compact"/>
        <w:numPr>
          <w:ilvl w:val="0"/>
          <w:numId w:val="19"/>
        </w:numPr>
      </w:pPr>
      <w:r>
        <w:rPr>
          <w:b/>
          <w:bCs/>
        </w:rPr>
        <w:t>材料组成</w:t>
      </w:r>
      <w:r>
        <w:t>：材料本身的化学组成直接影响其生物相容性，如聚乳酸（PLA）、聚乙醇酸（PGA）等生物可降解材料具有较好的生物相容性。</w:t>
      </w:r>
    </w:p>
    <w:p>
      <w:pPr>
        <w:pStyle w:val="Compact"/>
        <w:numPr>
          <w:ilvl w:val="0"/>
          <w:numId w:val="19"/>
        </w:numPr>
      </w:pPr>
      <w:r>
        <w:rPr>
          <w:b/>
          <w:bCs/>
        </w:rPr>
        <w:t>分子量</w:t>
      </w:r>
      <w:r>
        <w:t>：高分子材料的分子量影响其降解速度和降解产物，从而影响生物相容性。</w:t>
      </w:r>
    </w:p>
    <w:p>
      <w:pPr>
        <w:pStyle w:val="Compact"/>
        <w:numPr>
          <w:ilvl w:val="0"/>
          <w:numId w:val="19"/>
        </w:numPr>
      </w:pPr>
      <w:r>
        <w:rPr>
          <w:b/>
          <w:bCs/>
        </w:rPr>
        <w:t>结晶度</w:t>
      </w:r>
      <w:r>
        <w:t>：结晶度高的高分子材料降解速度较慢，生物相容性相对较差。</w:t>
      </w:r>
    </w:p>
    <w:p>
      <w:pPr>
        <w:pStyle w:val="Compact"/>
        <w:numPr>
          <w:ilvl w:val="0"/>
          <w:numId w:val="19"/>
        </w:numPr>
      </w:pPr>
      <w:r>
        <w:rPr>
          <w:b/>
          <w:bCs/>
        </w:rPr>
        <w:t>表面形态</w:t>
      </w:r>
      <w:r>
        <w:t>：材料表面的粗糙度、孔隙率等形态因素影响细胞在材料表面的附着和生长。</w:t>
      </w:r>
    </w:p>
    <w:p>
      <w:pPr>
        <w:pStyle w:val="Compact"/>
        <w:numPr>
          <w:ilvl w:val="0"/>
          <w:numId w:val="19"/>
        </w:numPr>
      </w:pPr>
      <w:r>
        <w:rPr>
          <w:b/>
          <w:bCs/>
        </w:rPr>
        <w:t>加工工艺</w:t>
      </w:r>
      <w:r>
        <w:t>：加工过程中可能引入的添加剂、残留溶剂等影响生物相容性。</w:t>
      </w:r>
    </w:p>
    <w:p>
      <w:pPr>
        <w:pStyle w:val="FirstParagraph"/>
      </w:pPr>
      <w:r>
        <w:t>通过以上分析，我们可以看出高分子材料的生物相容性对其在生物领域的应用具有重要意义。为了满足不同应用领域的需求，研究者需不断优化和改进高分子材料的生物相容性。</w:t>
      </w:r>
    </w:p>
    <w:bookmarkEnd w:id="8"/>
    <w:bookmarkEnd w:id="5"/>
    <w:bookmarkStart w:id="9" w:name="生物医用高分子材料"/>
    <w:p>
      <w:pPr>
        <w:pStyle w:val="Heading2"/>
      </w:pPr>
      <w:r>
        <w:t>3. 生物医用高分子材料</w:t>
      </w:r>
    </w:p>
    <w:bookmarkStart w:id="10" w:name="生物医用高分子材料的分类"/>
    <w:p>
      <w:pPr>
        <w:pStyle w:val="Heading3"/>
      </w:pPr>
      <w:r>
        <w:t>3.1 生物医用高分子材料的分类</w:t>
      </w:r>
    </w:p>
    <w:p>
      <w:pPr>
        <w:pStyle w:val="FirstParagraph"/>
      </w:pPr>
      <w:r>
        <w:t>生物医用高分子材料是一类在生物医学领域具有广泛应用的材料，它们的分类方式多样，通常可以根据来源、结构和性质进行分类。</w:t>
      </w:r>
    </w:p>
    <w:p>
      <w:pPr>
        <w:pStyle w:val="BodyText"/>
      </w:pPr>
      <w:r>
        <w:t>首先，根据来源，生物医用高分子材料可以分为天然高分子材料和合成高分子材料两大类。天然高分子材料如胶原蛋白、纤维素、壳聚糖等，具有良好的生物相容性和降解性；合成高分子材料如聚乙烯、聚丙烯、聚乳酸等，具有较好的机械性能和加工性能。</w:t>
      </w:r>
    </w:p>
    <w:p>
      <w:pPr>
        <w:pStyle w:val="BodyText"/>
      </w:pPr>
      <w:r>
        <w:t>其次，根据结构，生物医用高分子材料可分为线型、支链型和交联型。线型高分子材料如聚乳酸（PLA）、聚乙醇酸（PGA）等，具有较好的降解性能；支链型高分子材料如聚丙烯酸（PAA）等，具有良好的水溶性；交联型高分子材料如羟基磷灰石等，具有较高的机械强度。</w:t>
      </w:r>
    </w:p>
    <w:p>
      <w:pPr>
        <w:pStyle w:val="BodyText"/>
        <w:sectPr>
          <w:type w:val="nextPage"/>
          <w:pgSz w:w="12240" w:h="15840"/>
          <w:pgMar w:top="1440" w:right="1800" w:bottom="1440" w:left="1800" w:header="720" w:footer="720" w:gutter="0"/>
          <w:pgNumType w:start="2"/>
          <w:cols w:space="720"/>
          <w:titlePg w:val="0"/>
        </w:sectPr>
      </w:pPr>
      <w:r>
        <w:t>最后，根据性质，生物医用高分子材料可分为生物可降解和生物不可降解两大类。生物可降解材料如聚乳酸-羟基乙酸共聚物（PLGA）、聚己内酰胺（PCL）等，可以在体内逐渐降解并被吸收；生物不可降解材料如聚乙烯、聚丙烯等，在体内长期稳定存在。</w:t>
      </w:r>
    </w:p>
    <w:bookmarkEnd w:id="10"/>
    <w:bookmarkStart w:id="11" w:name="生物医用高分子材料的应用"/>
    <w:p>
      <w:pPr>
        <w:pStyle w:val="Heading3"/>
      </w:pPr>
      <w:r>
        <w:t>3.2 生物医用高分子材料的应用</w:t>
      </w:r>
    </w:p>
    <w:p>
      <w:pPr>
        <w:pStyle w:val="FirstParagraph"/>
      </w:pPr>
      <w:r>
        <w:t>生物医用高分子材料在生物医学领域具有广泛的应用，主要包括以下几个方面：</w:t>
      </w:r>
    </w:p>
    <w:p>
      <w:pPr>
        <w:pStyle w:val="Compact"/>
        <w:numPr>
          <w:ilvl w:val="0"/>
          <w:numId w:val="50"/>
        </w:numPr>
      </w:pPr>
      <w:r>
        <w:t>骨折固定：生物医用高分子材料可作为骨折固定的内固定器材，如聚乳酸、羟基磷灰石等。</w:t>
      </w:r>
    </w:p>
    <w:p>
      <w:pPr>
        <w:pStyle w:val="Compact"/>
        <w:numPr>
          <w:ilvl w:val="0"/>
          <w:numId w:val="50"/>
        </w:numPr>
      </w:pPr>
      <w:r>
        <w:t>组织工程：生物医用高分子材料可作为细胞支架，用于引导和促进细胞生长、组织再生，如胶原蛋白、明胶等。</w:t>
      </w:r>
    </w:p>
    <w:p>
      <w:pPr>
        <w:pStyle w:val="Compact"/>
        <w:numPr>
          <w:ilvl w:val="0"/>
          <w:numId w:val="50"/>
        </w:numPr>
      </w:pPr>
      <w:r>
        <w:t>药物载体：生物医用高分子材料可制备成纳米粒子、微球等药物载体，实现药物的缓释和靶向释放，如聚乳酸-羟基乙酸共聚物、聚己内酰胺等。</w:t>
      </w:r>
    </w:p>
    <w:p>
      <w:pPr>
        <w:pStyle w:val="Compact"/>
        <w:numPr>
          <w:ilvl w:val="0"/>
          <w:numId w:val="50"/>
        </w:numPr>
      </w:pPr>
      <w:r>
        <w:t>生物医用敷料：生物医用高分子材料可用于制备创面敷料，具有抗菌、促进愈合等作用，如壳聚糖、纤维素等。</w:t>
      </w:r>
    </w:p>
    <w:bookmarkEnd w:id="11"/>
    <w:bookmarkStart w:id="12" w:name="发展趋势与挑战"/>
    <w:p>
      <w:pPr>
        <w:pStyle w:val="Heading3"/>
      </w:pPr>
      <w:r>
        <w:t>3.3 发展趋势与挑战</w:t>
      </w:r>
    </w:p>
    <w:p>
      <w:pPr>
        <w:pStyle w:val="FirstParagraph"/>
      </w:pPr>
      <w:r>
        <w:t>生物医用高分子材料在生物医学领域的发展趋势主要表现在以下几个方面：</w:t>
      </w:r>
    </w:p>
    <w:p>
      <w:pPr>
        <w:pStyle w:val="Compact"/>
        <w:numPr>
          <w:ilvl w:val="0"/>
          <w:numId w:val="50"/>
        </w:numPr>
      </w:pPr>
      <w:r>
        <w:t>功能化：通过改性、复合等手段，赋予生物医用高分子材料更多功能，如抗菌、药物缓释等。</w:t>
      </w:r>
    </w:p>
    <w:p>
      <w:pPr>
        <w:pStyle w:val="Compact"/>
        <w:numPr>
          <w:ilvl w:val="0"/>
          <w:numId w:val="50"/>
        </w:numPr>
      </w:pPr>
      <w:r>
        <w:t>个性化：针对不同疾病和患者需求，设计和制备具有特定性能的生物医用高分子材料。</w:t>
      </w:r>
    </w:p>
    <w:p>
      <w:pPr>
        <w:pStyle w:val="Compact"/>
        <w:numPr>
          <w:ilvl w:val="0"/>
          <w:numId w:val="50"/>
        </w:numPr>
      </w:pPr>
      <w:r>
        <w:t>绿色环保：采用生物可降解材料，减少环境污染，提高生物医用高分子材料的可持续性。</w:t>
      </w:r>
    </w:p>
    <w:p>
      <w:pPr>
        <w:pStyle w:val="FirstParagraph"/>
      </w:pPr>
      <w:r>
        <w:t>然而，生物医用高分子材料在发展过程中也面临一些挑战，如生物相容性、降解性能、机械性能等方面的平衡与优化，以及生产成本和临床应用等问题。为应对这些挑战，未来研究将重点开展以下几个方面的工作：</w:t>
      </w:r>
    </w:p>
    <w:p>
      <w:pPr>
        <w:pStyle w:val="Compact"/>
        <w:numPr>
          <w:ilvl w:val="0"/>
          <w:numId w:val="50"/>
        </w:numPr>
      </w:pPr>
      <w:r>
        <w:t>深入研究生物医用高分子材料的生物相容性、降解性能等基础问题，提高材料性能。</w:t>
      </w:r>
    </w:p>
    <w:p>
      <w:pPr>
        <w:pStyle w:val="Compact"/>
        <w:numPr>
          <w:ilvl w:val="0"/>
          <w:numId w:val="50"/>
        </w:numPr>
      </w:pPr>
      <w:r>
        <w:t>发展新型生物医用高分子材料，拓宽应用领域。</w:t>
      </w:r>
    </w:p>
    <w:p>
      <w:pPr>
        <w:pStyle w:val="Compact"/>
        <w:numPr>
          <w:ilvl w:val="0"/>
          <w:numId w:val="50"/>
        </w:numPr>
      </w:pPr>
      <w:r>
        <w:t>探索高效、绿色、低成本的制备方法，促进生物医用高分子材料的临床应用。</w:t>
      </w:r>
    </w:p>
    <w:bookmarkEnd w:id="12"/>
    <w:bookmarkEnd w:id="9"/>
    <w:bookmarkStart w:id="13" w:name="高分子材料在生物医学领域的应用"/>
    <w:p>
      <w:pPr>
        <w:pStyle w:val="Heading2"/>
      </w:pPr>
      <w:r>
        <w:t>4. 高分子材料在生物医学领域的应用</w:t>
      </w:r>
    </w:p>
    <w:bookmarkStart w:id="14" w:name="生物传感器"/>
    <w:p>
      <w:pPr>
        <w:pStyle w:val="Heading3"/>
      </w:pPr>
      <w:r>
        <w:t>4.1 生物传感器</w:t>
      </w:r>
    </w:p>
    <w:p>
      <w:pPr>
        <w:pStyle w:val="FirstParagraph"/>
        <w:sectPr>
          <w:type w:val="nextPage"/>
          <w:pgSz w:w="12240" w:h="15840"/>
          <w:pgMar w:top="1440" w:right="1800" w:bottom="1440" w:left="1800" w:header="720" w:footer="720" w:gutter="0"/>
          <w:pgNumType w:start="3"/>
          <w:cols w:space="720"/>
          <w:titlePg w:val="0"/>
        </w:sectPr>
      </w:pPr>
    </w:p>
    <w:p>
      <w:pPr>
        <w:pStyle w:val="FirstParagraph"/>
      </w:pPr>
      <w:r>
        <w:t>生物传感器是一种能够检测特定生物分子的装置，其核心部分是敏感元件和生物识别元件。高分子材料因其良好的生物相容性和可加工性，在生物传感器中得到了广泛应用。例如，聚苯胺、聚吡咯等导电高分子材料可用作敏感元件，用于检测DNA、蛋白质等生物分子。此外，生物可降解高分子材料如聚乳酸（PLA）和聚乳酸-羟基乙酸共聚物（PLGA）可用于制备药物控释系统，实现生物分子的持续、稳定释放。</w:t>
      </w:r>
    </w:p>
    <w:bookmarkEnd w:id="14"/>
    <w:bookmarkStart w:id="15" w:name="组织工程"/>
    <w:p>
      <w:pPr>
        <w:pStyle w:val="Heading3"/>
      </w:pPr>
      <w:r>
        <w:t>4.2 组织工程</w:t>
      </w:r>
    </w:p>
    <w:p>
      <w:pPr>
        <w:pStyle w:val="FirstParagraph"/>
      </w:pPr>
      <w:r>
        <w:t>组织工程是利用生物材料、细胞和生物活性分子构建具有特定结构和功能的组织或器官的技术。高分子材料在组织工程中具有重要作用，如聚羟基乙酸（PGA）、聚乳酸（PLA）和胶原蛋白等。这些材料具有良好的生物相容性和生物可降解性，可用作支架材料，为细胞提供生长和分化的支持。此外，高分子材料还可用于制备纳米纤维支架，模拟细胞外基质的结构和功能，促进细胞附着、增殖和分化。</w:t>
      </w:r>
    </w:p>
    <w:bookmarkEnd w:id="15"/>
    <w:bookmarkStart w:id="16" w:name="药物载体"/>
    <w:p>
      <w:pPr>
        <w:pStyle w:val="Heading3"/>
      </w:pPr>
      <w:r>
        <w:t>4.3 药物载体</w:t>
      </w:r>
    </w:p>
    <w:p>
      <w:pPr>
        <w:pStyle w:val="FirstParagraph"/>
      </w:pPr>
      <w:r>
        <w:t>药物载体是指将药物运送到病变部位并释放的载体系统。高分子材料在药物载体领域具有广泛的应用前景，如聚合物纳米粒、脂质体、聚合物胶束等。这些载体系统具有以下优点：提高药物溶解度、降低毒副作用、实现靶向给药和缓释控释。常用的高分子载体材料包括聚乳酸-羟基乙酸共聚物（PLGA）、聚乙烯醇（PVA）和壳聚糖等。通过调节高分子材料的组成、结构和形态，可以实现不同药物的精准递送和治疗。</w:t>
      </w:r>
    </w:p>
    <w:p>
      <w:pPr>
        <w:pStyle w:val="BodyText"/>
      </w:pPr>
      <w:r>
        <w:t>综上所述，高分子材料在生物医学领域具有广泛的应用前景，包括生物传感器、组织工程和药物载体等方面。随着高分子材料科学和生物技术的发展，未来将有更多具有优良生物相容性和生物应用功能的高分子材料问世，为人类健康事业做出更大贡献。</w:t>
      </w:r>
    </w:p>
    <w:bookmarkEnd w:id="16"/>
    <w:bookmarkEnd w:id="13"/>
    <w:bookmarkStart w:id="17" w:name="高分子材料在生物农业领域的应用"/>
    <w:p>
      <w:pPr>
        <w:pStyle w:val="Heading2"/>
      </w:pPr>
      <w:r>
        <w:t>5 高分子材料在生物农业领域的应用</w:t>
      </w:r>
    </w:p>
    <w:bookmarkStart w:id="18" w:name="生物农药"/>
    <w:p>
      <w:pPr>
        <w:pStyle w:val="Heading3"/>
      </w:pPr>
      <w:r>
        <w:t>5.1 生物农药</w:t>
      </w:r>
    </w:p>
    <w:p>
      <w:pPr>
        <w:pStyle w:val="FirstParagraph"/>
      </w:pPr>
      <w:r>
        <w:t>高分子材料在生物农业领域的应用正逐渐显示出其独特的优势。在生物农药方面，高分子材料主要用作农药的载体和控释系统。通过高分子材料对农药的有效负载和控释，不仅可以提高农药的利用率，还可以减少对环境的污染。</w:t>
      </w:r>
    </w:p>
    <w:p>
      <w:pPr>
        <w:pStyle w:val="BodyText"/>
      </w:pPr>
      <w:r>
        <w:t>控释农药主要是通过高分子材料的特殊结构设计，实现对农药分子的缓慢释放，延长农药的持效期。这种方式可以减少农药施用的次数，降低农药在农产品中的残留，保障食品安全。</w:t>
      </w:r>
    </w:p>
    <w:bookmarkEnd w:id="18"/>
    <w:bookmarkStart w:id="19" w:name="生物肥料"/>
    <w:p>
      <w:pPr>
        <w:pStyle w:val="Heading3"/>
      </w:pPr>
      <w:r>
        <w:t>5.2 生物肥料</w:t>
      </w:r>
    </w:p>
    <w:p>
      <w:pPr>
        <w:pStyle w:val="FirstParagraph"/>
        <w:sectPr>
          <w:type w:val="nextPage"/>
          <w:pgSz w:w="12240" w:h="15840"/>
          <w:pgMar w:top="1440" w:right="1800" w:bottom="1440" w:left="1800" w:header="720" w:footer="720" w:gutter="0"/>
          <w:pgNumType w:start="4"/>
          <w:cols w:space="720"/>
          <w:titlePg w:val="0"/>
        </w:sectPr>
      </w:pPr>
      <w:r>
        <w:t>在生物肥料领域，高分子材料主要应用于缓释肥料和智能肥料。缓释肥料通过高分子材料对养分的控释，能够使肥料中的营养元素在较长的时间内缓慢释放，满足作物生长的需求。</w:t>
      </w:r>
    </w:p>
    <w:p>
      <w:pPr>
        <w:pStyle w:val="BodyText"/>
      </w:pPr>
      <w:r>
        <w:t>智能肥料则是利用高分子材料的刺激响应性，根据作物生长的需要和环境因素的变化，智能调控肥料的释放，从而实现精准施肥，减少资源浪费。</w:t>
      </w:r>
    </w:p>
    <w:bookmarkEnd w:id="19"/>
    <w:bookmarkStart w:id="20" w:name="农业废弃物处理"/>
    <w:p>
      <w:pPr>
        <w:pStyle w:val="Heading3"/>
      </w:pPr>
      <w:r>
        <w:t>5.3 农业废弃物处理</w:t>
      </w:r>
    </w:p>
    <w:p>
      <w:pPr>
        <w:pStyle w:val="FirstParagraph"/>
      </w:pPr>
      <w:r>
        <w:t>高分子材料在农业废弃物处理方面也发挥着重要作用。农业废弃物如秸秆、稻壳等含有丰富的生物质能，通过高分子材料的改性处理，可以提高农业废弃物的利用率。</w:t>
      </w:r>
    </w:p>
    <w:p>
      <w:pPr>
        <w:pStyle w:val="BodyText"/>
      </w:pPr>
      <w:r>
        <w:t>例如，利用高分子材料制备的生物质复合材料，可以将农业废弃物转化为高性能的建筑材料。此外，通过高分子材料对农业废弃物进行微生物降解预处理，可以加快其降解速度，用于生产生物燃料和有机肥料，实现农业废弃物的资源化利用。</w:t>
      </w:r>
    </w:p>
    <w:p>
      <w:pPr>
        <w:pStyle w:val="BodyText"/>
      </w:pPr>
      <w:r>
        <w:t>总之，高分子材料在生物农业领域的应用，不仅提高了农业生产的效率，而且促进了农业的可持续发展，减少了农业活动对环境的影响。随着高分子材料科学的进步，未来在生物农业领域的应用将更加广泛和深入。</w:t>
      </w:r>
    </w:p>
    <w:bookmarkEnd w:id="20"/>
    <w:bookmarkEnd w:id="17"/>
    <w:bookmarkStart w:id="21" w:name="高分子材料在生物环保领域的应用"/>
    <w:p>
      <w:pPr>
        <w:pStyle w:val="Heading2"/>
      </w:pPr>
      <w:r>
        <w:t>6. 高分子材料在生物环保领域的应用</w:t>
      </w:r>
    </w:p>
    <w:bookmarkStart w:id="22" w:name="生物降解塑料"/>
    <w:p>
      <w:pPr>
        <w:pStyle w:val="Heading3"/>
      </w:pPr>
      <w:r>
        <w:t>6.1 生物降解塑料</w:t>
      </w:r>
    </w:p>
    <w:p>
      <w:pPr>
        <w:pStyle w:val="FirstParagraph"/>
      </w:pPr>
      <w:r>
        <w:t>生物降解塑料是一类能够在自然环境中通过微生物的作用分解成水和二氧化碳的塑料。这类高分子材料在环保领域具有重要作用，可以有效减少白色污染问题。生物降解塑料主要包括聚乳酸（PLA）、聚羟基烷酸（PHA）、淀粉基塑料等。它们被广泛用于生产购物袋、一次性餐具、农业地膜等。</w:t>
      </w:r>
    </w:p>
    <w:bookmarkStart w:id="23" w:name="生物降解塑料的制备方法"/>
    <w:p>
      <w:pPr>
        <w:pStyle w:val="Heading4"/>
      </w:pPr>
      <w:r>
        <w:t>6.1.1 生物降解塑料的制备方法</w:t>
      </w:r>
    </w:p>
    <w:p>
      <w:pPr>
        <w:pStyle w:val="FirstParagraph"/>
      </w:pPr>
      <w:r>
        <w:t>生物降解塑料的制备方法主要有生物合成、化学合成和改性等。其中，生物合成法是利用微生物发酵生产单体，再通过聚合反应得到生物降解塑料；化学合成法则采用化学原料制备生物降解塑料；改性方法则是通过物理或化学手段对现有塑料进行改性，提高其生物降解性能。</w:t>
      </w:r>
    </w:p>
    <w:bookmarkEnd w:id="23"/>
    <w:bookmarkStart w:id="24" w:name="生物降解塑料的应用"/>
    <w:p>
      <w:pPr>
        <w:pStyle w:val="Heading4"/>
      </w:pPr>
      <w:r>
        <w:t>6.1.2 生物降解塑料的应用</w:t>
      </w:r>
    </w:p>
    <w:p>
      <w:pPr>
        <w:pStyle w:val="FirstParagraph"/>
      </w:pPr>
      <w:r>
        <w:t>生物降解塑料在环保领域的应用主要包括以下几个方面：</w:t>
      </w:r>
    </w:p>
    <w:p>
      <w:pPr>
        <w:pStyle w:val="Compact"/>
        <w:numPr>
          <w:ilvl w:val="0"/>
          <w:numId w:val="51"/>
        </w:numPr>
      </w:pPr>
      <w:r>
        <w:t>一次性购物袋、餐具等：替代传统化石基塑料，降低环境污染。</w:t>
      </w:r>
    </w:p>
    <w:p>
      <w:pPr>
        <w:pStyle w:val="Compact"/>
        <w:numPr>
          <w:ilvl w:val="0"/>
          <w:numId w:val="51"/>
        </w:numPr>
      </w:pPr>
      <w:r>
        <w:t>农业地膜：减少农田土壤污染，提高农产品质量。</w:t>
      </w:r>
    </w:p>
    <w:p>
      <w:pPr>
        <w:pStyle w:val="Compact"/>
        <w:numPr>
          <w:ilvl w:val="0"/>
          <w:numId w:val="51"/>
        </w:numPr>
        <w:sectPr>
          <w:type w:val="nextPage"/>
          <w:pgSz w:w="12240" w:h="15840"/>
          <w:pgMar w:top="1440" w:right="1800" w:bottom="1440" w:left="1800" w:header="720" w:footer="720" w:gutter="0"/>
          <w:pgNumType w:start="5"/>
          <w:cols w:space="720"/>
          <w:titlePg w:val="0"/>
        </w:sectPr>
      </w:pPr>
      <w:r>
        <w:t>医疗器械：降低医疗废弃物处理难度，减少环境污染。</w:t>
      </w:r>
    </w:p>
    <w:bookmarkEnd w:id="24"/>
    <w:bookmarkEnd w:id="22"/>
    <w:bookmarkStart w:id="25" w:name="污水处理"/>
    <w:p>
      <w:pPr>
        <w:pStyle w:val="Heading3"/>
      </w:pPr>
      <w:r>
        <w:t>6.2 污水处理</w:t>
      </w:r>
    </w:p>
    <w:p>
      <w:pPr>
        <w:pStyle w:val="FirstParagraph"/>
      </w:pPr>
      <w:r>
        <w:t>高分子材料在污水处理领域具有重要作用，可用于制备絮凝剂、吸附剂和生物载体等。</w:t>
      </w:r>
    </w:p>
    <w:bookmarkStart w:id="26" w:name="絮凝剂"/>
    <w:p>
      <w:pPr>
        <w:pStyle w:val="Heading4"/>
      </w:pPr>
      <w:r>
        <w:t>6.2.1 絮凝剂</w:t>
      </w:r>
    </w:p>
    <w:p>
      <w:pPr>
        <w:pStyle w:val="FirstParagraph"/>
      </w:pPr>
      <w:r>
        <w:t>高分子絮凝剂如聚丙烯酰胺（PAM）、聚丙烯酸钠（PAAS）等，在污水处理中具有较好的絮凝效果，可用于去除水中悬浮物和污染物。</w:t>
      </w:r>
    </w:p>
    <w:bookmarkEnd w:id="26"/>
    <w:bookmarkStart w:id="27" w:name="吸附剂"/>
    <w:p>
      <w:pPr>
        <w:pStyle w:val="Heading4"/>
      </w:pPr>
      <w:r>
        <w:t>6.2.2 吸附剂</w:t>
      </w:r>
    </w:p>
    <w:p>
      <w:pPr>
        <w:pStyle w:val="FirstParagraph"/>
      </w:pPr>
      <w:r>
        <w:t>高分子吸附剂如聚苯乙烯（PS）树脂、聚丙烯酸（PAA）树脂等，具有良好的吸附性能，可用于去除水中的重金属离子、有机物等污染物。</w:t>
      </w:r>
    </w:p>
    <w:bookmarkEnd w:id="27"/>
    <w:bookmarkStart w:id="28" w:name="生物载体"/>
    <w:p>
      <w:pPr>
        <w:pStyle w:val="Heading4"/>
      </w:pPr>
      <w:r>
        <w:t>6.2.3 生物载体</w:t>
      </w:r>
    </w:p>
    <w:p>
      <w:pPr>
        <w:pStyle w:val="FirstParagraph"/>
      </w:pPr>
      <w:r>
        <w:t>高分子材料可作为生物载体，将生物膜固定在载体上，用于生物处理污水。如聚乙烯醇（PVA）海绵、聚丙烯（PP）纤维等。</w:t>
      </w:r>
    </w:p>
    <w:bookmarkEnd w:id="28"/>
    <w:bookmarkEnd w:id="25"/>
    <w:bookmarkStart w:id="29" w:name="空气净化"/>
    <w:p>
      <w:pPr>
        <w:pStyle w:val="Heading3"/>
      </w:pPr>
      <w:r>
        <w:t>6.3 空气净化</w:t>
      </w:r>
    </w:p>
    <w:p>
      <w:pPr>
        <w:pStyle w:val="FirstParagraph"/>
      </w:pPr>
      <w:r>
        <w:t>高分子材料在空气净化领域也有广泛应用，如制备空气过滤器、吸附剂等。</w:t>
      </w:r>
    </w:p>
    <w:bookmarkStart w:id="30" w:name="空气过滤器"/>
    <w:p>
      <w:pPr>
        <w:pStyle w:val="Heading4"/>
      </w:pPr>
      <w:r>
        <w:t>6.3.1 空气过滤器</w:t>
      </w:r>
    </w:p>
    <w:p>
      <w:pPr>
        <w:pStyle w:val="FirstParagraph"/>
      </w:pPr>
      <w:r>
        <w:t>高分子空气过滤器如聚酯纤维、聚丙烯纤维等，可用于去除空气中的颗粒物、细菌、病毒等。</w:t>
      </w:r>
    </w:p>
    <w:bookmarkEnd w:id="30"/>
    <w:bookmarkStart w:id="31" w:name="吸附剂-1"/>
    <w:p>
      <w:pPr>
        <w:pStyle w:val="Heading4"/>
      </w:pPr>
      <w:r>
        <w:t>6.3.2 吸附剂</w:t>
      </w:r>
    </w:p>
    <w:p>
      <w:pPr>
        <w:pStyle w:val="FirstParagraph"/>
      </w:pPr>
      <w:r>
        <w:t>高分子吸附剂如活性炭纤维、改性硅胶等，具有良好的吸附性能，可用于去除空气中的有害气体、异味等。</w:t>
      </w:r>
    </w:p>
    <w:p>
      <w:pPr>
        <w:pStyle w:val="BodyText"/>
      </w:pPr>
      <w:r>
        <w:t>综上所述，高分子材料在生物环保领域具有广泛的应用前景，为解决环境污染问题提供了有力支持。</w:t>
      </w:r>
    </w:p>
    <w:bookmarkEnd w:id="31"/>
    <w:bookmarkEnd w:id="29"/>
    <w:bookmarkEnd w:id="21"/>
    <w:bookmarkStart w:id="32" w:name="高分子材料在生物能源领域的应用"/>
    <w:p>
      <w:pPr>
        <w:pStyle w:val="Heading2"/>
      </w:pPr>
      <w:r>
        <w:t>7 高分子材料在生物能源领域的应用</w:t>
      </w:r>
    </w:p>
    <w:bookmarkStart w:id="33" w:name="生物燃料电池"/>
    <w:p>
      <w:pPr>
        <w:pStyle w:val="Heading3"/>
      </w:pPr>
      <w:r>
        <w:t>7.1 生物燃料电池</w:t>
      </w:r>
    </w:p>
    <w:p>
      <w:pPr>
        <w:pStyle w:val="FirstParagraph"/>
        <w:sectPr>
          <w:type w:val="nextPage"/>
          <w:pgSz w:w="12240" w:h="15840"/>
          <w:pgMar w:top="1440" w:right="1800" w:bottom="1440" w:left="1800" w:header="720" w:footer="720" w:gutter="0"/>
          <w:pgNumType w:start="6"/>
          <w:cols w:space="720"/>
          <w:titlePg w:val="0"/>
        </w:sectPr>
      </w:pPr>
    </w:p>
    <w:p>
      <w:pPr>
        <w:pStyle w:val="FirstParagraph"/>
      </w:pPr>
      <w:r>
        <w:t>生物燃料电池是一种将生物质能直接转换为电能的装置，其利用微生物作为催化剂，将有机物氧化还原反应直接转换成电能。在这一领域，高分子材料主要用作电极材料、电解质以及微生物固定化载体。例如，导电聚合物如聚苯胺、聚吡咯等，被用于制备高性能的电极材料，不仅具有良好的电化学活性，还能提供足够的表面积供微生物附着。</w:t>
      </w:r>
    </w:p>
    <w:bookmarkStart w:id="34" w:name="电极材料"/>
    <w:p>
      <w:pPr>
        <w:pStyle w:val="Heading4"/>
      </w:pPr>
      <w:r>
        <w:t>7.1.1 电极材料</w:t>
      </w:r>
    </w:p>
    <w:p>
      <w:pPr>
        <w:pStyle w:val="FirstParagraph"/>
      </w:pPr>
      <w:r>
        <w:t>导电高分子材料因其良好的生物相容性和稳定性，在生物燃料电池电极材料的应用上展现出巨大潜力。这些材料可以通过化学或电化学方法沉积在导电基底上，形成三维多孔结构，有利于提高电极与微生物的接触面积，从而增强电池的性能。</w:t>
      </w:r>
    </w:p>
    <w:bookmarkEnd w:id="34"/>
    <w:bookmarkStart w:id="35" w:name="微生物固定化"/>
    <w:p>
      <w:pPr>
        <w:pStyle w:val="Heading4"/>
      </w:pPr>
      <w:r>
        <w:t>7.1.2 微生物固定化</w:t>
      </w:r>
    </w:p>
    <w:p>
      <w:pPr>
        <w:pStyle w:val="FirstParagraph"/>
      </w:pPr>
      <w:r>
        <w:t>利用高分子材料作为微生物的固定化载体是提高生物燃料电池稳定性的关键。多种高分子材料如聚乙烯醇、海藻酸钠等，通过包埋、吸附等固定化技术，可以有效固定微生物，同时保持其生物活性。</w:t>
      </w:r>
    </w:p>
    <w:bookmarkEnd w:id="35"/>
    <w:bookmarkEnd w:id="33"/>
    <w:bookmarkStart w:id="36" w:name="太阳能电池"/>
    <w:p>
      <w:pPr>
        <w:pStyle w:val="Heading3"/>
      </w:pPr>
      <w:r>
        <w:t>7.2 太阳能电池</w:t>
      </w:r>
    </w:p>
    <w:p>
      <w:pPr>
        <w:pStyle w:val="FirstParagraph"/>
      </w:pPr>
      <w:r>
        <w:t>高分子材料在太阳能电池中的应用主要集中在光伏材料的制备和器件结构的优化。生物相容性高分子如聚噻吩类衍生物，由于其良好的光吸收性能和环境稳定性，已成为制备柔性太阳能电池的重要材料。</w:t>
      </w:r>
    </w:p>
    <w:bookmarkStart w:id="37" w:name="光伏材料"/>
    <w:p>
      <w:pPr>
        <w:pStyle w:val="Heading4"/>
      </w:pPr>
      <w:r>
        <w:t>7.2.1 光伏材料</w:t>
      </w:r>
    </w:p>
    <w:p>
      <w:pPr>
        <w:pStyle w:val="FirstParagraph"/>
      </w:pPr>
      <w:r>
        <w:t>聚噻吩及其衍生物等共轭聚合物因其可调节的光电性质和加工性，被广泛研究用于有机太阳能电池的光活性层。通过分子设计，可以优化其能级结构，提高光伏性能。</w:t>
      </w:r>
    </w:p>
    <w:bookmarkEnd w:id="37"/>
    <w:bookmarkStart w:id="38" w:name="器件结构"/>
    <w:p>
      <w:pPr>
        <w:pStyle w:val="Heading4"/>
      </w:pPr>
      <w:r>
        <w:t>7.2.2 器件结构</w:t>
      </w:r>
    </w:p>
    <w:p>
      <w:pPr>
        <w:pStyle w:val="FirstParagraph"/>
      </w:pPr>
      <w:r>
        <w:t>利用高分子材料的柔性，可以制备出可弯曲、可穿戴的太阳能电池。这些电池通常采用柔性的基底和高分子封装材料，以提高器件的机械强度和耐久性。</w:t>
      </w:r>
    </w:p>
    <w:bookmarkEnd w:id="38"/>
    <w:bookmarkEnd w:id="36"/>
    <w:bookmarkStart w:id="39" w:name="超级电容器"/>
    <w:p>
      <w:pPr>
        <w:pStyle w:val="Heading3"/>
      </w:pPr>
      <w:r>
        <w:t>7.3 超级电容器</w:t>
      </w:r>
    </w:p>
    <w:p>
      <w:pPr>
        <w:pStyle w:val="FirstParagraph"/>
      </w:pPr>
      <w:r>
        <w:t>超级电容器作为一种能量存储设备，具有快速充放电和高功率密度的特点。生物相容性高分子材料在这一领域主要用于电极材料和隔膜的开发。</w:t>
      </w:r>
    </w:p>
    <w:bookmarkStart w:id="40" w:name="电极材料-1"/>
    <w:p>
      <w:pPr>
        <w:pStyle w:val="Heading4"/>
      </w:pPr>
      <w:r>
        <w:t>7.3.1 电极材料</w:t>
      </w:r>
    </w:p>
    <w:p>
      <w:pPr>
        <w:pStyle w:val="FirstParagraph"/>
        <w:sectPr>
          <w:type w:val="nextPage"/>
          <w:pgSz w:w="12240" w:h="15840"/>
          <w:pgMar w:top="1440" w:right="1800" w:bottom="1440" w:left="1800" w:header="720" w:footer="720" w:gutter="0"/>
          <w:pgNumType w:start="7"/>
          <w:cols w:space="720"/>
          <w:titlePg w:val="0"/>
        </w:sectPr>
      </w:pPr>
      <w:r>
        <w:t>碳纳米管、石墨烯等导电高分子复合材料，因其高电导率和比表面积，成为超级电容器电极材料的理想选择。这些材料不仅提供良好的电化学性能，而且生物相容性保证了其在生物体内的应用潜力。</w:t>
      </w:r>
    </w:p>
    <w:bookmarkEnd w:id="40"/>
    <w:bookmarkStart w:id="41" w:name="隔膜材料"/>
    <w:p>
      <w:pPr>
        <w:pStyle w:val="Heading4"/>
      </w:pPr>
      <w:r>
        <w:t>7.3.2 隔膜材料</w:t>
      </w:r>
    </w:p>
    <w:p>
      <w:pPr>
        <w:pStyle w:val="FirstParagraph"/>
      </w:pPr>
      <w:r>
        <w:t>在超级电容器中，隔膜起到了隔离电极、传导离子和维持结构的作用。生物相容性高分子材料如聚电解质隔膜，因其良好的离子传输性能和稳定性，被用于提高超级电容器的性能和安全性。</w:t>
      </w:r>
    </w:p>
    <w:p>
      <w:pPr>
        <w:pStyle w:val="BodyText"/>
      </w:pPr>
      <w:r>
        <w:t>通过上述介绍，可以看出高分子材料在生物能源领域具有广泛的应用前景，其生物相容性不仅保证了材料与生物体系的和谐相处，还为开发新型能源设备提供了材料保障。</w:t>
      </w:r>
    </w:p>
    <w:bookmarkEnd w:id="41"/>
    <w:bookmarkEnd w:id="39"/>
    <w:bookmarkEnd w:id="32"/>
    <w:bookmarkStart w:id="42" w:name="结论"/>
    <w:p>
      <w:pPr>
        <w:pStyle w:val="Heading2"/>
      </w:pPr>
      <w:r>
        <w:t>8 结论</w:t>
      </w:r>
    </w:p>
    <w:bookmarkStart w:id="43" w:name="高分子材料生物相容性与生物应用的意义"/>
    <w:p>
      <w:pPr>
        <w:pStyle w:val="Heading3"/>
      </w:pPr>
      <w:r>
        <w:t>8.1 高分子材料生物相容性与生物应用的意义</w:t>
      </w:r>
    </w:p>
    <w:p>
      <w:pPr>
        <w:pStyle w:val="FirstParagraph"/>
      </w:pPr>
      <w:r>
        <w:t>随着生物科学和材料科学的飞速发展，高分子材料在生物领域的应用日益广泛。其生物相容性作为衡量材料是否适用于生物体内的重要指标，具有至关重要的意义。高分子材料的生物相容性不仅关系到材料在生物体内的安全性和有效性，同时也决定了其在生物医学、生物农业、生物环保和生物能源等领域应用的可行性和潜力。</w:t>
      </w:r>
    </w:p>
    <w:p>
      <w:pPr>
        <w:pStyle w:val="BodyText"/>
      </w:pPr>
      <w:r>
        <w:t>生物相容性的研究，使我们能够深入理解材料与生物体的相互作用机制，从而指导我们设计和开发出更加符合生物体需求的高分子材料。这些材料在提高医疗治疗效果、推动农业现代化、缓解环境问题以及开发新型能源方面发挥着重要作用。</w:t>
      </w:r>
    </w:p>
    <w:bookmarkEnd w:id="43"/>
    <w:bookmarkStart w:id="44" w:name="面临的挑战与发展前景"/>
    <w:p>
      <w:pPr>
        <w:pStyle w:val="Heading3"/>
      </w:pPr>
      <w:r>
        <w:t>8.2 面临的挑战与发展前景</w:t>
      </w:r>
    </w:p>
    <w:p>
      <w:pPr>
        <w:pStyle w:val="FirstParagraph"/>
      </w:pPr>
      <w:r>
        <w:t>尽管高分子材料在生物领域的应用展现出巨大的潜力，但在实际应用中仍然面临诸多挑战。首先，生物相容性的评价体系尚不完善，需要建立更加科学、系统的评价方法。其次，高分子材料的加工工艺和性能稳定性仍有待提高，以满足生物应用领域的严苛要求。</w:t>
      </w:r>
    </w:p>
    <w:p>
      <w:pPr>
        <w:pStyle w:val="BodyText"/>
      </w:pPr>
      <w:r>
        <w:t>面对挑战，未来的发展前景仍然广阔。随着科研技术的不断进步，我们有望开发出更加高效、安全的高分子材料，并优化其生物相容性。此外，跨学科的合作将促进高分子材料在生物领域的创新，为解决生物医学、生物农业、生物环保和生物能源等方面的难题提供新的思路和方法。</w:t>
      </w:r>
    </w:p>
    <w:p>
      <w:pPr>
        <w:pStyle w:val="BodyText"/>
        <w:sectPr>
          <w:type w:val="nextPage"/>
          <w:pgSz w:w="12240" w:h="15840"/>
          <w:pgMar w:top="1440" w:right="1800" w:bottom="1440" w:left="1800" w:header="720" w:footer="720" w:gutter="0"/>
          <w:pgNumType w:start="8"/>
          <w:cols w:space="720"/>
          <w:titlePg w:val="0"/>
        </w:sectPr>
      </w:pPr>
      <w:r>
        <w:t>总之，高分子材料的生物相容性与生物应用的研究具有深远的意义和广阔的发展前景。只有不断探索和克服挑战，才能更好地推动这一领域的发展，为人类社会的健康和可持续发展做出贡献。</w:t>
      </w:r>
    </w:p>
    <w:bookmarkEnd w:id="44"/>
    <w:bookmarkEnd w:id="42"/>
    <w:bookmarkEnd w:id="0"/>
    <w:p>
      <w:pPr>
        <w:pStyle w:val="Heading1"/>
      </w:pPr>
      <w:r>
        <w:t>高分子材料的生物相容性与生物应用</w:t>
      </w:r>
    </w:p>
    <w:bookmarkStart w:id="45" w:name="引言-1"/>
    <w:p>
      <w:pPr>
        <w:pStyle w:val="Heading2"/>
      </w:pPr>
      <w:r>
        <w:t>1 引言</w:t>
      </w:r>
    </w:p>
    <w:bookmarkStart w:id="46" w:name="高分子材料简介-1"/>
    <w:p>
      <w:pPr>
        <w:pStyle w:val="Heading3"/>
      </w:pPr>
      <w:r>
        <w:t>1.1 高分子材料简介</w:t>
      </w:r>
    </w:p>
    <w:p>
      <w:pPr>
        <w:pStyle w:val="FirstParagraph"/>
      </w:pPr>
      <w:r>
        <w:t>高分子材料是由大量重复单元组成的大分子，具有轻质、耐磨、耐腐蚀等特性，广泛应用于日常生活、工业生产、医疗卫生等领域。随着科学技术的不断发展，高分子材料的研究和应用逐渐深入，特别是在生物医学领域，其独特的生物相容性使其在组织工程、药物载体、生物传感器等方面展现出巨大的应用潜力。</w:t>
      </w:r>
    </w:p>
    <w:bookmarkEnd w:id="46"/>
    <w:bookmarkStart w:id="47" w:name="生物相容性的概念及其重要性"/>
    <w:p>
      <w:pPr>
        <w:pStyle w:val="Heading3"/>
      </w:pPr>
      <w:r>
        <w:t>1.2 生物相容性的概念及其重要性</w:t>
      </w:r>
    </w:p>
    <w:p>
      <w:pPr>
        <w:pStyle w:val="FirstParagraph"/>
      </w:pPr>
      <w:r>
        <w:t>生物相容性是指材料与生物体组织相互作用时，能够维持其生物学功能，不对生物体产生有害影响的性质。生物相容性是衡量高分子材料能否应用于生物领域的重要指标，直接关系到高分子材料在生物体内的安全性和有效性。因此，研究高分子材料的生物相容性对于开发新型生物医用材料具有重要意义。</w:t>
      </w:r>
    </w:p>
    <w:bookmarkEnd w:id="47"/>
    <w:bookmarkStart w:id="48" w:name="生物应用背景及发展趋势"/>
    <w:p>
      <w:pPr>
        <w:pStyle w:val="Heading3"/>
      </w:pPr>
      <w:r>
        <w:t>1.3 生物应用背景及发展趋势</w:t>
      </w:r>
    </w:p>
    <w:p>
      <w:pPr>
        <w:pStyle w:val="FirstParagraph"/>
      </w:pPr>
      <w:r>
        <w:t>近年来，随着生物医学工程、生物技术等领域的飞速发展，高分子材料在生物应用方面的研究日益深入。生物医用高分子材料不仅需要具备良好的生物相容性，还需要具备生物可降解性、力学性能、加工性能等特点。目前，高分子材料在生物医学领域的研究热点包括组织工程、药物输送、生物检测等，未来发展趋势将更加注重材料的多功能性和智能化。</w:t>
      </w:r>
    </w:p>
    <w:bookmarkEnd w:id="48"/>
    <w:bookmarkEnd w:id="45"/>
    <w:p>
      <w:pPr>
        <w:pStyle w:val="Heading2"/>
      </w:pPr>
      <w:r>
        <w:t>2. 高分子材料的生物相容性</w:t>
      </w:r>
    </w:p>
    <w:bookmarkStart w:id="49" w:name="生物相容性的评价方法-1"/>
    <w:p>
      <w:pPr>
        <w:pStyle w:val="Heading3"/>
      </w:pPr>
      <w:r>
        <w:t>2.1 生物相容性的评价方法</w:t>
      </w:r>
    </w:p>
    <w:p>
      <w:pPr>
        <w:pStyle w:val="FirstParagraph"/>
      </w:pPr>
      <w:r>
        <w:t>生物相容性是衡量高分子材料是否适合用于生物体内部或者与生物体接触的重要指标。评价方法主要包括体外实验和体内实验两大类。体外实验包括细胞毒性试验、溶血试验、血小板黏附和活化试验等；体内实验主要包括急性毒性试验、慢性毒性试验、遗传毒性试验等。通过这些实验可以全面评估材料的生物相容性，确保其在生物体内的安全性和有效性。</w:t>
      </w:r>
      <w:r>
        <w:br/>
      </w:r>
      <w:r>
        <w:br/>
      </w:r>
    </w:p>
    <w:p>
      <w:pPr>
        <w:spacing w:after="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https://d.book118.com/747054136134006052</w:t>
        </w:r>
      </w:hyperlink>
    </w:p>
    <w:bookmarkEnd w:id="49"/>
    <w:p>
      <w:pPr>
        <w:pStyle w:val="FirstParagraph"/>
      </w:pPr>
    </w:p>
    <w:sectPr>
      <w:type w:val="nextPage"/>
      <w:pgSz w:w="12240" w:h="15840"/>
      <w:pgMar w:top="1440" w:right="1800" w:bottom="1440" w:left="1800" w:header="720" w:footer="720" w:gutter="0"/>
      <w:pgNumType w:start="9"/>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Fira Code">
    <w:charset w:val="00"/>
    <w:family w:val="modern"/>
    <w:pitch w:val="fixed"/>
    <w:sig w:usb0="E00002EF" w:usb1="1200F8FB" w:usb2="00000008" w:usb3="00000000" w:csb0="0000009F" w:csb1="00000000"/>
  </w:font>
  <w:font w:name="Times New Roman (正文 CS 字体)">
    <w:altName w:val="宋体"/>
    <w:panose1 w:val="00000000000000000000"/>
    <w:charset w:val="86"/>
    <w:family w:val="roman"/>
    <w:notTrueType/>
    <w:pitch w:val="default"/>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singleLevel"/>
    <w:tmpl w:val="01C2D5EE"/>
    <w:lvl w:ilvl="0">
      <w:start w:val="1"/>
      <w:numFmt w:val="decimal"/>
      <w:lvlText w:val="%1."/>
      <w:lvlJc w:val="left"/>
      <w:pPr>
        <w:tabs>
          <w:tab w:val="num" w:pos="2040"/>
        </w:tabs>
        <w:ind w:left="2040" w:hanging="360" w:leftChars="800" w:hangingChars="200"/>
      </w:pPr>
    </w:lvl>
  </w:abstractNum>
  <w:abstractNum w:abstractNumId="1">
    <w:nsid w:val="FFFFFF7D"/>
    <w:multiLevelType w:val="singleLevel"/>
    <w:tmpl w:val="AE7E8D6C"/>
    <w:lvl w:ilvl="0">
      <w:start w:val="1"/>
      <w:numFmt w:val="decimal"/>
      <w:lvlText w:val="%1."/>
      <w:lvlJc w:val="left"/>
      <w:pPr>
        <w:tabs>
          <w:tab w:val="num" w:pos="1620"/>
        </w:tabs>
        <w:ind w:left="1620" w:hanging="360" w:leftChars="600" w:hangingChars="200"/>
      </w:pPr>
    </w:lvl>
  </w:abstractNum>
  <w:abstractNum w:abstractNumId="2">
    <w:nsid w:val="FFFFFF7E"/>
    <w:multiLevelType w:val="singleLevel"/>
    <w:tmpl w:val="54F4A8E4"/>
    <w:lvl w:ilvl="0">
      <w:start w:val="1"/>
      <w:numFmt w:val="decimal"/>
      <w:lvlText w:val="%1."/>
      <w:lvlJc w:val="left"/>
      <w:pPr>
        <w:tabs>
          <w:tab w:val="num" w:pos="1200"/>
        </w:tabs>
        <w:ind w:left="1200" w:hanging="360" w:leftChars="400" w:hangingChars="200"/>
      </w:pPr>
    </w:lvl>
  </w:abstractNum>
  <w:abstractNum w:abstractNumId="3">
    <w:nsid w:val="FFFFFF7F"/>
    <w:multiLevelType w:val="singleLevel"/>
    <w:tmpl w:val="48E4A3D2"/>
    <w:lvl w:ilvl="0">
      <w:start w:val="1"/>
      <w:numFmt w:val="decimal"/>
      <w:lvlText w:val="%1."/>
      <w:lvlJc w:val="left"/>
      <w:pPr>
        <w:tabs>
          <w:tab w:val="num" w:pos="780"/>
        </w:tabs>
        <w:ind w:left="780" w:hanging="360" w:leftChars="200" w:hangingChars="200"/>
      </w:pPr>
    </w:lvl>
  </w:abstractNum>
  <w:abstractNum w:abstractNumId="4">
    <w:nsid w:val="FFFFFF80"/>
    <w:multiLevelType w:val="singleLevel"/>
    <w:tmpl w:val="774C1C1A"/>
    <w:lvl w:ilvl="0">
      <w:start w:val="1"/>
      <w:numFmt w:val="bullet"/>
      <w:lvlText w:val=""/>
      <w:lvlJc w:val="left"/>
      <w:pPr>
        <w:tabs>
          <w:tab w:val="num" w:pos="2040"/>
        </w:tabs>
        <w:ind w:left="2040" w:hanging="360" w:leftChars="800" w:hangingChars="200"/>
      </w:pPr>
      <w:rPr>
        <w:rFonts w:ascii="Wingdings" w:hAnsi="Wingdings" w:hint="default"/>
      </w:rPr>
    </w:lvl>
  </w:abstractNum>
  <w:abstractNum w:abstractNumId="5">
    <w:nsid w:val="FFFFFF81"/>
    <w:multiLevelType w:val="singleLevel"/>
    <w:tmpl w:val="10EC9FC2"/>
    <w:lvl w:ilvl="0">
      <w:start w:val="1"/>
      <w:numFmt w:val="bullet"/>
      <w:lvlText w:val=""/>
      <w:lvlJc w:val="left"/>
      <w:pPr>
        <w:tabs>
          <w:tab w:val="num" w:pos="1620"/>
        </w:tabs>
        <w:ind w:left="1620" w:hanging="360" w:leftChars="600" w:hangingChars="200"/>
      </w:pPr>
      <w:rPr>
        <w:rFonts w:ascii="Wingdings" w:hAnsi="Wingdings" w:hint="default"/>
      </w:rPr>
    </w:lvl>
  </w:abstractNum>
  <w:abstractNum w:abstractNumId="6">
    <w:nsid w:val="FFFFFF82"/>
    <w:multiLevelType w:val="singleLevel"/>
    <w:tmpl w:val="DBBA14C4"/>
    <w:lvl w:ilvl="0">
      <w:start w:val="1"/>
      <w:numFmt w:val="bullet"/>
      <w:lvlText w:val=""/>
      <w:lvlJc w:val="left"/>
      <w:pPr>
        <w:tabs>
          <w:tab w:val="num" w:pos="1200"/>
        </w:tabs>
        <w:ind w:left="1200" w:hanging="360" w:leftChars="400" w:hangingChars="200"/>
      </w:pPr>
      <w:rPr>
        <w:rFonts w:ascii="Wingdings" w:hAnsi="Wingdings" w:hint="default"/>
      </w:rPr>
    </w:lvl>
  </w:abstractNum>
  <w:abstractNum w:abstractNumId="7">
    <w:nsid w:val="FFFFFF83"/>
    <w:multiLevelType w:val="singleLevel"/>
    <w:tmpl w:val="B428EF1E"/>
    <w:lvl w:ilvl="0">
      <w:start w:val="1"/>
      <w:numFmt w:val="bullet"/>
      <w:lvlText w:val=""/>
      <w:lvlJc w:val="left"/>
      <w:pPr>
        <w:tabs>
          <w:tab w:val="num" w:pos="780"/>
        </w:tabs>
        <w:ind w:left="780" w:hanging="360" w:leftChars="200" w:hangingChars="200"/>
      </w:pPr>
      <w:rPr>
        <w:rFonts w:ascii="Wingdings" w:hAnsi="Wingdings" w:hint="default"/>
      </w:rPr>
    </w:lvl>
  </w:abstractNum>
  <w:abstractNum w:abstractNumId="8">
    <w:nsid w:val="FFFFFF88"/>
    <w:multiLevelType w:val="singleLevel"/>
    <w:tmpl w:val="DF24F268"/>
    <w:lvl w:ilvl="0">
      <w:start w:val="1"/>
      <w:numFmt w:val="decimal"/>
      <w:lvlText w:val="%1."/>
      <w:lvlJc w:val="left"/>
      <w:pPr>
        <w:tabs>
          <w:tab w:val="num" w:pos="360"/>
        </w:tabs>
        <w:ind w:left="360" w:hanging="360" w:hangingChars="200"/>
      </w:pPr>
    </w:lvl>
  </w:abstractNum>
  <w:abstractNum w:abstractNumId="9">
    <w:nsid w:val="FFFFFF89"/>
    <w:multiLevelType w:val="singleLevel"/>
    <w:tmpl w:val="BEE4A8C8"/>
    <w:lvl w:ilvl="0">
      <w:start w:val="1"/>
      <w:numFmt w:val="bullet"/>
      <w:lvlText w:val=""/>
      <w:lvlJc w:val="left"/>
      <w:pPr>
        <w:tabs>
          <w:tab w:val="num" w:pos="360"/>
        </w:tabs>
        <w:ind w:left="360" w:hanging="360" w:hangingChars="200"/>
      </w:pPr>
      <w:rPr>
        <w:rFonts w:ascii="Wingdings" w:hAnsi="Wingdings" w:hint="default"/>
      </w:rPr>
    </w:lvl>
  </w:abstractNum>
  <w:abstractNum w:abstractNumId="10">
    <w:nsid w:val="0000A990"/>
    <w:multiLevelType w:val="multilevel"/>
    <w:tmpl w:val="7472B000"/>
    <w:lvl w:ilvl="0">
      <w:start w:val="0"/>
      <w:numFmt w:val="bullet"/>
      <w:lvlText w:val=" "/>
      <w:lvlJc w:val="left"/>
      <w:pPr>
        <w:ind w:left="720" w:hanging="480"/>
      </w:pPr>
    </w:lvl>
    <w:lvl w:ilvl="1">
      <w:start w:val="0"/>
      <w:numFmt w:val="bullet"/>
      <w:lvlText w:val=" "/>
      <w:lvlJc w:val="left"/>
      <w:pPr>
        <w:ind w:left="1440" w:hanging="480"/>
      </w:pPr>
    </w:lvl>
    <w:lvl w:ilvl="2">
      <w:start w:val="0"/>
      <w:numFmt w:val="bullet"/>
      <w:lvlText w:val=" "/>
      <w:lvlJc w:val="left"/>
      <w:pPr>
        <w:ind w:left="2160" w:hanging="480"/>
      </w:pPr>
    </w:lvl>
    <w:lvl w:ilvl="3">
      <w:start w:val="0"/>
      <w:numFmt w:val="bullet"/>
      <w:lvlText w:val=" "/>
      <w:lvlJc w:val="left"/>
      <w:pPr>
        <w:ind w:left="2880" w:hanging="480"/>
      </w:pPr>
    </w:lvl>
    <w:lvl w:ilvl="4">
      <w:start w:val="0"/>
      <w:numFmt w:val="bullet"/>
      <w:lvlText w:val=" "/>
      <w:lvlJc w:val="left"/>
      <w:pPr>
        <w:ind w:left="3600" w:hanging="480"/>
      </w:pPr>
    </w:lvl>
    <w:lvl w:ilvl="5">
      <w:start w:val="0"/>
      <w:numFmt w:val="bullet"/>
      <w:lvlText w:val=" "/>
      <w:lvlJc w:val="left"/>
      <w:pPr>
        <w:ind w:left="4320" w:hanging="480"/>
      </w:pPr>
    </w:lvl>
    <w:lvl w:ilvl="6">
      <w:start w:val="0"/>
      <w:numFmt w:val="bullet"/>
      <w:lvlText w:val=" "/>
      <w:lvlJc w:val="left"/>
      <w:pPr>
        <w:ind w:left="5040" w:hanging="480"/>
      </w:pPr>
    </w:lvl>
    <w:lvl w:ilvl="7">
      <w:start w:val="0"/>
      <w:numFmt w:val="bullet"/>
      <w:lvlText w:val=" "/>
      <w:lvlJc w:val="left"/>
      <w:pPr>
        <w:ind w:left="5760" w:hanging="480"/>
      </w:pPr>
    </w:lvl>
    <w:lvl w:ilvl="8">
      <w:start w:val="0"/>
      <w:numFmt w:val="bullet"/>
      <w:lvlText w:val=" "/>
      <w:lvlJc w:val="left"/>
      <w:pPr>
        <w:ind w:left="6480" w:hanging="480"/>
      </w:pPr>
    </w:lvl>
  </w:abstractNum>
  <w:abstractNum w:abstractNumId="11">
    <w:nsid w:val="0000A991"/>
    <w:multiLevelType w:val="multilevel"/>
    <w:tmpl w:val="05EEB5E4"/>
    <w:lvl w:ilvl="0">
      <w:start w:val="0"/>
      <w:numFmt w:val="bullet"/>
      <w:lvlText w:val="•"/>
      <w:lvlJc w:val="left"/>
      <w:pPr>
        <w:ind w:left="720" w:hanging="480"/>
      </w:pPr>
    </w:lvl>
    <w:lvl w:ilvl="1">
      <w:start w:val="0"/>
      <w:numFmt w:val="bullet"/>
      <w:lvlText w:val="–"/>
      <w:lvlJc w:val="left"/>
      <w:pPr>
        <w:ind w:left="1440" w:hanging="480"/>
      </w:pPr>
    </w:lvl>
    <w:lvl w:ilvl="2">
      <w:start w:val="0"/>
      <w:numFmt w:val="bullet"/>
      <w:lvlText w:val="•"/>
      <w:lvlJc w:val="left"/>
      <w:pPr>
        <w:ind w:left="2160" w:hanging="480"/>
      </w:pPr>
    </w:lvl>
    <w:lvl w:ilvl="3">
      <w:start w:val="0"/>
      <w:numFmt w:val="bullet"/>
      <w:lvlText w:val="–"/>
      <w:lvlJc w:val="left"/>
      <w:pPr>
        <w:ind w:left="2880" w:hanging="480"/>
      </w:pPr>
    </w:lvl>
    <w:lvl w:ilvl="4">
      <w:start w:val="0"/>
      <w:numFmt w:val="bullet"/>
      <w:lvlText w:val="•"/>
      <w:lvlJc w:val="left"/>
      <w:pPr>
        <w:ind w:left="3600" w:hanging="480"/>
      </w:pPr>
    </w:lvl>
    <w:lvl w:ilvl="5">
      <w:start w:val="0"/>
      <w:numFmt w:val="bullet"/>
      <w:lvlText w:val="–"/>
      <w:lvlJc w:val="left"/>
      <w:pPr>
        <w:ind w:left="4320" w:hanging="480"/>
      </w:pPr>
    </w:lvl>
    <w:lvl w:ilvl="6">
      <w:start w:val="0"/>
      <w:numFmt w:val="bullet"/>
      <w:lvlText w:val="•"/>
      <w:lvlJc w:val="left"/>
      <w:pPr>
        <w:ind w:left="5040" w:hanging="480"/>
      </w:pPr>
    </w:lvl>
    <w:lvl w:ilvl="7">
      <w:start w:val="0"/>
      <w:numFmt w:val="bullet"/>
      <w:lvlText w:val="–"/>
      <w:lvlJc w:val="left"/>
      <w:pPr>
        <w:ind w:left="5760" w:hanging="480"/>
      </w:pPr>
    </w:lvl>
    <w:lvl w:ilvl="8">
      <w:start w:val="0"/>
      <w:numFmt w:val="bullet"/>
      <w:lvlText w:val="•"/>
      <w:lvlJc w:val="left"/>
      <w:pPr>
        <w:ind w:left="6480" w:hanging="480"/>
      </w:pPr>
    </w:lvl>
  </w:abstractNum>
  <w:abstractNum w:abstractNumId="12">
    <w:nsid w:val="00A99411"/>
    <w:multiLevelType w:val="multilevel"/>
    <w:tmpl w:val="578887BA"/>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3">
    <w:nsid w:val="0E04727E"/>
    <w:multiLevelType w:val="multilevel"/>
    <w:tmpl w:val="E15AC8F6"/>
    <w:lvl w:ilvl="0">
      <w:start w:val="1"/>
      <w:numFmt w:val="decimal"/>
      <w:lvlText w:val="%1)"/>
      <w:lvlJc w:val="left"/>
      <w:pPr>
        <w:ind w:left="720" w:hanging="480"/>
      </w:pPr>
      <w:rPr>
        <w:rFonts w:hint="eastAsia"/>
      </w:rPr>
    </w:lvl>
    <w:lvl w:ilvl="1">
      <w:start w:val="1"/>
      <w:numFmt w:val="lowerLetter"/>
      <w:lvlText w:val="%2."/>
      <w:lvlJc w:val="left"/>
      <w:pPr>
        <w:ind w:left="1440" w:hanging="480"/>
      </w:pPr>
      <w:rPr>
        <w:rFonts w:hint="eastAsia"/>
      </w:rPr>
    </w:lvl>
    <w:lvl w:ilvl="2">
      <w:start w:val="1"/>
      <w:numFmt w:val="lowerRoman"/>
      <w:lvlText w:val="%3."/>
      <w:lvlJc w:val="left"/>
      <w:pPr>
        <w:ind w:left="2160" w:hanging="480"/>
      </w:pPr>
      <w:rPr>
        <w:rFonts w:hint="eastAsia"/>
      </w:rPr>
    </w:lvl>
    <w:lvl w:ilvl="3">
      <w:start w:val="1"/>
      <w:numFmt w:val="decimal"/>
      <w:lvlText w:val="%4."/>
      <w:lvlJc w:val="left"/>
      <w:pPr>
        <w:ind w:left="2880" w:hanging="480"/>
      </w:pPr>
      <w:rPr>
        <w:rFonts w:hint="eastAsia"/>
      </w:rPr>
    </w:lvl>
    <w:lvl w:ilvl="4">
      <w:start w:val="1"/>
      <w:numFmt w:val="decimal"/>
      <w:lvlText w:val="%5."/>
      <w:lvlJc w:val="left"/>
      <w:pPr>
        <w:ind w:left="3600" w:hanging="480"/>
      </w:pPr>
      <w:rPr>
        <w:rFonts w:hint="eastAsia"/>
      </w:rPr>
    </w:lvl>
    <w:lvl w:ilvl="5">
      <w:start w:val="1"/>
      <w:numFmt w:val="decimal"/>
      <w:lvlText w:val="%6."/>
      <w:lvlJc w:val="left"/>
      <w:pPr>
        <w:ind w:left="4320" w:hanging="480"/>
      </w:pPr>
      <w:rPr>
        <w:rFonts w:hint="eastAsia"/>
      </w:rPr>
    </w:lvl>
    <w:lvl w:ilvl="6">
      <w:start w:val="1"/>
      <w:numFmt w:val="decimal"/>
      <w:lvlText w:val="%7."/>
      <w:lvlJc w:val="left"/>
      <w:pPr>
        <w:ind w:left="5040" w:hanging="480"/>
      </w:pPr>
      <w:rPr>
        <w:rFonts w:hint="eastAsia"/>
      </w:rPr>
    </w:lvl>
    <w:lvl w:ilvl="7">
      <w:start w:val="1"/>
      <w:numFmt w:val="decimal"/>
      <w:lvlText w:val="%8."/>
      <w:lvlJc w:val="left"/>
      <w:pPr>
        <w:ind w:left="5760" w:hanging="480"/>
      </w:pPr>
      <w:rPr>
        <w:rFonts w:hint="eastAsia"/>
      </w:rPr>
    </w:lvl>
    <w:lvl w:ilvl="8">
      <w:start w:val="1"/>
      <w:numFmt w:val="decimal"/>
      <w:lvlText w:val="%9."/>
      <w:lvlJc w:val="left"/>
      <w:pPr>
        <w:ind w:left="6480" w:hanging="480"/>
      </w:pPr>
      <w:rPr>
        <w:rFonts w:hint="eastAsia"/>
      </w:rPr>
    </w:lvl>
  </w:abstractNum>
  <w:abstractNum w:abstractNumId="14">
    <w:nsid w:val="10734E16"/>
    <w:multiLevelType w:val="multilevel"/>
    <w:tmpl w:val="578887BA"/>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5">
    <w:nsid w:val="11CF6EE7"/>
    <w:multiLevelType w:val="multilevel"/>
    <w:tmpl w:val="A88EEDBC"/>
    <w:lvl w:ilvl="0">
      <w:start w:val="1"/>
      <w:numFmt w:val="decimal"/>
      <w:suff w:val="space"/>
      <w:lvlText w:val="%1"/>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0" w:firstLine="0"/>
      </w:pPr>
      <w:rPr>
        <w:rFonts w:hint="eastAsia"/>
      </w:rPr>
    </w:lvl>
    <w:lvl w:ilvl="3">
      <w:start w:val="1"/>
      <w:numFmt w:val="decimal"/>
      <w:suff w:val="space"/>
      <w:lvlText w:val="%1.%2.%3.%4"/>
      <w:lvlJc w:val="left"/>
      <w:pPr>
        <w:ind w:left="0" w:firstLine="0"/>
      </w:pPr>
      <w:rPr>
        <w:rFonts w:hint="eastAsia"/>
      </w:rPr>
    </w:lvl>
    <w:lvl w:ilvl="4">
      <w:start w:val="1"/>
      <w:numFmt w:val="decimal"/>
      <w:suff w:val="space"/>
      <w:lvlText w:val="%1.%2.%3.%4.%5"/>
      <w:lvlJc w:val="left"/>
      <w:pPr>
        <w:ind w:left="0" w:firstLine="0"/>
      </w:pPr>
      <w:rPr>
        <w:rFonts w:hint="eastAsia"/>
      </w:rPr>
    </w:lvl>
    <w:lvl w:ilvl="5">
      <w:start w:val="1"/>
      <w:numFmt w:val="decimal"/>
      <w:suff w:val="space"/>
      <w:lvlText w:val="%1.%2.%3.%4.%5.%6"/>
      <w:lvlJc w:val="left"/>
      <w:pPr>
        <w:ind w:left="0" w:firstLine="0"/>
      </w:pPr>
      <w:rPr>
        <w:rFonts w:hint="eastAsia"/>
      </w:rPr>
    </w:lvl>
    <w:lvl w:ilvl="6">
      <w:start w:val="1"/>
      <w:numFmt w:val="decimal"/>
      <w:suff w:val="space"/>
      <w:lvlText w:val="%1.%2.%3.%4.%5.%6.%7"/>
      <w:lvlJc w:val="left"/>
      <w:pPr>
        <w:ind w:left="0" w:firstLine="0"/>
      </w:pPr>
      <w:rPr>
        <w:rFonts w:hint="eastAsia"/>
      </w:rPr>
    </w:lvl>
    <w:lvl w:ilvl="7">
      <w:start w:val="1"/>
      <w:numFmt w:val="decimal"/>
      <w:suff w:val="space"/>
      <w:lvlText w:val="%1.%2.%3.%4.%5.%6.%7.%8"/>
      <w:lvlJc w:val="left"/>
      <w:pPr>
        <w:ind w:left="0" w:firstLine="0"/>
      </w:pPr>
      <w:rPr>
        <w:rFonts w:hint="eastAsia"/>
      </w:rPr>
    </w:lvl>
    <w:lvl w:ilvl="8">
      <w:start w:val="1"/>
      <w:numFmt w:val="decimal"/>
      <w:suff w:val="space"/>
      <w:lvlText w:val="%1.%2.%3.%4.%5.%6.%7.%8.%9"/>
      <w:lvlJc w:val="left"/>
      <w:pPr>
        <w:ind w:left="0" w:firstLine="0"/>
      </w:pPr>
      <w:rPr>
        <w:rFonts w:hint="eastAsia"/>
      </w:rPr>
    </w:lvl>
  </w:abstractNum>
  <w:abstractNum w:abstractNumId="16">
    <w:nsid w:val="5DE99056"/>
    <w:multiLevelType w:val="multilevel"/>
    <w:tmpl w:val="578887BA"/>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7">
    <w:nsid w:val="64DE5E58"/>
    <w:multiLevelType w:val="multilevel"/>
    <w:tmpl w:val="C2B2AA22"/>
    <w:lvl w:ilvl="0">
      <w:start w:val="1"/>
      <w:numFmt w:val="bullet"/>
      <w:lvlText w:val=""/>
      <w:lvlJc w:val="center"/>
      <w:pPr>
        <w:ind w:left="720" w:hanging="480"/>
      </w:pPr>
      <w:rPr>
        <w:rFonts w:ascii="Wingdings" w:hAnsi="Wingdings" w:hint="default"/>
      </w:rPr>
    </w:lvl>
    <w:lvl w:ilvl="1">
      <w:start w:val="0"/>
      <w:numFmt w:val="bullet"/>
      <w:lvlText w:val="–"/>
      <w:lvlJc w:val="left"/>
      <w:pPr>
        <w:ind w:left="1440" w:hanging="480"/>
      </w:pPr>
    </w:lvl>
    <w:lvl w:ilvl="2">
      <w:start w:val="0"/>
      <w:numFmt w:val="bullet"/>
      <w:lvlText w:val="•"/>
      <w:lvlJc w:val="left"/>
      <w:pPr>
        <w:ind w:left="2160" w:hanging="480"/>
      </w:pPr>
    </w:lvl>
    <w:lvl w:ilvl="3">
      <w:start w:val="0"/>
      <w:numFmt w:val="bullet"/>
      <w:lvlText w:val="–"/>
      <w:lvlJc w:val="left"/>
      <w:pPr>
        <w:ind w:left="2880" w:hanging="480"/>
      </w:pPr>
    </w:lvl>
    <w:lvl w:ilvl="4">
      <w:start w:val="0"/>
      <w:numFmt w:val="bullet"/>
      <w:lvlText w:val="•"/>
      <w:lvlJc w:val="left"/>
      <w:pPr>
        <w:ind w:left="3600" w:hanging="480"/>
      </w:pPr>
    </w:lvl>
    <w:lvl w:ilvl="5">
      <w:start w:val="0"/>
      <w:numFmt w:val="bullet"/>
      <w:lvlText w:val="–"/>
      <w:lvlJc w:val="left"/>
      <w:pPr>
        <w:ind w:left="4320" w:hanging="480"/>
      </w:pPr>
    </w:lvl>
    <w:lvl w:ilvl="6">
      <w:start w:val="0"/>
      <w:numFmt w:val="bullet"/>
      <w:lvlText w:val="•"/>
      <w:lvlJc w:val="left"/>
      <w:pPr>
        <w:ind w:left="5040" w:hanging="480"/>
      </w:pPr>
    </w:lvl>
    <w:lvl w:ilvl="7">
      <w:start w:val="0"/>
      <w:numFmt w:val="bullet"/>
      <w:lvlText w:val="–"/>
      <w:lvlJc w:val="left"/>
      <w:pPr>
        <w:ind w:left="5760" w:hanging="480"/>
      </w:pPr>
    </w:lvl>
    <w:lvl w:ilvl="8">
      <w:start w:val="0"/>
      <w:numFmt w:val="bullet"/>
      <w:lvlText w:val="•"/>
      <w:lvlJc w:val="left"/>
      <w:pPr>
        <w:ind w:left="6480" w:hanging="480"/>
      </w:pPr>
    </w:lvl>
  </w:abstractNum>
  <w:num w:numId="1" w16cid:durableId="1844514363">
    <w:abstractNumId w:val="10"/>
  </w:num>
  <w:num w:numId="2" w16cid:durableId="1305817760">
    <w:abstractNumId w:val="11"/>
  </w:num>
  <w:num w:numId="3" w16cid:durableId="70224778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88088830">
    <w:abstractNumId w:val="11"/>
  </w:num>
  <w:num w:numId="5" w16cid:durableId="343823731">
    <w:abstractNumId w:val="8"/>
  </w:num>
  <w:num w:numId="6" w16cid:durableId="67509249">
    <w:abstractNumId w:val="3"/>
  </w:num>
  <w:num w:numId="7" w16cid:durableId="1439447107">
    <w:abstractNumId w:val="2"/>
  </w:num>
  <w:num w:numId="8" w16cid:durableId="1845440163">
    <w:abstractNumId w:val="1"/>
  </w:num>
  <w:num w:numId="9" w16cid:durableId="731200114">
    <w:abstractNumId w:val="0"/>
  </w:num>
  <w:num w:numId="10" w16cid:durableId="1151336791">
    <w:abstractNumId w:val="9"/>
  </w:num>
  <w:num w:numId="11" w16cid:durableId="1082801689">
    <w:abstractNumId w:val="7"/>
  </w:num>
  <w:num w:numId="12" w16cid:durableId="814644599">
    <w:abstractNumId w:val="6"/>
  </w:num>
  <w:num w:numId="13" w16cid:durableId="1335958112">
    <w:abstractNumId w:val="5"/>
  </w:num>
  <w:num w:numId="14" w16cid:durableId="348022997">
    <w:abstractNumId w:val="4"/>
  </w:num>
  <w:num w:numId="15" w16cid:durableId="1312171763">
    <w:abstractNumId w:val="13"/>
  </w:num>
  <w:num w:numId="16" w16cid:durableId="1782609997">
    <w:abstractNumId w:val="17"/>
  </w:num>
  <w:num w:numId="17" w16cid:durableId="160001286">
    <w:abstractNumId w:val="15"/>
  </w:num>
  <w:num w:numId="18">
    <w:abstractNumId w:val="10"/>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 w:numId="26">
    <w:abstractNumId w:val="11"/>
  </w:num>
  <w:num w:numId="27">
    <w:abstractNumId w:val="11"/>
  </w:num>
  <w:num w:numId="28">
    <w:abstractNumId w:val="11"/>
  </w:num>
  <w:num w:numId="29">
    <w:abstractNumId w:val="11"/>
  </w:num>
  <w:num w:numId="30">
    <w:abstractNumId w:val="11"/>
  </w:num>
  <w:num w:numId="31">
    <w:abstractNumId w:val="11"/>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1"/>
  </w:num>
  <w:num w:numId="42">
    <w:abstractNumId w:val="11"/>
  </w:num>
  <w:num w:numId="43">
    <w:abstractNumId w:val="11"/>
  </w:num>
  <w:num w:numId="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0004" w:allStyles="0" w:alternateStyleNames="0" w:clearFormatting="0" w:customStyles="0" w:directFormattingOnNumbering="0" w:directFormattingOnParagraphs="0" w:directFormattingOnRuns="0" w:directFormattingOnTables="0" w:headingStyles="0" w:latentStyles="1" w:numberingStyles="0" w:stylesInUse="0" w:tableStyles="0" w:top3HeadingStyles="0" w:visibleStyles="0"/>
  <w:doNotTrackMoves/>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DDE"/>
    <w:rsid w:val="00057430"/>
    <w:rsid w:val="00083A05"/>
    <w:rsid w:val="00090279"/>
    <w:rsid w:val="000915A7"/>
    <w:rsid w:val="001912E9"/>
    <w:rsid w:val="001B2928"/>
    <w:rsid w:val="001F3289"/>
    <w:rsid w:val="00227FCA"/>
    <w:rsid w:val="00312938"/>
    <w:rsid w:val="00365D4F"/>
    <w:rsid w:val="003A401E"/>
    <w:rsid w:val="003C2D5C"/>
    <w:rsid w:val="003C33F8"/>
    <w:rsid w:val="003D1DDE"/>
    <w:rsid w:val="00446E08"/>
    <w:rsid w:val="004C1B52"/>
    <w:rsid w:val="00513E5E"/>
    <w:rsid w:val="00553978"/>
    <w:rsid w:val="0056461B"/>
    <w:rsid w:val="005B4EFC"/>
    <w:rsid w:val="005E0D36"/>
    <w:rsid w:val="005F7817"/>
    <w:rsid w:val="00666710"/>
    <w:rsid w:val="0067144A"/>
    <w:rsid w:val="00697CE1"/>
    <w:rsid w:val="006F367C"/>
    <w:rsid w:val="00756227"/>
    <w:rsid w:val="007F612A"/>
    <w:rsid w:val="008803E1"/>
    <w:rsid w:val="00885E58"/>
    <w:rsid w:val="008E0E2E"/>
    <w:rsid w:val="008F24D2"/>
    <w:rsid w:val="0095500F"/>
    <w:rsid w:val="00960F71"/>
    <w:rsid w:val="00991F08"/>
    <w:rsid w:val="009F49BA"/>
    <w:rsid w:val="00B10F95"/>
    <w:rsid w:val="00B65C77"/>
    <w:rsid w:val="00B966D1"/>
    <w:rsid w:val="00B967C9"/>
    <w:rsid w:val="00BD6163"/>
    <w:rsid w:val="00C16290"/>
    <w:rsid w:val="00C24453"/>
    <w:rsid w:val="00C40A8F"/>
    <w:rsid w:val="00D72DD5"/>
    <w:rsid w:val="00E07D1D"/>
    <w:rsid w:val="00E463AB"/>
    <w:rsid w:val="00E7492F"/>
    <w:rsid w:val="00F52B7B"/>
    <w:rsid w:val="00F909F9"/>
    <w:rsid w:val="00F96E73"/>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756227"/>
    <w:rPr>
      <w:rFonts w:ascii="Times New Roman" w:hAnsi="Times New Roman"/>
    </w:rPr>
  </w:style>
  <w:style w:type="paragraph" w:styleId="Heading1">
    <w:name w:val="heading 1"/>
    <w:next w:val="BodyText"/>
    <w:uiPriority w:val="9"/>
    <w:qFormat/>
    <w:rsid w:val="00B10F95"/>
    <w:pPr>
      <w:keepNext/>
      <w:keepLines/>
      <w:pageBreakBefore/>
      <w:spacing w:before="480" w:after="0" w:line="360" w:lineRule="auto"/>
      <w:jc w:val="center"/>
      <w:outlineLvl w:val="0"/>
    </w:pPr>
    <w:rPr>
      <w:rFonts w:ascii="Times New Roman" w:eastAsia="黑体" w:hAnsi="Times New Roman" w:cstheme="majorBidi"/>
      <w:b/>
      <w:bCs/>
      <w:sz w:val="36"/>
      <w:szCs w:val="32"/>
    </w:rPr>
  </w:style>
  <w:style w:type="paragraph" w:styleId="Heading2">
    <w:name w:val="heading 2"/>
    <w:next w:val="BodyText"/>
    <w:uiPriority w:val="9"/>
    <w:unhideWhenUsed/>
    <w:qFormat/>
    <w:rsid w:val="00E463AB"/>
    <w:pPr>
      <w:keepNext/>
      <w:keepLines/>
      <w:spacing w:before="200" w:after="0"/>
      <w:outlineLvl w:val="1"/>
    </w:pPr>
    <w:rPr>
      <w:rFonts w:ascii="Times New Roman" w:eastAsia="黑体" w:hAnsi="Times New Roman" w:cstheme="majorBidi"/>
      <w:b/>
      <w:bCs/>
      <w:sz w:val="30"/>
      <w:szCs w:val="28"/>
    </w:rPr>
  </w:style>
  <w:style w:type="paragraph" w:styleId="Heading3">
    <w:name w:val="heading 3"/>
    <w:next w:val="BodyText"/>
    <w:uiPriority w:val="9"/>
    <w:unhideWhenUsed/>
    <w:qFormat/>
    <w:rsid w:val="00E463AB"/>
    <w:pPr>
      <w:keepNext/>
      <w:keepLines/>
      <w:spacing w:before="100" w:beforeLines="100" w:after="0" w:line="360" w:lineRule="auto"/>
      <w:outlineLvl w:val="2"/>
    </w:pPr>
    <w:rPr>
      <w:rFonts w:ascii="Times New Roman" w:eastAsia="黑体" w:hAnsi="Times New Roman" w:cstheme="majorBidi"/>
      <w:b/>
      <w:bCs/>
    </w:rPr>
  </w:style>
  <w:style w:type="paragraph" w:styleId="Heading4">
    <w:name w:val="heading 4"/>
    <w:basedOn w:val="Normal"/>
    <w:next w:val="BodyText"/>
    <w:uiPriority w:val="9"/>
    <w:unhideWhenUsed/>
    <w:qFormat/>
    <w:rsid w:val="00E463AB"/>
    <w:pPr>
      <w:keepNext/>
      <w:keepLines/>
      <w:spacing w:before="200" w:after="0" w:line="360" w:lineRule="auto"/>
      <w:outlineLvl w:val="3"/>
    </w:pPr>
    <w:rPr>
      <w:rFonts w:eastAsia="黑体" w:cstheme="majorBidi"/>
      <w:bCs/>
      <w:iCs/>
      <w:lang w:eastAsia="zh-CN"/>
    </w:rPr>
  </w:style>
  <w:style w:type="paragraph" w:styleId="Heading5">
    <w:name w:val="heading 5"/>
    <w:basedOn w:val="Normal"/>
    <w:next w:val="BodyText"/>
    <w:uiPriority w:val="9"/>
    <w:unhideWhenUsed/>
    <w:qFormat/>
    <w:rsid w:val="00E463AB"/>
    <w:pPr>
      <w:keepNext/>
      <w:keepLines/>
      <w:spacing w:before="200" w:after="0" w:line="360" w:lineRule="auto"/>
      <w:outlineLvl w:val="4"/>
    </w:pPr>
    <w:rPr>
      <w:rFonts w:eastAsia="黑体" w:cstheme="majorBidi"/>
      <w:bCs/>
      <w:iCs/>
      <w:lang w:eastAsia="zh-CN"/>
    </w:rPr>
  </w:style>
  <w:style w:type="paragraph" w:styleId="Heading6">
    <w:name w:val="heading 6"/>
    <w:basedOn w:val="Normal"/>
    <w:next w:val="BodyText"/>
    <w:uiPriority w:val="9"/>
    <w:unhideWhenUsed/>
    <w:qFormat/>
    <w:rsid w:val="00E463AB"/>
    <w:pPr>
      <w:keepNext/>
      <w:keepLines/>
      <w:spacing w:before="200" w:after="0" w:line="360" w:lineRule="auto"/>
      <w:outlineLvl w:val="5"/>
    </w:pPr>
    <w:rPr>
      <w:rFonts w:eastAsia="黑体" w:cstheme="majorBidi"/>
      <w:bCs/>
      <w:lang w:eastAsia="zh-CN"/>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a3"/>
    <w:qFormat/>
    <w:pPr>
      <w:spacing w:before="180" w:after="180"/>
    </w:pPr>
  </w:style>
  <w:style w:type="paragraph" w:customStyle="1" w:styleId="FirstParagraph">
    <w:name w:val="First Paragraph"/>
    <w:basedOn w:val="BodyText"/>
    <w:next w:val="BodyText"/>
    <w:qFormat/>
    <w:rsid w:val="001B2928"/>
    <w:pPr>
      <w:ind w:firstLine="200" w:firstLineChars="200"/>
    </w:pPr>
  </w:style>
  <w:style w:type="paragraph" w:customStyle="1" w:styleId="Compact">
    <w:name w:val="Compact"/>
    <w:basedOn w:val="BodyText"/>
    <w:qFormat/>
    <w:rsid w:val="009F49BA"/>
    <w:pPr>
      <w:spacing w:before="36" w:after="36"/>
    </w:pPr>
  </w:style>
  <w:style w:type="paragraph" w:styleId="Title">
    <w:name w:val="Title"/>
    <w:basedOn w:val="Normal"/>
    <w:next w:val="BodyText"/>
    <w:qFormat/>
    <w:rsid w:val="00227FCA"/>
    <w:pPr>
      <w:keepNext/>
      <w:keepLines/>
      <w:spacing w:before="480" w:after="240"/>
      <w:jc w:val="center"/>
    </w:pPr>
    <w:rPr>
      <w:rFonts w:eastAsia="黑体" w:cstheme="majorBidi"/>
      <w:b/>
      <w:bCs/>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rsid w:val="00553978"/>
    <w:pPr>
      <w:keepNext/>
      <w:keepLines/>
      <w:jc w:val="center"/>
    </w:pPr>
    <w:rPr>
      <w:rFonts w:ascii="Times New Roman" w:hAnsi="Times New Roman"/>
    </w:r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rsid w:val="00057430"/>
    <w:pPr>
      <w:pBdr>
        <w:top w:val="single" w:sz="8" w:space="1" w:color="auto" w:shadow="1"/>
        <w:left w:val="single" w:sz="8" w:space="4" w:color="auto" w:shadow="1"/>
        <w:bottom w:val="single" w:sz="8" w:space="1" w:color="auto" w:shadow="1"/>
        <w:right w:val="single" w:sz="8" w:space="4" w:color="auto" w:shadow="1"/>
      </w:pBdr>
      <w:shd w:val="clear" w:color="auto" w:fill="D9D9D9" w:themeFill="background1" w:themeFillShade="D9"/>
      <w:spacing w:before="100" w:after="100"/>
      <w:ind w:left="57" w:right="482"/>
    </w:pPr>
  </w:style>
  <w:style w:type="paragraph" w:styleId="FootnoteText">
    <w:name w:val="footnote text"/>
    <w:basedOn w:val="Normal"/>
    <w:uiPriority w:val="9"/>
    <w:unhideWhenUsed/>
    <w:qFormat/>
  </w:style>
  <w:style w:type="table" w:customStyle="1" w:styleId="Table">
    <w:name w:val="Table"/>
    <w:semiHidden/>
    <w:unhideWhenUsed/>
    <w:qFormat/>
    <w:rsid w:val="00697CE1"/>
    <w:pPr>
      <w:jc w:val="center"/>
    </w:pPr>
    <w:rPr>
      <w:rFonts w:ascii="Times New Roman" w:hAnsi="Times New Roman"/>
      <w:sz w:val="20"/>
      <w:szCs w:val="20"/>
      <w:lang w:eastAsia="zh-CN"/>
    </w:rPr>
    <w:tblPr>
      <w:jc w:val="center"/>
      <w:tblInd w:w="0" w:type="dxa"/>
      <w:tblBorders>
        <w:top w:val="single" w:sz="12" w:space="0" w:color="auto"/>
        <w:bottom w:val="single" w:sz="12" w:space="0" w:color="auto"/>
      </w:tblBorders>
      <w:tblCellMar>
        <w:top w:w="0" w:type="dxa"/>
        <w:left w:w="108" w:type="dxa"/>
        <w:bottom w:w="0" w:type="dxa"/>
        <w:right w:w="108" w:type="dxa"/>
      </w:tblCellMar>
    </w:tblPr>
    <w:trPr>
      <w:jc w:val="center"/>
    </w:trPr>
    <w:tcPr>
      <w:shd w:val="clear" w:color="auto" w:fill="auto"/>
      <w:vAlign w:val="center"/>
    </w:tcPr>
    <w:tblStylePr w:type="firstRow">
      <w:pPr>
        <w:jc w:val="center"/>
      </w:pPr>
      <w:rPr>
        <w:rFonts w:ascii="Times New Roman" w:eastAsia="黑体" w:hAnsi="Times New Roman"/>
        <w:b/>
      </w:rPr>
      <w:tblPr/>
      <w:tcPr>
        <w:tcBorders>
          <w:bottom w:val="single" w:sz="0" w:space="0" w:color="auto"/>
        </w:tcBorders>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next w:val="FirstParagraph"/>
    <w:link w:val="a"/>
    <w:autoRedefine/>
    <w:rsid w:val="00090279"/>
    <w:pPr>
      <w:spacing w:after="120"/>
      <w:ind w:left="240" w:right="100" w:leftChars="100" w:rightChars="100"/>
      <w:jc w:val="center"/>
    </w:pPr>
    <w:rPr>
      <w:rFonts w:ascii="Times New Roman" w:hAnsi="Times New Roman"/>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rsid w:val="007F612A"/>
    <w:pPr>
      <w:jc w:val="center"/>
    </w:pPr>
  </w:style>
  <w:style w:type="paragraph" w:customStyle="1" w:styleId="CaptionedFigure">
    <w:name w:val="Captioned Figure"/>
    <w:basedOn w:val="Figure"/>
    <w:pPr>
      <w:keepNext/>
    </w:pPr>
  </w:style>
  <w:style w:type="character" w:customStyle="1" w:styleId="a">
    <w:name w:val="题注 字符"/>
    <w:basedOn w:val="DefaultParagraphFont"/>
    <w:link w:val="Caption"/>
    <w:rsid w:val="00090279"/>
    <w:rPr>
      <w:rFonts w:ascii="Times New Roman" w:hAnsi="Times New Roman"/>
    </w:rPr>
  </w:style>
  <w:style w:type="character" w:customStyle="1" w:styleId="VerbatimChar">
    <w:name w:val="Verbatim Char"/>
    <w:basedOn w:val="a"/>
    <w:link w:val="SourceCode"/>
    <w:rsid w:val="00365D4F"/>
    <w:rPr>
      <w:rFonts w:ascii="Fira Code" w:eastAsia="宋体" w:hAnsi="Fira Code" w:cs="Times New Roman (正文 CS 字体)"/>
      <w:color w:val="404040" w:themeColor="text1" w:themeTint="BF"/>
      <w:sz w:val="21"/>
      <w:shd w:val="pct5" w:color="auto" w:fill="auto"/>
      <w:lang w:eastAsia="zh-CN"/>
    </w:rPr>
  </w:style>
  <w:style w:type="character" w:customStyle="1" w:styleId="SectionNumber">
    <w:name w:val="Section Number"/>
    <w:basedOn w:val="a"/>
    <w:rPr>
      <w:rFonts w:ascii="Times New Roman" w:hAnsi="Times New Roman"/>
    </w:rPr>
  </w:style>
  <w:style w:type="character" w:styleId="FootnoteReference">
    <w:name w:val="footnote reference"/>
    <w:basedOn w:val="a"/>
    <w:rPr>
      <w:rFonts w:ascii="Times New Roman" w:hAnsi="Times New Roman"/>
      <w:vertAlign w:val="superscript"/>
    </w:rPr>
  </w:style>
  <w:style w:type="character" w:styleId="Hyperlink">
    <w:name w:val="Hyperlink"/>
    <w:basedOn w:val="a"/>
    <w:uiPriority w:val="99"/>
    <w:rsid w:val="00D72DD5"/>
    <w:rPr>
      <w:rFonts w:ascii="Times New Roman" w:hAnsi="Times New Roman"/>
      <w:color w:val="4F81BD" w:themeColor="accent1"/>
      <w:u w:val="none"/>
    </w:rPr>
  </w:style>
  <w:style w:type="paragraph" w:styleId="TOCHeading">
    <w:name w:val="TOC Heading"/>
    <w:basedOn w:val="Title"/>
    <w:next w:val="BodyText"/>
    <w:uiPriority w:val="39"/>
    <w:unhideWhenUsed/>
    <w:qFormat/>
    <w:rsid w:val="008F24D2"/>
    <w:pPr>
      <w:spacing w:before="240"/>
    </w:pPr>
    <w:rPr>
      <w:b w:val="0"/>
      <w:bCs w:val="0"/>
    </w:rPr>
  </w:style>
  <w:style w:type="paragraph" w:customStyle="1" w:styleId="SourceCode">
    <w:name w:val="Source Code"/>
    <w:basedOn w:val="Normal"/>
    <w:link w:val="VerbatimChar"/>
    <w:autoRedefine/>
    <w:qFormat/>
    <w:rsid w:val="00365D4F"/>
    <w:pPr>
      <w:pBdr>
        <w:top w:val="single" w:sz="8" w:space="10" w:color="BFBFBF" w:themeColor="background1" w:themeShade="BF"/>
        <w:left w:val="single" w:sz="8" w:space="10" w:color="BFBFBF" w:themeColor="background1" w:themeShade="BF"/>
        <w:bottom w:val="single" w:sz="8" w:space="10" w:color="BFBFBF" w:themeColor="background1" w:themeShade="BF"/>
        <w:right w:val="single" w:sz="8" w:space="10" w:color="BFBFBF" w:themeColor="background1" w:themeShade="BF"/>
      </w:pBdr>
      <w:shd w:val="pct5" w:color="auto" w:fill="auto"/>
      <w:wordWrap w:val="0"/>
    </w:pPr>
    <w:rPr>
      <w:rFonts w:ascii="Fira Code" w:eastAsia="宋体" w:hAnsi="Fira Code" w:cs="Times New Roman (正文 CS 字体)"/>
      <w:color w:val="404040" w:themeColor="text1" w:themeTint="BF"/>
      <w:sz w:val="21"/>
      <w:shd w:val="pct5" w:color="auto" w:fill="auto"/>
      <w:lang w:eastAsia="zh-CN"/>
    </w:rPr>
  </w:style>
  <w:style w:type="character" w:customStyle="1" w:styleId="KeywordTok">
    <w:name w:val="KeywordTok"/>
    <w:basedOn w:val="VerbatimChar"/>
    <w:rPr>
      <w:rFonts w:ascii="Fira Code" w:eastAsia="宋体" w:hAnsi="Fira Code" w:cs="Times New Roman (正文 CS 字体)"/>
      <w:color w:val="D73A49"/>
      <w:sz w:val="21"/>
      <w:shd w:val="pct5" w:color="auto" w:fill="auto"/>
      <w:lang w:eastAsia="zh-CN"/>
    </w:rPr>
  </w:style>
  <w:style w:type="character" w:customStyle="1" w:styleId="DataTypeTok">
    <w:name w:val="DataTypeTok"/>
    <w:basedOn w:val="VerbatimChar"/>
    <w:rPr>
      <w:rFonts w:ascii="Fira Code" w:eastAsia="宋体" w:hAnsi="Fira Code" w:cs="Times New Roman (正文 CS 字体)"/>
      <w:color w:val="D73A49"/>
      <w:sz w:val="21"/>
      <w:shd w:val="pct5" w:color="auto" w:fill="auto"/>
      <w:lang w:eastAsia="zh-CN"/>
    </w:rPr>
  </w:style>
  <w:style w:type="character" w:customStyle="1" w:styleId="DecValTok">
    <w:name w:val="DecValTok"/>
    <w:basedOn w:val="VerbatimChar"/>
    <w:rPr>
      <w:rFonts w:ascii="Fira Code" w:eastAsia="宋体" w:hAnsi="Fira Code" w:cs="Times New Roman (正文 CS 字体)"/>
      <w:color w:val="005CC5"/>
      <w:sz w:val="21"/>
      <w:shd w:val="pct5" w:color="auto" w:fill="auto"/>
      <w:lang w:eastAsia="zh-CN"/>
    </w:rPr>
  </w:style>
  <w:style w:type="character" w:customStyle="1" w:styleId="BaseNTok">
    <w:name w:val="BaseNTok"/>
    <w:basedOn w:val="VerbatimChar"/>
    <w:rPr>
      <w:rFonts w:ascii="Fira Code" w:eastAsia="宋体" w:hAnsi="Fira Code" w:cs="Times New Roman (正文 CS 字体)"/>
      <w:color w:val="005CC5"/>
      <w:sz w:val="21"/>
      <w:shd w:val="pct5" w:color="auto" w:fill="auto"/>
      <w:lang w:eastAsia="zh-CN"/>
    </w:rPr>
  </w:style>
  <w:style w:type="character" w:customStyle="1" w:styleId="FloatTok">
    <w:name w:val="FloatTok"/>
    <w:basedOn w:val="VerbatimChar"/>
    <w:rPr>
      <w:rFonts w:ascii="Fira Code" w:eastAsia="宋体" w:hAnsi="Fira Code" w:cs="Times New Roman (正文 CS 字体)"/>
      <w:color w:val="005CC5"/>
      <w:sz w:val="21"/>
      <w:shd w:val="pct5" w:color="auto" w:fill="auto"/>
      <w:lang w:eastAsia="zh-CN"/>
    </w:rPr>
  </w:style>
  <w:style w:type="character" w:customStyle="1" w:styleId="ConstantTok">
    <w:name w:val="ConstantTok"/>
    <w:basedOn w:val="VerbatimChar"/>
    <w:rPr>
      <w:rFonts w:ascii="Fira Code" w:eastAsia="宋体" w:hAnsi="Fira Code" w:cs="Times New Roman (正文 CS 字体)"/>
      <w:color w:val="005CC5"/>
      <w:sz w:val="21"/>
      <w:shd w:val="pct5" w:color="auto" w:fill="auto"/>
      <w:lang w:eastAsia="zh-CN"/>
    </w:rPr>
  </w:style>
  <w:style w:type="character" w:customStyle="1" w:styleId="CharTok">
    <w:name w:val="CharTok"/>
    <w:basedOn w:val="VerbatimChar"/>
    <w:rPr>
      <w:rFonts w:ascii="Fira Code" w:eastAsia="宋体" w:hAnsi="Fira Code" w:cs="Times New Roman (正文 CS 字体)"/>
      <w:color w:val="032F62"/>
      <w:sz w:val="21"/>
      <w:shd w:val="pct5" w:color="auto" w:fill="auto"/>
      <w:lang w:eastAsia="zh-CN"/>
    </w:rPr>
  </w:style>
  <w:style w:type="character" w:customStyle="1" w:styleId="SpecialCharTok">
    <w:name w:val="SpecialCharTok"/>
    <w:basedOn w:val="VerbatimChar"/>
    <w:rPr>
      <w:rFonts w:ascii="Fira Code" w:eastAsia="宋体" w:hAnsi="Fira Code" w:cs="Times New Roman (正文 CS 字体)"/>
      <w:color w:val="005CC5"/>
      <w:sz w:val="21"/>
      <w:shd w:val="pct5" w:color="auto" w:fill="auto"/>
      <w:lang w:eastAsia="zh-CN"/>
    </w:rPr>
  </w:style>
  <w:style w:type="character" w:customStyle="1" w:styleId="StringTok">
    <w:name w:val="StringTok"/>
    <w:basedOn w:val="VerbatimChar"/>
    <w:rPr>
      <w:rFonts w:ascii="Fira Code" w:eastAsia="宋体" w:hAnsi="Fira Code" w:cs="Times New Roman (正文 CS 字体)"/>
      <w:color w:val="032F62"/>
      <w:sz w:val="21"/>
      <w:shd w:val="pct5" w:color="auto" w:fill="auto"/>
      <w:lang w:eastAsia="zh-CN"/>
    </w:rPr>
  </w:style>
  <w:style w:type="character" w:customStyle="1" w:styleId="VerbatimStringTok">
    <w:name w:val="VerbatimStringTok"/>
    <w:basedOn w:val="VerbatimChar"/>
    <w:rPr>
      <w:rFonts w:ascii="Fira Code" w:eastAsia="宋体" w:hAnsi="Fira Code" w:cs="Times New Roman (正文 CS 字体)"/>
      <w:color w:val="032F62"/>
      <w:sz w:val="21"/>
      <w:shd w:val="pct5" w:color="auto" w:fill="auto"/>
      <w:lang w:eastAsia="zh-CN"/>
    </w:rPr>
  </w:style>
  <w:style w:type="character" w:customStyle="1" w:styleId="SpecialStringTok">
    <w:name w:val="SpecialStringTok"/>
    <w:basedOn w:val="VerbatimChar"/>
    <w:rPr>
      <w:rFonts w:ascii="Fira Code" w:eastAsia="宋体" w:hAnsi="Fira Code" w:cs="Times New Roman (正文 CS 字体)"/>
      <w:color w:val="032F62"/>
      <w:sz w:val="21"/>
      <w:shd w:val="pct5" w:color="auto" w:fill="auto"/>
      <w:lang w:eastAsia="zh-CN"/>
    </w:rPr>
  </w:style>
  <w:style w:type="character" w:customStyle="1" w:styleId="ImportTok">
    <w:name w:val="ImportTok"/>
    <w:basedOn w:val="VerbatimChar"/>
    <w:rPr>
      <w:rFonts w:ascii="Fira Code" w:eastAsia="宋体" w:hAnsi="Fira Code" w:cs="Times New Roman (正文 CS 字体)"/>
      <w:color w:val="032F62"/>
      <w:sz w:val="21"/>
      <w:shd w:val="pct5" w:color="auto" w:fill="auto"/>
      <w:lang w:eastAsia="zh-CN"/>
    </w:rPr>
  </w:style>
  <w:style w:type="character" w:customStyle="1" w:styleId="CommentTok">
    <w:name w:val="CommentTok"/>
    <w:basedOn w:val="VerbatimChar"/>
    <w:rPr>
      <w:rFonts w:ascii="Fira Code" w:eastAsia="宋体" w:hAnsi="Fira Code" w:cs="Times New Roman (正文 CS 字体)"/>
      <w:color w:val="6A737D"/>
      <w:sz w:val="21"/>
      <w:shd w:val="pct5" w:color="auto" w:fill="auto"/>
      <w:lang w:eastAsia="zh-CN"/>
    </w:rPr>
  </w:style>
  <w:style w:type="character" w:customStyle="1" w:styleId="DocumentationTok">
    <w:name w:val="DocumentationTok"/>
    <w:basedOn w:val="VerbatimChar"/>
    <w:rPr>
      <w:rFonts w:ascii="Fira Code" w:eastAsia="宋体" w:hAnsi="Fira Code" w:cs="Times New Roman (正文 CS 字体)"/>
      <w:color w:val="6A737D"/>
      <w:sz w:val="21"/>
      <w:shd w:val="pct5" w:color="auto" w:fill="auto"/>
      <w:lang w:eastAsia="zh-CN"/>
    </w:rPr>
  </w:style>
  <w:style w:type="character" w:customStyle="1" w:styleId="AnnotationTok">
    <w:name w:val="AnnotationTok"/>
    <w:basedOn w:val="VerbatimChar"/>
    <w:rPr>
      <w:rFonts w:ascii="Fira Code" w:eastAsia="宋体" w:hAnsi="Fira Code" w:cs="Times New Roman (正文 CS 字体)"/>
      <w:color w:val="6A737D"/>
      <w:sz w:val="21"/>
      <w:shd w:val="pct5" w:color="auto" w:fill="auto"/>
      <w:lang w:eastAsia="zh-CN"/>
    </w:rPr>
  </w:style>
  <w:style w:type="character" w:customStyle="1" w:styleId="CommentVarTok">
    <w:name w:val="CommentVarTok"/>
    <w:basedOn w:val="VerbatimChar"/>
    <w:rPr>
      <w:rFonts w:ascii="Fira Code" w:eastAsia="宋体" w:hAnsi="Fira Code" w:cs="Times New Roman (正文 CS 字体)"/>
      <w:color w:val="6A737D"/>
      <w:sz w:val="21"/>
      <w:shd w:val="pct5" w:color="auto" w:fill="auto"/>
      <w:lang w:eastAsia="zh-CN"/>
    </w:rPr>
  </w:style>
  <w:style w:type="character" w:customStyle="1" w:styleId="OtherTok">
    <w:name w:val="OtherTok"/>
    <w:basedOn w:val="VerbatimChar"/>
    <w:rPr>
      <w:rFonts w:ascii="Fira Code" w:eastAsia="宋体" w:hAnsi="Fira Code" w:cs="Times New Roman (正文 CS 字体)"/>
      <w:color w:val="6F42C1"/>
      <w:sz w:val="21"/>
      <w:shd w:val="pct5" w:color="auto" w:fill="auto"/>
      <w:lang w:eastAsia="zh-CN"/>
    </w:rPr>
  </w:style>
  <w:style w:type="character" w:customStyle="1" w:styleId="FunctionTok">
    <w:name w:val="FunctionTok"/>
    <w:basedOn w:val="VerbatimChar"/>
    <w:rPr>
      <w:rFonts w:ascii="Fira Code" w:eastAsia="宋体" w:hAnsi="Fira Code" w:cs="Times New Roman (正文 CS 字体)"/>
      <w:color w:val="6F42C1"/>
      <w:sz w:val="21"/>
      <w:shd w:val="pct5" w:color="auto" w:fill="auto"/>
      <w:lang w:eastAsia="zh-CN"/>
    </w:rPr>
  </w:style>
  <w:style w:type="character" w:customStyle="1" w:styleId="VariableTok">
    <w:name w:val="VariableTok"/>
    <w:basedOn w:val="VerbatimChar"/>
    <w:rPr>
      <w:rFonts w:ascii="Fira Code" w:eastAsia="宋体" w:hAnsi="Fira Code" w:cs="Times New Roman (正文 CS 字体)"/>
      <w:color w:val="E36209"/>
      <w:sz w:val="21"/>
      <w:shd w:val="pct5" w:color="auto" w:fill="auto"/>
      <w:lang w:eastAsia="zh-CN"/>
    </w:rPr>
  </w:style>
  <w:style w:type="character" w:customStyle="1" w:styleId="ControlFlowTok">
    <w:name w:val="ControlFlowTok"/>
    <w:basedOn w:val="VerbatimChar"/>
    <w:rPr>
      <w:rFonts w:ascii="Fira Code" w:eastAsia="宋体" w:hAnsi="Fira Code" w:cs="Times New Roman (正文 CS 字体)"/>
      <w:color w:val="D73A49"/>
      <w:sz w:val="21"/>
      <w:shd w:val="pct5" w:color="auto" w:fill="auto"/>
      <w:lang w:eastAsia="zh-CN"/>
    </w:rPr>
  </w:style>
  <w:style w:type="character" w:customStyle="1" w:styleId="OperatorTok">
    <w:name w:val="OperatorTok"/>
    <w:basedOn w:val="VerbatimChar"/>
    <w:rPr>
      <w:rFonts w:ascii="Fira Code" w:eastAsia="宋体" w:hAnsi="Fira Code" w:cs="Times New Roman (正文 CS 字体)"/>
      <w:color w:val="24292E"/>
      <w:sz w:val="21"/>
      <w:shd w:val="pct5" w:color="auto" w:fill="auto"/>
      <w:lang w:eastAsia="zh-CN"/>
    </w:rPr>
  </w:style>
  <w:style w:type="character" w:customStyle="1" w:styleId="BuiltInTok">
    <w:name w:val="BuiltInTok"/>
    <w:basedOn w:val="VerbatimChar"/>
    <w:rPr>
      <w:rFonts w:ascii="Fira Code" w:eastAsia="宋体" w:hAnsi="Fira Code" w:cs="Times New Roman (正文 CS 字体)"/>
      <w:color w:val="D73A49"/>
      <w:sz w:val="21"/>
      <w:shd w:val="pct5" w:color="auto" w:fill="auto"/>
      <w:lang w:eastAsia="zh-CN"/>
    </w:rPr>
  </w:style>
  <w:style w:type="character" w:customStyle="1" w:styleId="ExtensionTok">
    <w:name w:val="ExtensionTok"/>
    <w:basedOn w:val="VerbatimChar"/>
    <w:rPr>
      <w:rFonts w:ascii="Fira Code" w:eastAsia="宋体" w:hAnsi="Fira Code" w:cs="Times New Roman (正文 CS 字体)"/>
      <w:b/>
      <w:color w:val="D73A49"/>
      <w:sz w:val="21"/>
      <w:shd w:val="pct5" w:color="auto" w:fill="auto"/>
      <w:lang w:eastAsia="zh-CN"/>
    </w:rPr>
  </w:style>
  <w:style w:type="character" w:customStyle="1" w:styleId="PreprocessorTok">
    <w:name w:val="PreprocessorTok"/>
    <w:basedOn w:val="VerbatimChar"/>
    <w:rPr>
      <w:rFonts w:ascii="Fira Code" w:eastAsia="宋体" w:hAnsi="Fira Code" w:cs="Times New Roman (正文 CS 字体)"/>
      <w:color w:val="D73A49"/>
      <w:sz w:val="21"/>
      <w:shd w:val="pct5" w:color="auto" w:fill="auto"/>
      <w:lang w:eastAsia="zh-CN"/>
    </w:rPr>
  </w:style>
  <w:style w:type="character" w:customStyle="1" w:styleId="AttributeTok">
    <w:name w:val="AttributeTok"/>
    <w:basedOn w:val="VerbatimChar"/>
    <w:rPr>
      <w:rFonts w:ascii="Fira Code" w:eastAsia="宋体" w:hAnsi="Fira Code" w:cs="Times New Roman (正文 CS 字体)"/>
      <w:color w:val="D73A49"/>
      <w:sz w:val="21"/>
      <w:shd w:val="pct5" w:color="auto" w:fill="auto"/>
      <w:lang w:eastAsia="zh-CN"/>
    </w:rPr>
  </w:style>
  <w:style w:type="character" w:customStyle="1" w:styleId="RegionMarkerTok">
    <w:name w:val="RegionMarkerTok"/>
    <w:basedOn w:val="VerbatimChar"/>
    <w:rPr>
      <w:rFonts w:ascii="Fira Code" w:eastAsia="宋体" w:hAnsi="Fira Code" w:cs="Times New Roman (正文 CS 字体)"/>
      <w:color w:val="6A737D"/>
      <w:sz w:val="21"/>
      <w:shd w:val="pct5" w:color="auto" w:fill="auto"/>
      <w:lang w:eastAsia="zh-CN"/>
    </w:rPr>
  </w:style>
  <w:style w:type="character" w:customStyle="1" w:styleId="InformationTok">
    <w:name w:val="InformationTok"/>
    <w:basedOn w:val="VerbatimChar"/>
    <w:rPr>
      <w:rFonts w:ascii="Fira Code" w:eastAsia="宋体" w:hAnsi="Fira Code" w:cs="Times New Roman (正文 CS 字体)"/>
      <w:color w:val="6A737D"/>
      <w:sz w:val="21"/>
      <w:shd w:val="pct5" w:color="auto" w:fill="auto"/>
      <w:lang w:eastAsia="zh-CN"/>
    </w:rPr>
  </w:style>
  <w:style w:type="character" w:customStyle="1" w:styleId="WarningTok">
    <w:name w:val="WarningTok"/>
    <w:basedOn w:val="VerbatimChar"/>
    <w:rPr>
      <w:rFonts w:ascii="Fira Code" w:eastAsia="宋体" w:hAnsi="Fira Code" w:cs="Times New Roman (正文 CS 字体)"/>
      <w:color w:val="FF5555"/>
      <w:sz w:val="21"/>
      <w:shd w:val="pct5" w:color="auto" w:fill="auto"/>
      <w:lang w:eastAsia="zh-CN"/>
    </w:rPr>
  </w:style>
  <w:style w:type="character" w:customStyle="1" w:styleId="AlertTok">
    <w:name w:val="AlertTok"/>
    <w:basedOn w:val="VerbatimChar"/>
    <w:rPr>
      <w:rFonts w:ascii="Fira Code" w:eastAsia="宋体" w:hAnsi="Fira Code" w:cs="Times New Roman (正文 CS 字体)"/>
      <w:b/>
      <w:color w:val="FF5555"/>
      <w:sz w:val="21"/>
      <w:shd w:val="pct5" w:color="auto" w:fill="auto"/>
      <w:lang w:eastAsia="zh-CN"/>
    </w:rPr>
  </w:style>
  <w:style w:type="character" w:customStyle="1" w:styleId="ErrorTok">
    <w:name w:val="ErrorTok"/>
    <w:basedOn w:val="VerbatimChar"/>
    <w:rPr>
      <w:rFonts w:ascii="Fira Code" w:eastAsia="宋体" w:hAnsi="Fira Code" w:cs="Times New Roman (正文 CS 字体)"/>
      <w:color w:val="FF5555"/>
      <w:sz w:val="21"/>
      <w:shd w:val="pct5" w:color="auto" w:fill="auto"/>
      <w:lang w:eastAsia="zh-CN"/>
    </w:rPr>
  </w:style>
  <w:style w:type="character" w:customStyle="1" w:styleId="NormalTok">
    <w:name w:val="NormalTok"/>
    <w:basedOn w:val="VerbatimChar"/>
    <w:rPr>
      <w:rFonts w:ascii="Fira Code" w:eastAsia="宋体" w:hAnsi="Fira Code" w:cs="Times New Roman (正文 CS 字体)"/>
      <w:color w:val="24292E"/>
      <w:sz w:val="21"/>
      <w:shd w:val="pct5" w:color="auto" w:fill="auto"/>
      <w:lang w:eastAsia="zh-CN"/>
    </w:rPr>
  </w:style>
  <w:style w:type="paragraph" w:styleId="TOC1">
    <w:name w:val="toc 1"/>
    <w:basedOn w:val="Normal"/>
    <w:next w:val="Normal"/>
    <w:autoRedefine/>
    <w:uiPriority w:val="39"/>
    <w:unhideWhenUsed/>
    <w:rsid w:val="0056461B"/>
    <w:rPr>
      <w:b/>
    </w:rPr>
  </w:style>
  <w:style w:type="paragraph" w:styleId="TOC2">
    <w:name w:val="toc 2"/>
    <w:basedOn w:val="Normal"/>
    <w:next w:val="Normal"/>
    <w:autoRedefine/>
    <w:uiPriority w:val="39"/>
    <w:unhideWhenUsed/>
    <w:rsid w:val="00365D4F"/>
    <w:pPr>
      <w:ind w:left="420" w:leftChars="200"/>
    </w:pPr>
  </w:style>
  <w:style w:type="paragraph" w:styleId="TOC3">
    <w:name w:val="toc 3"/>
    <w:basedOn w:val="Normal"/>
    <w:next w:val="Normal"/>
    <w:autoRedefine/>
    <w:uiPriority w:val="39"/>
    <w:unhideWhenUsed/>
    <w:rsid w:val="00365D4F"/>
    <w:pPr>
      <w:ind w:left="840" w:leftChars="400"/>
    </w:pPr>
  </w:style>
  <w:style w:type="paragraph" w:styleId="Header">
    <w:name w:val="header"/>
    <w:basedOn w:val="Normal"/>
    <w:link w:val="a0"/>
    <w:unhideWhenUsed/>
    <w:rsid w:val="00365D4F"/>
    <w:pPr>
      <w:pBdr>
        <w:bottom w:val="single" w:sz="6" w:space="1" w:color="auto"/>
      </w:pBdr>
      <w:tabs>
        <w:tab w:val="center" w:pos="4153"/>
        <w:tab w:val="right" w:pos="8306"/>
      </w:tabs>
      <w:snapToGrid w:val="0"/>
      <w:jc w:val="center"/>
    </w:pPr>
    <w:rPr>
      <w:sz w:val="18"/>
      <w:szCs w:val="18"/>
    </w:rPr>
  </w:style>
  <w:style w:type="character" w:customStyle="1" w:styleId="a0">
    <w:name w:val="页眉 字符"/>
    <w:basedOn w:val="DefaultParagraphFont"/>
    <w:link w:val="Header"/>
    <w:rsid w:val="00365D4F"/>
    <w:rPr>
      <w:sz w:val="18"/>
      <w:szCs w:val="18"/>
    </w:rPr>
  </w:style>
  <w:style w:type="paragraph" w:styleId="Footer">
    <w:name w:val="footer"/>
    <w:basedOn w:val="Normal"/>
    <w:link w:val="a1"/>
    <w:unhideWhenUsed/>
    <w:rsid w:val="00365D4F"/>
    <w:pPr>
      <w:tabs>
        <w:tab w:val="center" w:pos="4153"/>
        <w:tab w:val="right" w:pos="8306"/>
      </w:tabs>
      <w:snapToGrid w:val="0"/>
    </w:pPr>
    <w:rPr>
      <w:sz w:val="18"/>
      <w:szCs w:val="18"/>
    </w:rPr>
  </w:style>
  <w:style w:type="character" w:customStyle="1" w:styleId="a1">
    <w:name w:val="页脚 字符"/>
    <w:basedOn w:val="DefaultParagraphFont"/>
    <w:link w:val="Footer"/>
    <w:rsid w:val="00365D4F"/>
    <w:rPr>
      <w:sz w:val="18"/>
      <w:szCs w:val="18"/>
    </w:rPr>
  </w:style>
  <w:style w:type="table" w:customStyle="1" w:styleId="a2">
    <w:name w:val="三线表"/>
    <w:basedOn w:val="TableNormal"/>
    <w:uiPriority w:val="99"/>
    <w:rsid w:val="00B966D1"/>
    <w:pPr>
      <w:spacing w:after="0"/>
      <w:jc w:val="center"/>
    </w:pPr>
    <w:rPr>
      <w:rFonts w:ascii="Times New Roman" w:hAnsi="Times New Roman"/>
    </w:rPr>
    <w:tblPr>
      <w:tblBorders>
        <w:top w:val="single" w:sz="12" w:space="0" w:color="auto"/>
        <w:bottom w:val="single" w:sz="12" w:space="0" w:color="auto"/>
      </w:tblBorders>
    </w:tblPr>
    <w:tcPr>
      <w:vAlign w:val="center"/>
    </w:tcPr>
    <w:tblStylePr w:type="firstRow">
      <w:pPr>
        <w:jc w:val="center"/>
      </w:pPr>
      <w:rPr>
        <w:rFonts w:ascii="Times New Roman" w:hAnsi="Times New Roman" w:eastAsiaTheme="minorEastAsia"/>
        <w:b/>
      </w:rPr>
      <w:tblPr/>
      <w:tcPr>
        <w:tcBorders>
          <w:bottom w:val="single" w:sz="4" w:space="0" w:color="auto"/>
        </w:tcBorders>
        <w:vAlign w:val="center"/>
      </w:tcPr>
    </w:tblStylePr>
  </w:style>
  <w:style w:type="character" w:customStyle="1" w:styleId="a3">
    <w:name w:val="正文文本 字符"/>
    <w:basedOn w:val="DefaultParagraphFont"/>
    <w:link w:val="BodyText"/>
    <w:rsid w:val="00365D4F"/>
  </w:style>
  <w:style w:type="table" w:styleId="TableGrid">
    <w:name w:val="Table Grid"/>
    <w:basedOn w:val="TableNormal"/>
    <w:rsid w:val="00B966D1"/>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47054136134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11</Pages>
  <Words>304</Words>
  <Characters>1738</Characters>
  <Application>Microsoft Office Word</Application>
  <DocSecurity>0</DocSecurity>
  <Lines>14</Lines>
  <Paragraphs>4</Paragraphs>
  <ScaleCrop>false</ScaleCrop>
  <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2024-03-13T23:30:02Z</dcterms:created>
  <dcterms:modified xsi:type="dcterms:W3CDTF">2024-03-13T23:30:02Z</dcterms:modified>
</cp:coreProperties>
</file>