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邮政用信函和包裹分拣机项目情况报告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76" w:history="1">
        <w:r>
          <w:rPr>
            <w:rFonts w:ascii="仿宋" w:eastAsia="仿宋" w:hAnsi="仿宋" w:cs="仿宋" w:hint="eastAsia"/>
            <w:lang w:eastAsia="zh-CN"/>
          </w:rPr>
          <w:t>序言</w:t>
        </w:r>
        <w:r>
          <w:tab/>
        </w:r>
        <w:r>
          <w:fldChar w:fldCharType="begin"/>
        </w:r>
        <w:r>
          <w:instrText xml:space="preserve"> PAGEREF _Toc13976 \h </w:instrText>
        </w:r>
        <w:r>
          <w:fldChar w:fldCharType="separate"/>
        </w:r>
        <w:r>
          <w:t>3</w:t>
        </w:r>
        <w:r>
          <w:fldChar w:fldCharType="end"/>
        </w:r>
      </w:hyperlink>
    </w:p>
    <w:p>
      <w:pPr>
        <w:pStyle w:val="TOC1"/>
        <w:tabs>
          <w:tab w:val="right" w:leader="dot" w:pos="8306"/>
        </w:tabs>
      </w:pPr>
      <w:hyperlink w:anchor="_Toc4292" w:history="1">
        <w:r>
          <w:rPr>
            <w:rFonts w:ascii="仿宋" w:eastAsia="仿宋" w:hAnsi="仿宋" w:cs="仿宋" w:hint="eastAsia"/>
            <w:lang w:eastAsia="zh-CN"/>
          </w:rPr>
          <w:t>一、建设规划</w:t>
        </w:r>
        <w:r>
          <w:tab/>
        </w:r>
        <w:r>
          <w:fldChar w:fldCharType="begin"/>
        </w:r>
        <w:r>
          <w:instrText xml:space="preserve"> PAGEREF _Toc4292 \h </w:instrText>
        </w:r>
        <w:r>
          <w:fldChar w:fldCharType="separate"/>
        </w:r>
        <w:r>
          <w:t>3</w:t>
        </w:r>
        <w:r>
          <w:fldChar w:fldCharType="end"/>
        </w:r>
      </w:hyperlink>
    </w:p>
    <w:p>
      <w:pPr>
        <w:pStyle w:val="TOC2"/>
        <w:tabs>
          <w:tab w:val="right" w:leader="dot" w:pos="8306"/>
        </w:tabs>
      </w:pPr>
      <w:hyperlink w:anchor="_Toc21736" w:history="1">
        <w:r>
          <w:rPr>
            <w:rFonts w:ascii="仿宋" w:eastAsia="仿宋" w:hAnsi="仿宋" w:cs="仿宋" w:hint="eastAsia"/>
            <w:lang w:eastAsia="zh-CN"/>
          </w:rPr>
          <w:t>(一)、产品规划</w:t>
        </w:r>
        <w:r>
          <w:tab/>
        </w:r>
        <w:r>
          <w:fldChar w:fldCharType="begin"/>
        </w:r>
        <w:r>
          <w:instrText xml:space="preserve"> PAGEREF _Toc21736 \h </w:instrText>
        </w:r>
        <w:r>
          <w:fldChar w:fldCharType="separate"/>
        </w:r>
        <w:r>
          <w:t>3</w:t>
        </w:r>
        <w:r>
          <w:fldChar w:fldCharType="end"/>
        </w:r>
      </w:hyperlink>
    </w:p>
    <w:p>
      <w:pPr>
        <w:pStyle w:val="TOC2"/>
        <w:tabs>
          <w:tab w:val="right" w:leader="dot" w:pos="8306"/>
        </w:tabs>
      </w:pPr>
      <w:hyperlink w:anchor="_Toc9077" w:history="1">
        <w:r>
          <w:rPr>
            <w:rFonts w:ascii="仿宋" w:eastAsia="仿宋" w:hAnsi="仿宋" w:cs="仿宋" w:hint="eastAsia"/>
            <w:lang w:eastAsia="zh-CN"/>
          </w:rPr>
          <w:t>(二)、建设规模</w:t>
        </w:r>
        <w:r>
          <w:tab/>
        </w:r>
        <w:r>
          <w:fldChar w:fldCharType="begin"/>
        </w:r>
        <w:r>
          <w:instrText xml:space="preserve"> PAGEREF _Toc9077 \h </w:instrText>
        </w:r>
        <w:r>
          <w:fldChar w:fldCharType="separate"/>
        </w:r>
        <w:r>
          <w:t>5</w:t>
        </w:r>
        <w:r>
          <w:fldChar w:fldCharType="end"/>
        </w:r>
      </w:hyperlink>
    </w:p>
    <w:p>
      <w:pPr>
        <w:pStyle w:val="TOC1"/>
        <w:tabs>
          <w:tab w:val="right" w:leader="dot" w:pos="8306"/>
        </w:tabs>
      </w:pPr>
      <w:hyperlink w:anchor="_Toc28180" w:history="1">
        <w:r>
          <w:rPr>
            <w:rFonts w:ascii="仿宋" w:eastAsia="仿宋" w:hAnsi="仿宋" w:cs="仿宋" w:hint="eastAsia"/>
            <w:lang w:eastAsia="zh-CN"/>
          </w:rPr>
          <w:t>二、邮政用信函和包裹分拣机项目选址说明</w:t>
        </w:r>
        <w:r>
          <w:tab/>
        </w:r>
        <w:r>
          <w:fldChar w:fldCharType="begin"/>
        </w:r>
        <w:r>
          <w:instrText xml:space="preserve"> PAGEREF _Toc28180 \h </w:instrText>
        </w:r>
        <w:r>
          <w:fldChar w:fldCharType="separate"/>
        </w:r>
        <w:r>
          <w:t>7</w:t>
        </w:r>
        <w:r>
          <w:fldChar w:fldCharType="end"/>
        </w:r>
      </w:hyperlink>
    </w:p>
    <w:p>
      <w:pPr>
        <w:pStyle w:val="TOC2"/>
        <w:tabs>
          <w:tab w:val="right" w:leader="dot" w:pos="8306"/>
        </w:tabs>
      </w:pPr>
      <w:hyperlink w:anchor="_Toc5585" w:history="1">
        <w:r>
          <w:rPr>
            <w:rFonts w:ascii="仿宋" w:eastAsia="仿宋" w:hAnsi="仿宋" w:cs="仿宋" w:hint="eastAsia"/>
            <w:lang w:eastAsia="zh-CN"/>
          </w:rPr>
          <w:t>(一)、邮政用信函和包裹分拣机项目选址</w:t>
        </w:r>
        <w:r>
          <w:tab/>
        </w:r>
        <w:r>
          <w:fldChar w:fldCharType="begin"/>
        </w:r>
        <w:r>
          <w:instrText xml:space="preserve"> PAGEREF _Toc5585 \h </w:instrText>
        </w:r>
        <w:r>
          <w:fldChar w:fldCharType="separate"/>
        </w:r>
        <w:r>
          <w:t>7</w:t>
        </w:r>
        <w:r>
          <w:fldChar w:fldCharType="end"/>
        </w:r>
      </w:hyperlink>
    </w:p>
    <w:p>
      <w:pPr>
        <w:pStyle w:val="TOC2"/>
        <w:tabs>
          <w:tab w:val="right" w:leader="dot" w:pos="8306"/>
        </w:tabs>
      </w:pPr>
      <w:hyperlink w:anchor="_Toc18560" w:history="1">
        <w:r>
          <w:rPr>
            <w:rFonts w:ascii="仿宋" w:eastAsia="仿宋" w:hAnsi="仿宋" w:cs="仿宋" w:hint="eastAsia"/>
            <w:lang w:eastAsia="zh-CN"/>
          </w:rPr>
          <w:t>(二)、用地控制指标</w:t>
        </w:r>
        <w:r>
          <w:tab/>
        </w:r>
        <w:r>
          <w:fldChar w:fldCharType="begin"/>
        </w:r>
        <w:r>
          <w:instrText xml:space="preserve"> PAGEREF _Toc18560 \h </w:instrText>
        </w:r>
        <w:r>
          <w:fldChar w:fldCharType="separate"/>
        </w:r>
        <w:r>
          <w:t>7</w:t>
        </w:r>
        <w:r>
          <w:fldChar w:fldCharType="end"/>
        </w:r>
      </w:hyperlink>
    </w:p>
    <w:p>
      <w:pPr>
        <w:pStyle w:val="TOC2"/>
        <w:tabs>
          <w:tab w:val="right" w:leader="dot" w:pos="8306"/>
        </w:tabs>
      </w:pPr>
      <w:hyperlink w:anchor="_Toc12464" w:history="1">
        <w:r>
          <w:rPr>
            <w:rFonts w:ascii="仿宋" w:eastAsia="仿宋" w:hAnsi="仿宋" w:cs="仿宋" w:hint="eastAsia"/>
            <w:lang w:eastAsia="zh-CN"/>
          </w:rPr>
          <w:t>(三)、节约用地措施</w:t>
        </w:r>
        <w:r>
          <w:tab/>
        </w:r>
        <w:r>
          <w:fldChar w:fldCharType="begin"/>
        </w:r>
        <w:r>
          <w:instrText xml:space="preserve"> PAGEREF _Toc12464 \h </w:instrText>
        </w:r>
        <w:r>
          <w:fldChar w:fldCharType="separate"/>
        </w:r>
        <w:r>
          <w:t>8</w:t>
        </w:r>
        <w:r>
          <w:fldChar w:fldCharType="end"/>
        </w:r>
      </w:hyperlink>
    </w:p>
    <w:p>
      <w:pPr>
        <w:pStyle w:val="TOC2"/>
        <w:tabs>
          <w:tab w:val="right" w:leader="dot" w:pos="8306"/>
        </w:tabs>
      </w:pPr>
      <w:hyperlink w:anchor="_Toc15771" w:history="1">
        <w:r>
          <w:rPr>
            <w:rFonts w:ascii="仿宋" w:eastAsia="仿宋" w:hAnsi="仿宋" w:cs="仿宋" w:hint="eastAsia"/>
            <w:lang w:eastAsia="zh-CN"/>
          </w:rPr>
          <w:t>(四)、总图布置方案</w:t>
        </w:r>
        <w:r>
          <w:tab/>
        </w:r>
        <w:r>
          <w:fldChar w:fldCharType="begin"/>
        </w:r>
        <w:r>
          <w:instrText xml:space="preserve"> PAGEREF _Toc15771 \h </w:instrText>
        </w:r>
        <w:r>
          <w:fldChar w:fldCharType="separate"/>
        </w:r>
        <w:r>
          <w:t>9</w:t>
        </w:r>
        <w:r>
          <w:fldChar w:fldCharType="end"/>
        </w:r>
      </w:hyperlink>
    </w:p>
    <w:p>
      <w:pPr>
        <w:pStyle w:val="TOC2"/>
        <w:tabs>
          <w:tab w:val="right" w:leader="dot" w:pos="8306"/>
        </w:tabs>
      </w:pPr>
      <w:hyperlink w:anchor="_Toc13269" w:history="1">
        <w:r>
          <w:rPr>
            <w:rFonts w:ascii="仿宋" w:eastAsia="仿宋" w:hAnsi="仿宋" w:cs="仿宋" w:hint="eastAsia"/>
            <w:lang w:eastAsia="zh-CN"/>
          </w:rPr>
          <w:t>(五)、选址综合评价</w:t>
        </w:r>
        <w:r>
          <w:tab/>
        </w:r>
        <w:r>
          <w:fldChar w:fldCharType="begin"/>
        </w:r>
        <w:r>
          <w:instrText xml:space="preserve"> PAGEREF _Toc13269 \h </w:instrText>
        </w:r>
        <w:r>
          <w:fldChar w:fldCharType="separate"/>
        </w:r>
        <w:r>
          <w:t>10</w:t>
        </w:r>
        <w:r>
          <w:fldChar w:fldCharType="end"/>
        </w:r>
      </w:hyperlink>
    </w:p>
    <w:p>
      <w:pPr>
        <w:pStyle w:val="TOC1"/>
        <w:tabs>
          <w:tab w:val="right" w:leader="dot" w:pos="8306"/>
        </w:tabs>
      </w:pPr>
      <w:hyperlink w:anchor="_Toc29161" w:history="1">
        <w:r>
          <w:rPr>
            <w:rFonts w:ascii="仿宋" w:eastAsia="仿宋" w:hAnsi="仿宋" w:cs="仿宋" w:hint="eastAsia"/>
            <w:lang w:eastAsia="zh-CN"/>
          </w:rPr>
          <w:t>三、工艺分析</w:t>
        </w:r>
        <w:r>
          <w:tab/>
        </w:r>
        <w:r>
          <w:fldChar w:fldCharType="begin"/>
        </w:r>
        <w:r>
          <w:instrText xml:space="preserve"> PAGEREF _Toc29161 \h </w:instrText>
        </w:r>
        <w:r>
          <w:fldChar w:fldCharType="separate"/>
        </w:r>
        <w:r>
          <w:t>11</w:t>
        </w:r>
        <w:r>
          <w:fldChar w:fldCharType="end"/>
        </w:r>
      </w:hyperlink>
    </w:p>
    <w:p>
      <w:pPr>
        <w:pStyle w:val="TOC2"/>
        <w:tabs>
          <w:tab w:val="right" w:leader="dot" w:pos="8306"/>
        </w:tabs>
      </w:pPr>
      <w:hyperlink w:anchor="_Toc11865" w:history="1">
        <w:r>
          <w:rPr>
            <w:rFonts w:ascii="仿宋" w:eastAsia="仿宋" w:hAnsi="仿宋" w:cs="仿宋" w:hint="eastAsia"/>
            <w:lang w:eastAsia="zh-CN"/>
          </w:rPr>
          <w:t>(一)、技术管理特点</w:t>
        </w:r>
        <w:r>
          <w:tab/>
        </w:r>
        <w:r>
          <w:fldChar w:fldCharType="begin"/>
        </w:r>
        <w:r>
          <w:instrText xml:space="preserve"> PAGEREF _Toc11865 \h </w:instrText>
        </w:r>
        <w:r>
          <w:fldChar w:fldCharType="separate"/>
        </w:r>
        <w:r>
          <w:t>11</w:t>
        </w:r>
        <w:r>
          <w:fldChar w:fldCharType="end"/>
        </w:r>
      </w:hyperlink>
    </w:p>
    <w:p>
      <w:pPr>
        <w:pStyle w:val="TOC2"/>
        <w:tabs>
          <w:tab w:val="right" w:leader="dot" w:pos="8306"/>
        </w:tabs>
      </w:pPr>
      <w:hyperlink w:anchor="_Toc18997" w:history="1">
        <w:r>
          <w:rPr>
            <w:rFonts w:ascii="仿宋" w:eastAsia="仿宋" w:hAnsi="仿宋" w:cs="仿宋" w:hint="eastAsia"/>
            <w:lang w:eastAsia="zh-CN"/>
          </w:rPr>
          <w:t>(二)、邮政用信函和包裹分拣机项目工艺技术设计方案</w:t>
        </w:r>
        <w:r>
          <w:tab/>
        </w:r>
        <w:r>
          <w:fldChar w:fldCharType="begin"/>
        </w:r>
        <w:r>
          <w:instrText xml:space="preserve"> PAGEREF _Toc18997 \h </w:instrText>
        </w:r>
        <w:r>
          <w:fldChar w:fldCharType="separate"/>
        </w:r>
        <w:r>
          <w:t>12</w:t>
        </w:r>
        <w:r>
          <w:fldChar w:fldCharType="end"/>
        </w:r>
      </w:hyperlink>
    </w:p>
    <w:p>
      <w:pPr>
        <w:pStyle w:val="TOC2"/>
        <w:tabs>
          <w:tab w:val="right" w:leader="dot" w:pos="8306"/>
        </w:tabs>
      </w:pPr>
      <w:hyperlink w:anchor="_Toc9096" w:history="1">
        <w:r>
          <w:rPr>
            <w:rFonts w:ascii="仿宋" w:eastAsia="仿宋" w:hAnsi="仿宋" w:cs="仿宋" w:hint="eastAsia"/>
            <w:lang w:eastAsia="zh-CN"/>
          </w:rPr>
          <w:t>(三)、设备选型方案</w:t>
        </w:r>
        <w:r>
          <w:tab/>
        </w:r>
        <w:r>
          <w:fldChar w:fldCharType="begin"/>
        </w:r>
        <w:r>
          <w:instrText xml:space="preserve"> PAGEREF _Toc9096 \h </w:instrText>
        </w:r>
        <w:r>
          <w:fldChar w:fldCharType="separate"/>
        </w:r>
        <w:r>
          <w:t>13</w:t>
        </w:r>
        <w:r>
          <w:fldChar w:fldCharType="end"/>
        </w:r>
      </w:hyperlink>
    </w:p>
    <w:p>
      <w:pPr>
        <w:pStyle w:val="TOC1"/>
        <w:tabs>
          <w:tab w:val="right" w:leader="dot" w:pos="8306"/>
        </w:tabs>
      </w:pPr>
      <w:hyperlink w:anchor="_Toc28552" w:history="1">
        <w:r>
          <w:rPr>
            <w:rFonts w:ascii="仿宋" w:eastAsia="仿宋" w:hAnsi="仿宋" w:cs="仿宋" w:hint="eastAsia"/>
            <w:lang w:eastAsia="zh-CN"/>
          </w:rPr>
          <w:t>四、建设单位基本信息</w:t>
        </w:r>
        <w:r>
          <w:tab/>
        </w:r>
        <w:r>
          <w:fldChar w:fldCharType="begin"/>
        </w:r>
        <w:r>
          <w:instrText xml:space="preserve"> PAGEREF _Toc28552 \h </w:instrText>
        </w:r>
        <w:r>
          <w:fldChar w:fldCharType="separate"/>
        </w:r>
        <w:r>
          <w:t>14</w:t>
        </w:r>
        <w:r>
          <w:fldChar w:fldCharType="end"/>
        </w:r>
      </w:hyperlink>
    </w:p>
    <w:p>
      <w:pPr>
        <w:pStyle w:val="TOC2"/>
        <w:tabs>
          <w:tab w:val="right" w:leader="dot" w:pos="8306"/>
        </w:tabs>
      </w:pPr>
      <w:hyperlink w:anchor="_Toc10128" w:history="1">
        <w:r>
          <w:rPr>
            <w:rFonts w:ascii="仿宋" w:eastAsia="仿宋" w:hAnsi="仿宋" w:cs="仿宋" w:hint="eastAsia"/>
            <w:lang w:eastAsia="zh-CN"/>
          </w:rPr>
          <w:t>(一)、邮政用信函和包裹分拣机项目承办单位基本情况</w:t>
        </w:r>
        <w:r>
          <w:tab/>
        </w:r>
        <w:r>
          <w:fldChar w:fldCharType="begin"/>
        </w:r>
        <w:r>
          <w:instrText xml:space="preserve"> PAGEREF _Toc10128 \h </w:instrText>
        </w:r>
        <w:r>
          <w:fldChar w:fldCharType="separate"/>
        </w:r>
        <w:r>
          <w:t>14</w:t>
        </w:r>
        <w:r>
          <w:fldChar w:fldCharType="end"/>
        </w:r>
      </w:hyperlink>
    </w:p>
    <w:p>
      <w:pPr>
        <w:pStyle w:val="TOC2"/>
        <w:tabs>
          <w:tab w:val="right" w:leader="dot" w:pos="8306"/>
        </w:tabs>
      </w:pPr>
      <w:hyperlink w:anchor="_Toc32659" w:history="1">
        <w:r>
          <w:rPr>
            <w:rFonts w:ascii="仿宋" w:eastAsia="仿宋" w:hAnsi="仿宋" w:cs="仿宋" w:hint="eastAsia"/>
            <w:lang w:eastAsia="zh-CN"/>
          </w:rPr>
          <w:t>(二)、公司经济效益分析</w:t>
        </w:r>
        <w:r>
          <w:tab/>
        </w:r>
        <w:r>
          <w:fldChar w:fldCharType="begin"/>
        </w:r>
        <w:r>
          <w:instrText xml:space="preserve"> PAGEREF _Toc32659 \h </w:instrText>
        </w:r>
        <w:r>
          <w:fldChar w:fldCharType="separate"/>
        </w:r>
        <w:r>
          <w:t>16</w:t>
        </w:r>
        <w:r>
          <w:fldChar w:fldCharType="end"/>
        </w:r>
      </w:hyperlink>
    </w:p>
    <w:p>
      <w:pPr>
        <w:pStyle w:val="TOC1"/>
        <w:tabs>
          <w:tab w:val="right" w:leader="dot" w:pos="8306"/>
        </w:tabs>
      </w:pPr>
      <w:hyperlink w:anchor="_Toc15019" w:history="1">
        <w:r>
          <w:rPr>
            <w:rFonts w:ascii="仿宋" w:eastAsia="仿宋" w:hAnsi="仿宋" w:cs="仿宋" w:hint="eastAsia"/>
            <w:lang w:eastAsia="zh-CN"/>
          </w:rPr>
          <w:t>五、邮政用信函和包裹分拣机项目运营管理</w:t>
        </w:r>
        <w:r>
          <w:tab/>
        </w:r>
        <w:r>
          <w:fldChar w:fldCharType="begin"/>
        </w:r>
        <w:r>
          <w:instrText xml:space="preserve"> PAGEREF _Toc15019 \h </w:instrText>
        </w:r>
        <w:r>
          <w:fldChar w:fldCharType="separate"/>
        </w:r>
        <w:r>
          <w:t>17</w:t>
        </w:r>
        <w:r>
          <w:fldChar w:fldCharType="end"/>
        </w:r>
      </w:hyperlink>
    </w:p>
    <w:p>
      <w:pPr>
        <w:pStyle w:val="TOC2"/>
        <w:tabs>
          <w:tab w:val="right" w:leader="dot" w:pos="8306"/>
        </w:tabs>
      </w:pPr>
      <w:hyperlink w:anchor="_Toc13741" w:history="1">
        <w:r>
          <w:rPr>
            <w:rFonts w:ascii="仿宋" w:eastAsia="仿宋" w:hAnsi="仿宋" w:cs="仿宋" w:hint="eastAsia"/>
            <w:lang w:eastAsia="zh-CN"/>
          </w:rPr>
          <w:t>(一)、运营管理机构设置</w:t>
        </w:r>
        <w:r>
          <w:tab/>
        </w:r>
        <w:r>
          <w:fldChar w:fldCharType="begin"/>
        </w:r>
        <w:r>
          <w:instrText xml:space="preserve"> PAGEREF _Toc13741 \h </w:instrText>
        </w:r>
        <w:r>
          <w:fldChar w:fldCharType="separate"/>
        </w:r>
        <w:r>
          <w:t>17</w:t>
        </w:r>
        <w:r>
          <w:fldChar w:fldCharType="end"/>
        </w:r>
      </w:hyperlink>
    </w:p>
    <w:p>
      <w:pPr>
        <w:pStyle w:val="TOC2"/>
        <w:tabs>
          <w:tab w:val="right" w:leader="dot" w:pos="8306"/>
        </w:tabs>
      </w:pPr>
      <w:hyperlink w:anchor="_Toc7861" w:history="1">
        <w:r>
          <w:rPr>
            <w:rFonts w:ascii="仿宋" w:eastAsia="仿宋" w:hAnsi="仿宋" w:cs="仿宋" w:hint="eastAsia"/>
            <w:lang w:eastAsia="zh-CN"/>
          </w:rPr>
          <w:t>(二)、运营管理流程</w:t>
        </w:r>
        <w:r>
          <w:tab/>
        </w:r>
        <w:r>
          <w:fldChar w:fldCharType="begin"/>
        </w:r>
        <w:r>
          <w:instrText xml:space="preserve"> PAGEREF _Toc7861 \h </w:instrText>
        </w:r>
        <w:r>
          <w:fldChar w:fldCharType="separate"/>
        </w:r>
        <w:r>
          <w:t>21</w:t>
        </w:r>
        <w:r>
          <w:fldChar w:fldCharType="end"/>
        </w:r>
      </w:hyperlink>
    </w:p>
    <w:p>
      <w:pPr>
        <w:pStyle w:val="TOC2"/>
        <w:tabs>
          <w:tab w:val="right" w:leader="dot" w:pos="8306"/>
        </w:tabs>
      </w:pPr>
      <w:hyperlink w:anchor="_Toc30879" w:history="1">
        <w:r>
          <w:rPr>
            <w:rFonts w:ascii="仿宋" w:eastAsia="仿宋" w:hAnsi="仿宋" w:cs="仿宋" w:hint="eastAsia"/>
            <w:lang w:eastAsia="zh-CN"/>
          </w:rPr>
          <w:t>(三)、人员配备及培训</w:t>
        </w:r>
        <w:r>
          <w:tab/>
        </w:r>
        <w:r>
          <w:fldChar w:fldCharType="begin"/>
        </w:r>
        <w:r>
          <w:instrText xml:space="preserve"> PAGEREF _Toc30879 \h </w:instrText>
        </w:r>
        <w:r>
          <w:fldChar w:fldCharType="separate"/>
        </w:r>
        <w:r>
          <w:t>24</w:t>
        </w:r>
        <w:r>
          <w:fldChar w:fldCharType="end"/>
        </w:r>
      </w:hyperlink>
    </w:p>
    <w:p>
      <w:pPr>
        <w:pStyle w:val="TOC2"/>
        <w:tabs>
          <w:tab w:val="right" w:leader="dot" w:pos="8306"/>
        </w:tabs>
      </w:pPr>
      <w:hyperlink w:anchor="_Toc585" w:history="1">
        <w:r>
          <w:rPr>
            <w:rFonts w:ascii="仿宋" w:eastAsia="仿宋" w:hAnsi="仿宋" w:cs="仿宋" w:hint="eastAsia"/>
            <w:lang w:eastAsia="zh-CN"/>
          </w:rPr>
          <w:t>(四)、质量管理体系</w:t>
        </w:r>
        <w:r>
          <w:tab/>
        </w:r>
        <w:r>
          <w:fldChar w:fldCharType="begin"/>
        </w:r>
        <w:r>
          <w:instrText xml:space="preserve"> PAGEREF _Toc585 \h </w:instrText>
        </w:r>
        <w:r>
          <w:fldChar w:fldCharType="separate"/>
        </w:r>
        <w:r>
          <w:t>26</w:t>
        </w:r>
        <w:r>
          <w:fldChar w:fldCharType="end"/>
        </w:r>
      </w:hyperlink>
    </w:p>
    <w:p>
      <w:pPr>
        <w:pStyle w:val="TOC2"/>
        <w:tabs>
          <w:tab w:val="right" w:leader="dot" w:pos="8306"/>
        </w:tabs>
      </w:pPr>
      <w:hyperlink w:anchor="_Toc23494" w:history="1">
        <w:r>
          <w:rPr>
            <w:rFonts w:ascii="仿宋" w:eastAsia="仿宋" w:hAnsi="仿宋" w:cs="仿宋" w:hint="eastAsia"/>
            <w:lang w:eastAsia="zh-CN"/>
          </w:rPr>
          <w:t>(五)、安全生产管理</w:t>
        </w:r>
        <w:r>
          <w:tab/>
        </w:r>
        <w:r>
          <w:fldChar w:fldCharType="begin"/>
        </w:r>
        <w:r>
          <w:instrText xml:space="preserve"> PAGEREF _Toc23494 \h </w:instrText>
        </w:r>
        <w:r>
          <w:fldChar w:fldCharType="separate"/>
        </w:r>
        <w:r>
          <w:t>28</w:t>
        </w:r>
        <w:r>
          <w:fldChar w:fldCharType="end"/>
        </w:r>
      </w:hyperlink>
    </w:p>
    <w:p>
      <w:pPr>
        <w:pStyle w:val="TOC2"/>
        <w:tabs>
          <w:tab w:val="right" w:leader="dot" w:pos="8306"/>
        </w:tabs>
      </w:pPr>
      <w:hyperlink w:anchor="_Toc30161" w:history="1">
        <w:r>
          <w:rPr>
            <w:rFonts w:ascii="仿宋" w:eastAsia="仿宋" w:hAnsi="仿宋" w:cs="仿宋" w:hint="eastAsia"/>
            <w:lang w:eastAsia="zh-CN"/>
          </w:rPr>
          <w:t>(六)、环境管理</w:t>
        </w:r>
        <w:r>
          <w:tab/>
        </w:r>
        <w:r>
          <w:fldChar w:fldCharType="begin"/>
        </w:r>
        <w:r>
          <w:instrText xml:space="preserve"> PAGEREF _Toc30161 \h </w:instrText>
        </w:r>
        <w:r>
          <w:fldChar w:fldCharType="separate"/>
        </w:r>
        <w:r>
          <w:t>31</w:t>
        </w:r>
        <w:r>
          <w:fldChar w:fldCharType="end"/>
        </w:r>
      </w:hyperlink>
    </w:p>
    <w:p>
      <w:pPr>
        <w:pStyle w:val="TOC2"/>
        <w:tabs>
          <w:tab w:val="right" w:leader="dot" w:pos="8306"/>
        </w:tabs>
      </w:pPr>
      <w:hyperlink w:anchor="_Toc22104" w:history="1">
        <w:r>
          <w:rPr>
            <w:rFonts w:ascii="仿宋" w:eastAsia="仿宋" w:hAnsi="仿宋" w:cs="仿宋" w:hint="eastAsia"/>
            <w:lang w:eastAsia="zh-CN"/>
          </w:rPr>
          <w:t>(七)、设备维护与保养</w:t>
        </w:r>
        <w:r>
          <w:tab/>
        </w:r>
        <w:r>
          <w:fldChar w:fldCharType="begin"/>
        </w:r>
        <w:r>
          <w:instrText xml:space="preserve"> PAGEREF _Toc22104 \h </w:instrText>
        </w:r>
        <w:r>
          <w:fldChar w:fldCharType="separate"/>
        </w:r>
        <w:r>
          <w:t>33</w:t>
        </w:r>
        <w:r>
          <w:fldChar w:fldCharType="end"/>
        </w:r>
      </w:hyperlink>
    </w:p>
    <w:p>
      <w:pPr>
        <w:pStyle w:val="TOC2"/>
        <w:tabs>
          <w:tab w:val="right" w:leader="dot" w:pos="8306"/>
        </w:tabs>
      </w:pPr>
      <w:hyperlink w:anchor="_Toc573" w:history="1">
        <w:r>
          <w:rPr>
            <w:rFonts w:ascii="仿宋" w:eastAsia="仿宋" w:hAnsi="仿宋" w:cs="仿宋" w:hint="eastAsia"/>
            <w:lang w:eastAsia="zh-CN"/>
          </w:rPr>
          <w:t>(八)、应急预案与处置</w:t>
        </w:r>
        <w:r>
          <w:tab/>
        </w:r>
        <w:r>
          <w:fldChar w:fldCharType="begin"/>
        </w:r>
        <w:r>
          <w:instrText xml:space="preserve"> PAGEREF _Toc573 \h </w:instrText>
        </w:r>
        <w:r>
          <w:fldChar w:fldCharType="separate"/>
        </w:r>
        <w:r>
          <w:t>35</w:t>
        </w:r>
        <w:r>
          <w:fldChar w:fldCharType="end"/>
        </w:r>
      </w:hyperlink>
    </w:p>
    <w:p>
      <w:pPr>
        <w:pStyle w:val="TOC2"/>
        <w:tabs>
          <w:tab w:val="right" w:leader="dot" w:pos="8306"/>
        </w:tabs>
      </w:pPr>
      <w:hyperlink w:anchor="_Toc18899" w:history="1">
        <w:r>
          <w:rPr>
            <w:rFonts w:ascii="仿宋" w:eastAsia="仿宋" w:hAnsi="仿宋" w:cs="仿宋" w:hint="eastAsia"/>
            <w:lang w:eastAsia="zh-CN"/>
          </w:rPr>
          <w:t>(九)、绩效评估</w:t>
        </w:r>
        <w:r>
          <w:tab/>
        </w:r>
        <w:r>
          <w:fldChar w:fldCharType="begin"/>
        </w:r>
        <w:r>
          <w:instrText xml:space="preserve"> PAGEREF _Toc18899 \h </w:instrText>
        </w:r>
        <w:r>
          <w:fldChar w:fldCharType="separate"/>
        </w:r>
        <w:r>
          <w:t>37</w:t>
        </w:r>
        <w:r>
          <w:fldChar w:fldCharType="end"/>
        </w:r>
      </w:hyperlink>
    </w:p>
    <w:p>
      <w:pPr>
        <w:pStyle w:val="TOC1"/>
        <w:tabs>
          <w:tab w:val="right" w:leader="dot" w:pos="8306"/>
        </w:tabs>
      </w:pPr>
      <w:hyperlink w:anchor="_Toc13874" w:history="1">
        <w:r>
          <w:rPr>
            <w:rFonts w:ascii="仿宋" w:eastAsia="仿宋" w:hAnsi="仿宋" w:cs="仿宋" w:hint="eastAsia"/>
            <w:lang w:eastAsia="zh-CN"/>
          </w:rPr>
          <w:t>六、危机管理与应急预案</w:t>
        </w:r>
        <w:r>
          <w:tab/>
        </w:r>
        <w:r>
          <w:fldChar w:fldCharType="begin"/>
        </w:r>
        <w:r>
          <w:instrText xml:space="preserve"> PAGEREF _Toc13874 \h </w:instrText>
        </w:r>
        <w:r>
          <w:fldChar w:fldCharType="separate"/>
        </w:r>
        <w:r>
          <w:t>38</w:t>
        </w:r>
        <w:r>
          <w:fldChar w:fldCharType="end"/>
        </w:r>
      </w:hyperlink>
    </w:p>
    <w:p>
      <w:pPr>
        <w:pStyle w:val="TOC2"/>
        <w:tabs>
          <w:tab w:val="right" w:leader="dot" w:pos="8306"/>
        </w:tabs>
      </w:pPr>
      <w:hyperlink w:anchor="_Toc30941" w:history="1">
        <w:r>
          <w:rPr>
            <w:rFonts w:ascii="仿宋" w:eastAsia="仿宋" w:hAnsi="仿宋" w:cs="仿宋" w:hint="eastAsia"/>
            <w:lang w:eastAsia="zh-CN"/>
          </w:rPr>
          <w:t>(一)、危机预警与监测</w:t>
        </w:r>
        <w:r>
          <w:tab/>
        </w:r>
        <w:r>
          <w:fldChar w:fldCharType="begin"/>
        </w:r>
        <w:r>
          <w:instrText xml:space="preserve"> PAGEREF _Toc30941 \h </w:instrText>
        </w:r>
        <w:r>
          <w:fldChar w:fldCharType="separate"/>
        </w:r>
        <w:r>
          <w:t>38</w:t>
        </w:r>
        <w:r>
          <w:fldChar w:fldCharType="end"/>
        </w:r>
      </w:hyperlink>
    </w:p>
    <w:p>
      <w:pPr>
        <w:pStyle w:val="TOC2"/>
        <w:tabs>
          <w:tab w:val="right" w:leader="dot" w:pos="8306"/>
        </w:tabs>
      </w:pPr>
      <w:hyperlink w:anchor="_Toc26100" w:history="1">
        <w:r>
          <w:rPr>
            <w:rFonts w:ascii="仿宋" w:eastAsia="仿宋" w:hAnsi="仿宋" w:cs="仿宋" w:hint="eastAsia"/>
            <w:lang w:eastAsia="zh-CN"/>
          </w:rPr>
          <w:t>(二)、应急预案与危机响应</w:t>
        </w:r>
        <w:r>
          <w:tab/>
        </w:r>
        <w:r>
          <w:fldChar w:fldCharType="begin"/>
        </w:r>
        <w:r>
          <w:instrText xml:space="preserve"> PAGEREF _Toc26100 \h </w:instrText>
        </w:r>
        <w:r>
          <w:fldChar w:fldCharType="separate"/>
        </w:r>
        <w:r>
          <w:t>40</w:t>
        </w:r>
        <w:r>
          <w:fldChar w:fldCharType="end"/>
        </w:r>
      </w:hyperlink>
    </w:p>
    <w:p>
      <w:pPr>
        <w:pStyle w:val="TOC2"/>
        <w:tabs>
          <w:tab w:val="right" w:leader="dot" w:pos="8306"/>
        </w:tabs>
      </w:pPr>
      <w:hyperlink w:anchor="_Toc23066" w:history="1">
        <w:r>
          <w:rPr>
            <w:rFonts w:ascii="仿宋" w:eastAsia="仿宋" w:hAnsi="仿宋" w:cs="仿宋" w:hint="eastAsia"/>
            <w:lang w:eastAsia="zh-CN"/>
          </w:rPr>
          <w:t>(三)、危机沟通与舆情控制</w:t>
        </w:r>
        <w:r>
          <w:tab/>
        </w:r>
        <w:r>
          <w:fldChar w:fldCharType="begin"/>
        </w:r>
        <w:r>
          <w:instrText xml:space="preserve"> PAGEREF _Toc23066 \h </w:instrText>
        </w:r>
        <w:r>
          <w:fldChar w:fldCharType="separate"/>
        </w:r>
        <w:r>
          <w:t>42</w:t>
        </w:r>
        <w:r>
          <w:fldChar w:fldCharType="end"/>
        </w:r>
      </w:hyperlink>
    </w:p>
    <w:p>
      <w:pPr>
        <w:pStyle w:val="TOC2"/>
        <w:tabs>
          <w:tab w:val="right" w:leader="dot" w:pos="8306"/>
        </w:tabs>
      </w:pPr>
      <w:hyperlink w:anchor="_Toc31574" w:history="1">
        <w:r>
          <w:rPr>
            <w:rFonts w:ascii="仿宋" w:eastAsia="仿宋" w:hAnsi="仿宋" w:cs="仿宋" w:hint="eastAsia"/>
            <w:lang w:eastAsia="zh-CN"/>
          </w:rPr>
          <w:t>(四)、危机后教训与改进</w:t>
        </w:r>
        <w:r>
          <w:tab/>
        </w:r>
        <w:r>
          <w:fldChar w:fldCharType="begin"/>
        </w:r>
        <w:r>
          <w:instrText xml:space="preserve"> PAGEREF _Toc31574 \h </w:instrText>
        </w:r>
        <w:r>
          <w:fldChar w:fldCharType="separate"/>
        </w:r>
        <w:r>
          <w:t>44</w:t>
        </w:r>
        <w:r>
          <w:fldChar w:fldCharType="end"/>
        </w:r>
      </w:hyperlink>
    </w:p>
    <w:p>
      <w:pPr>
        <w:pStyle w:val="TOC1"/>
        <w:tabs>
          <w:tab w:val="right" w:leader="dot" w:pos="8306"/>
        </w:tabs>
      </w:pPr>
      <w:hyperlink w:anchor="_Toc20167" w:history="1">
        <w:r>
          <w:rPr>
            <w:rFonts w:ascii="仿宋" w:eastAsia="仿宋" w:hAnsi="仿宋" w:cs="仿宋" w:hint="eastAsia"/>
            <w:lang w:eastAsia="zh-CN"/>
          </w:rPr>
          <w:t>七、员工福利与企业文化</w:t>
        </w:r>
        <w:r>
          <w:tab/>
        </w:r>
        <w:r>
          <w:fldChar w:fldCharType="begin"/>
        </w:r>
        <w:r>
          <w:instrText xml:space="preserve"> PAGEREF _Toc20167 \h </w:instrText>
        </w:r>
        <w:r>
          <w:fldChar w:fldCharType="separate"/>
        </w:r>
        <w:r>
          <w:t>46</w:t>
        </w:r>
        <w:r>
          <w:fldChar w:fldCharType="end"/>
        </w:r>
      </w:hyperlink>
    </w:p>
    <w:p>
      <w:pPr>
        <w:pStyle w:val="TOC2"/>
        <w:tabs>
          <w:tab w:val="right" w:leader="dot" w:pos="8306"/>
        </w:tabs>
      </w:pPr>
      <w:hyperlink w:anchor="_Toc24180" w:history="1">
        <w:r>
          <w:rPr>
            <w:rFonts w:ascii="仿宋" w:eastAsia="仿宋" w:hAnsi="仿宋" w:cs="仿宋" w:hint="eastAsia"/>
            <w:lang w:eastAsia="zh-CN"/>
          </w:rPr>
          <w:t>(一)、员工福利政策</w:t>
        </w:r>
        <w:r>
          <w:tab/>
        </w:r>
        <w:r>
          <w:fldChar w:fldCharType="begin"/>
        </w:r>
        <w:r>
          <w:instrText xml:space="preserve"> PAGEREF _Toc24180 \h </w:instrText>
        </w:r>
        <w:r>
          <w:fldChar w:fldCharType="separate"/>
        </w:r>
        <w:r>
          <w:t>46</w:t>
        </w:r>
        <w:r>
          <w:fldChar w:fldCharType="end"/>
        </w:r>
      </w:hyperlink>
    </w:p>
    <w:p>
      <w:pPr>
        <w:pStyle w:val="TOC2"/>
        <w:tabs>
          <w:tab w:val="right" w:leader="dot" w:pos="8306"/>
        </w:tabs>
      </w:pPr>
      <w:hyperlink w:anchor="_Toc17180" w:history="1">
        <w:r>
          <w:rPr>
            <w:rFonts w:ascii="仿宋" w:eastAsia="仿宋" w:hAnsi="仿宋" w:cs="仿宋" w:hint="eastAsia"/>
            <w:lang w:eastAsia="zh-CN"/>
          </w:rPr>
          <w:t>(二)、团队建设与员工培训</w:t>
        </w:r>
        <w:r>
          <w:tab/>
        </w:r>
        <w:r>
          <w:fldChar w:fldCharType="begin"/>
        </w:r>
        <w:r>
          <w:instrText xml:space="preserve"> PAGEREF _Toc17180 \h </w:instrText>
        </w:r>
        <w:r>
          <w:fldChar w:fldCharType="separate"/>
        </w:r>
        <w:r>
          <w:t>47</w:t>
        </w:r>
        <w:r>
          <w:fldChar w:fldCharType="end"/>
        </w:r>
      </w:hyperlink>
    </w:p>
    <w:p>
      <w:pPr>
        <w:pStyle w:val="TOC2"/>
        <w:tabs>
          <w:tab w:val="right" w:leader="dot" w:pos="8306"/>
        </w:tabs>
      </w:pPr>
      <w:hyperlink w:anchor="_Toc1291" w:history="1">
        <w:r>
          <w:rPr>
            <w:rFonts w:ascii="仿宋" w:eastAsia="仿宋" w:hAnsi="仿宋" w:cs="仿宋" w:hint="eastAsia"/>
            <w:lang w:eastAsia="zh-CN"/>
          </w:rPr>
          <w:t>(三)、企业文化建设</w:t>
        </w:r>
        <w:r>
          <w:tab/>
        </w:r>
        <w:r>
          <w:fldChar w:fldCharType="begin"/>
        </w:r>
        <w:r>
          <w:instrText xml:space="preserve"> PAGEREF _Toc1291 \h </w:instrText>
        </w:r>
        <w:r>
          <w:fldChar w:fldCharType="separate"/>
        </w:r>
        <w:r>
          <w:t>49</w:t>
        </w:r>
        <w:r>
          <w:fldChar w:fldCharType="end"/>
        </w:r>
      </w:hyperlink>
    </w:p>
    <w:p>
      <w:pPr>
        <w:pStyle w:val="TOC2"/>
        <w:tabs>
          <w:tab w:val="right" w:leader="dot" w:pos="8306"/>
        </w:tabs>
      </w:pPr>
      <w:hyperlink w:anchor="_Toc11964" w:history="1">
        <w:r>
          <w:rPr>
            <w:rFonts w:ascii="仿宋" w:eastAsia="仿宋" w:hAnsi="仿宋" w:cs="仿宋" w:hint="eastAsia"/>
            <w:lang w:eastAsia="zh-CN"/>
          </w:rPr>
          <w:t>(四)、员工健康与工作平衡</w:t>
        </w:r>
        <w:r>
          <w:tab/>
        </w:r>
        <w:r>
          <w:fldChar w:fldCharType="begin"/>
        </w:r>
        <w:r>
          <w:instrText xml:space="preserve"> PAGEREF _Toc11964 \h </w:instrText>
        </w:r>
        <w:r>
          <w:fldChar w:fldCharType="separate"/>
        </w:r>
        <w:r>
          <w:t>51</w:t>
        </w:r>
        <w:r>
          <w:fldChar w:fldCharType="end"/>
        </w:r>
      </w:hyperlink>
    </w:p>
    <w:p>
      <w:pPr>
        <w:pStyle w:val="TOC1"/>
        <w:tabs>
          <w:tab w:val="right" w:leader="dot" w:pos="8306"/>
        </w:tabs>
      </w:pPr>
      <w:hyperlink w:anchor="_Toc26013" w:history="1">
        <w:r>
          <w:rPr>
            <w:rFonts w:ascii="仿宋" w:eastAsia="仿宋" w:hAnsi="仿宋" w:cs="仿宋" w:hint="eastAsia"/>
            <w:lang w:eastAsia="zh-CN"/>
          </w:rPr>
          <w:t>八、邮政用信函和包裹分拣机项目投资可行性分析</w:t>
        </w:r>
        <w:r>
          <w:tab/>
        </w:r>
        <w:r>
          <w:fldChar w:fldCharType="begin"/>
        </w:r>
        <w:r>
          <w:instrText xml:space="preserve"> PAGEREF _Toc26013 \h </w:instrText>
        </w:r>
        <w:r>
          <w:fldChar w:fldCharType="separate"/>
        </w:r>
        <w:r>
          <w:t>52</w:t>
        </w:r>
        <w:r>
          <w:fldChar w:fldCharType="end"/>
        </w:r>
      </w:hyperlink>
    </w:p>
    <w:p>
      <w:pPr>
        <w:pStyle w:val="TOC2"/>
        <w:tabs>
          <w:tab w:val="right" w:leader="dot" w:pos="8306"/>
        </w:tabs>
      </w:pPr>
      <w:hyperlink w:anchor="_Toc24007" w:history="1">
        <w:r>
          <w:rPr>
            <w:rFonts w:ascii="仿宋" w:eastAsia="仿宋" w:hAnsi="仿宋" w:cs="仿宋" w:hint="eastAsia"/>
            <w:lang w:eastAsia="zh-CN"/>
          </w:rPr>
          <w:t>(一)、邮政用信函和包裹分拣机项目估算说明</w:t>
        </w:r>
        <w:r>
          <w:tab/>
        </w:r>
        <w:r>
          <w:fldChar w:fldCharType="begin"/>
        </w:r>
        <w:r>
          <w:instrText xml:space="preserve"> PAGEREF _Toc24007 \h </w:instrText>
        </w:r>
        <w:r>
          <w:fldChar w:fldCharType="separate"/>
        </w:r>
        <w:r>
          <w:t>52</w:t>
        </w:r>
        <w:r>
          <w:fldChar w:fldCharType="end"/>
        </w:r>
      </w:hyperlink>
    </w:p>
    <w:p>
      <w:pPr>
        <w:pStyle w:val="TOC2"/>
        <w:tabs>
          <w:tab w:val="right" w:leader="dot" w:pos="8306"/>
        </w:tabs>
      </w:pPr>
      <w:hyperlink w:anchor="_Toc13523" w:history="1">
        <w:r>
          <w:rPr>
            <w:rFonts w:ascii="仿宋" w:eastAsia="仿宋" w:hAnsi="仿宋" w:cs="仿宋" w:hint="eastAsia"/>
            <w:lang w:eastAsia="zh-CN"/>
          </w:rPr>
          <w:t>(二)、邮政用信函和包裹分拣机项目总投资估算</w:t>
        </w:r>
        <w:r>
          <w:tab/>
        </w:r>
        <w:r>
          <w:fldChar w:fldCharType="begin"/>
        </w:r>
        <w:r>
          <w:instrText xml:space="preserve"> PAGEREF _Toc13523 \h </w:instrText>
        </w:r>
        <w:r>
          <w:fldChar w:fldCharType="separate"/>
        </w:r>
        <w:r>
          <w:t>54</w:t>
        </w:r>
        <w:r>
          <w:fldChar w:fldCharType="end"/>
        </w:r>
      </w:hyperlink>
    </w:p>
    <w:p>
      <w:pPr>
        <w:pStyle w:val="TOC2"/>
        <w:tabs>
          <w:tab w:val="right" w:leader="dot" w:pos="8306"/>
        </w:tabs>
      </w:pPr>
      <w:hyperlink w:anchor="_Toc28482" w:history="1">
        <w:r>
          <w:rPr>
            <w:rFonts w:ascii="仿宋" w:eastAsia="仿宋" w:hAnsi="仿宋" w:cs="仿宋" w:hint="eastAsia"/>
            <w:lang w:eastAsia="zh-CN"/>
          </w:rPr>
          <w:t>(三)、资金筹措</w:t>
        </w:r>
        <w:r>
          <w:tab/>
        </w:r>
        <w:r>
          <w:fldChar w:fldCharType="begin"/>
        </w:r>
        <w:r>
          <w:instrText xml:space="preserve"> PAGEREF _Toc28482 \h </w:instrText>
        </w:r>
        <w:r>
          <w:fldChar w:fldCharType="separate"/>
        </w:r>
        <w:r>
          <w:t>55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95" w:history="1">
        <w:r>
          <w:rPr>
            <w:rFonts w:ascii="仿宋" w:eastAsia="仿宋" w:hAnsi="仿宋" w:cs="仿宋" w:hint="eastAsia"/>
            <w:lang w:eastAsia="zh-CN"/>
          </w:rPr>
          <w:t>九、市场营销策略</w:t>
        </w:r>
        <w:r>
          <w:tab/>
        </w:r>
        <w:r>
          <w:fldChar w:fldCharType="begin"/>
        </w:r>
        <w:r>
          <w:instrText xml:space="preserve"> PAGEREF _Toc18095 \h </w:instrText>
        </w:r>
        <w:r>
          <w:fldChar w:fldCharType="separate"/>
        </w:r>
        <w:r>
          <w:t>57</w:t>
        </w:r>
        <w:r>
          <w:fldChar w:fldCharType="end"/>
        </w:r>
      </w:hyperlink>
    </w:p>
    <w:p>
      <w:pPr>
        <w:pStyle w:val="TOC2"/>
        <w:tabs>
          <w:tab w:val="right" w:leader="dot" w:pos="8306"/>
        </w:tabs>
      </w:pPr>
      <w:hyperlink w:anchor="_Toc7149" w:history="1">
        <w:r>
          <w:rPr>
            <w:rFonts w:ascii="仿宋" w:eastAsia="仿宋" w:hAnsi="仿宋" w:cs="仿宋" w:hint="eastAsia"/>
            <w:lang w:eastAsia="zh-CN"/>
          </w:rPr>
          <w:t>(一)、市场定位与目标客户群</w:t>
        </w:r>
        <w:r>
          <w:tab/>
        </w:r>
        <w:r>
          <w:fldChar w:fldCharType="begin"/>
        </w:r>
        <w:r>
          <w:instrText xml:space="preserve"> PAGEREF _Toc7149 \h </w:instrText>
        </w:r>
        <w:r>
          <w:fldChar w:fldCharType="separate"/>
        </w:r>
        <w:r>
          <w:t>57</w:t>
        </w:r>
        <w:r>
          <w:fldChar w:fldCharType="end"/>
        </w:r>
      </w:hyperlink>
    </w:p>
    <w:p>
      <w:pPr>
        <w:pStyle w:val="TOC2"/>
        <w:tabs>
          <w:tab w:val="right" w:leader="dot" w:pos="8306"/>
        </w:tabs>
      </w:pPr>
      <w:hyperlink w:anchor="_Toc31373" w:history="1">
        <w:r>
          <w:rPr>
            <w:rFonts w:ascii="仿宋" w:eastAsia="仿宋" w:hAnsi="仿宋" w:cs="仿宋" w:hint="eastAsia"/>
            <w:lang w:eastAsia="zh-CN"/>
          </w:rPr>
          <w:t>(二)、竞争对手分析</w:t>
        </w:r>
        <w:r>
          <w:tab/>
        </w:r>
        <w:r>
          <w:fldChar w:fldCharType="begin"/>
        </w:r>
        <w:r>
          <w:instrText xml:space="preserve"> PAGEREF _Toc31373 \h </w:instrText>
        </w:r>
        <w:r>
          <w:fldChar w:fldCharType="separate"/>
        </w:r>
        <w:r>
          <w:t>59</w:t>
        </w:r>
        <w:r>
          <w:fldChar w:fldCharType="end"/>
        </w:r>
      </w:hyperlink>
    </w:p>
    <w:p>
      <w:pPr>
        <w:pStyle w:val="TOC2"/>
        <w:tabs>
          <w:tab w:val="right" w:leader="dot" w:pos="8306"/>
        </w:tabs>
      </w:pPr>
      <w:hyperlink w:anchor="_Toc12496" w:history="1">
        <w:r>
          <w:rPr>
            <w:rFonts w:ascii="仿宋" w:eastAsia="仿宋" w:hAnsi="仿宋" w:cs="仿宋" w:hint="eastAsia"/>
            <w:lang w:eastAsia="zh-CN"/>
          </w:rPr>
          <w:t>(三)、营销策略与推广计划</w:t>
        </w:r>
        <w:r>
          <w:tab/>
        </w:r>
        <w:r>
          <w:fldChar w:fldCharType="begin"/>
        </w:r>
        <w:r>
          <w:instrText xml:space="preserve"> PAGEREF _Toc12496 \h </w:instrText>
        </w:r>
        <w:r>
          <w:fldChar w:fldCharType="separate"/>
        </w:r>
        <w:r>
          <w:t>61</w:t>
        </w:r>
        <w:r>
          <w:fldChar w:fldCharType="end"/>
        </w:r>
      </w:hyperlink>
    </w:p>
    <w:p>
      <w:pPr>
        <w:pStyle w:val="TOC2"/>
        <w:tabs>
          <w:tab w:val="right" w:leader="dot" w:pos="8306"/>
        </w:tabs>
      </w:pPr>
      <w:hyperlink w:anchor="_Toc4109" w:history="1">
        <w:r>
          <w:rPr>
            <w:rFonts w:ascii="仿宋" w:eastAsia="仿宋" w:hAnsi="仿宋" w:cs="仿宋" w:hint="eastAsia"/>
            <w:lang w:eastAsia="zh-CN"/>
          </w:rPr>
          <w:t>(四)、产品定价与销售渠道</w:t>
        </w:r>
        <w:r>
          <w:tab/>
        </w:r>
        <w:r>
          <w:fldChar w:fldCharType="begin"/>
        </w:r>
        <w:r>
          <w:instrText xml:space="preserve"> PAGEREF _Toc4109 \h </w:instrText>
        </w:r>
        <w:r>
          <w:fldChar w:fldCharType="separate"/>
        </w:r>
        <w:r>
          <w:t>62</w:t>
        </w:r>
        <w:r>
          <w:fldChar w:fldCharType="end"/>
        </w:r>
      </w:hyperlink>
    </w:p>
    <w:p>
      <w:pPr>
        <w:pStyle w:val="TOC2"/>
        <w:tabs>
          <w:tab w:val="right" w:leader="dot" w:pos="8306"/>
        </w:tabs>
      </w:pPr>
      <w:hyperlink w:anchor="_Toc17141" w:history="1">
        <w:r>
          <w:rPr>
            <w:rFonts w:ascii="仿宋" w:eastAsia="仿宋" w:hAnsi="仿宋" w:cs="仿宋" w:hint="eastAsia"/>
            <w:lang w:eastAsia="zh-CN"/>
          </w:rPr>
          <w:t>(五)、售后服务体系</w:t>
        </w:r>
        <w:r>
          <w:tab/>
        </w:r>
        <w:r>
          <w:fldChar w:fldCharType="begin"/>
        </w:r>
        <w:r>
          <w:instrText xml:space="preserve"> PAGEREF _Toc17141 \h </w:instrText>
        </w:r>
        <w:r>
          <w:fldChar w:fldCharType="separate"/>
        </w:r>
        <w:r>
          <w:t>64</w:t>
        </w:r>
        <w:r>
          <w:fldChar w:fldCharType="end"/>
        </w:r>
      </w:hyperlink>
    </w:p>
    <w:p>
      <w:pPr>
        <w:pStyle w:val="TOC1"/>
        <w:tabs>
          <w:tab w:val="right" w:leader="dot" w:pos="8306"/>
        </w:tabs>
      </w:pPr>
      <w:hyperlink w:anchor="_Toc29778" w:history="1">
        <w:r>
          <w:rPr>
            <w:rFonts w:ascii="仿宋" w:eastAsia="仿宋" w:hAnsi="仿宋" w:cs="仿宋" w:hint="eastAsia"/>
            <w:lang w:eastAsia="zh-CN"/>
          </w:rPr>
          <w:t>十、未来发展战略</w:t>
        </w:r>
        <w:r>
          <w:tab/>
        </w:r>
        <w:r>
          <w:fldChar w:fldCharType="begin"/>
        </w:r>
        <w:r>
          <w:instrText xml:space="preserve"> PAGEREF _Toc29778 \h </w:instrText>
        </w:r>
        <w:r>
          <w:fldChar w:fldCharType="separate"/>
        </w:r>
        <w:r>
          <w:t>66</w:t>
        </w:r>
        <w:r>
          <w:fldChar w:fldCharType="end"/>
        </w:r>
      </w:hyperlink>
    </w:p>
    <w:p>
      <w:pPr>
        <w:pStyle w:val="TOC2"/>
        <w:tabs>
          <w:tab w:val="right" w:leader="dot" w:pos="8306"/>
        </w:tabs>
      </w:pPr>
      <w:hyperlink w:anchor="_Toc3627" w:history="1">
        <w:r>
          <w:rPr>
            <w:rFonts w:ascii="仿宋" w:eastAsia="仿宋" w:hAnsi="仿宋" w:cs="仿宋" w:hint="eastAsia"/>
            <w:lang w:eastAsia="zh-CN"/>
          </w:rPr>
          <w:t>(一)、未来市场定位与业务拓展</w:t>
        </w:r>
        <w:r>
          <w:tab/>
        </w:r>
        <w:r>
          <w:fldChar w:fldCharType="begin"/>
        </w:r>
        <w:r>
          <w:instrText xml:space="preserve"> PAGEREF _Toc3627 \h </w:instrText>
        </w:r>
        <w:r>
          <w:fldChar w:fldCharType="separate"/>
        </w:r>
        <w:r>
          <w:t>66</w:t>
        </w:r>
        <w:r>
          <w:fldChar w:fldCharType="end"/>
        </w:r>
      </w:hyperlink>
    </w:p>
    <w:p>
      <w:pPr>
        <w:pStyle w:val="TOC2"/>
        <w:tabs>
          <w:tab w:val="right" w:leader="dot" w:pos="8306"/>
        </w:tabs>
      </w:pPr>
      <w:hyperlink w:anchor="_Toc21057" w:history="1">
        <w:r>
          <w:rPr>
            <w:rFonts w:ascii="仿宋" w:eastAsia="仿宋" w:hAnsi="仿宋" w:cs="仿宋" w:hint="eastAsia"/>
            <w:lang w:eastAsia="zh-CN"/>
          </w:rPr>
          <w:t>(二)、技术创新与研发方向</w:t>
        </w:r>
        <w:r>
          <w:tab/>
        </w:r>
        <w:r>
          <w:fldChar w:fldCharType="begin"/>
        </w:r>
        <w:r>
          <w:instrText xml:space="preserve"> PAGEREF _Toc21057 \h </w:instrText>
        </w:r>
        <w:r>
          <w:fldChar w:fldCharType="separate"/>
        </w:r>
        <w:r>
          <w:t>68</w:t>
        </w:r>
        <w:r>
          <w:fldChar w:fldCharType="end"/>
        </w:r>
      </w:hyperlink>
    </w:p>
    <w:p>
      <w:pPr>
        <w:pStyle w:val="TOC2"/>
        <w:tabs>
          <w:tab w:val="right" w:leader="dot" w:pos="8306"/>
        </w:tabs>
      </w:pPr>
      <w:hyperlink w:anchor="_Toc16081" w:history="1">
        <w:r>
          <w:rPr>
            <w:rFonts w:ascii="仿宋" w:eastAsia="仿宋" w:hAnsi="仿宋" w:cs="仿宋" w:hint="eastAsia"/>
            <w:lang w:eastAsia="zh-CN"/>
          </w:rPr>
          <w:t>(三)、国际化战略与全球市场</w:t>
        </w:r>
        <w:r>
          <w:tab/>
        </w:r>
        <w:r>
          <w:fldChar w:fldCharType="begin"/>
        </w:r>
        <w:r>
          <w:instrText xml:space="preserve"> PAGEREF _Toc16081 \h </w:instrText>
        </w:r>
        <w:r>
          <w:fldChar w:fldCharType="separate"/>
        </w:r>
        <w:r>
          <w:t>69</w:t>
        </w:r>
        <w:r>
          <w:fldChar w:fldCharType="end"/>
        </w:r>
      </w:hyperlink>
    </w:p>
    <w:p>
      <w:pPr>
        <w:pStyle w:val="TOC2"/>
        <w:tabs>
          <w:tab w:val="right" w:leader="dot" w:pos="8306"/>
        </w:tabs>
      </w:pPr>
      <w:hyperlink w:anchor="_Toc17822" w:history="1">
        <w:r>
          <w:rPr>
            <w:rFonts w:ascii="仿宋" w:eastAsia="仿宋" w:hAnsi="仿宋" w:cs="仿宋" w:hint="eastAsia"/>
            <w:lang w:eastAsia="zh-CN"/>
          </w:rPr>
          <w:t>(四)、可持续发展战略</w:t>
        </w:r>
        <w:r>
          <w:tab/>
        </w:r>
        <w:r>
          <w:fldChar w:fldCharType="begin"/>
        </w:r>
        <w:r>
          <w:instrText xml:space="preserve"> PAGEREF _Toc17822 \h </w:instrText>
        </w:r>
        <w:r>
          <w:fldChar w:fldCharType="separate"/>
        </w:r>
        <w:r>
          <w:t>71</w:t>
        </w:r>
        <w:r>
          <w:fldChar w:fldCharType="end"/>
        </w:r>
      </w:hyperlink>
    </w:p>
    <w:p>
      <w:pPr>
        <w:pStyle w:val="TOC1"/>
        <w:tabs>
          <w:tab w:val="right" w:leader="dot" w:pos="8306"/>
        </w:tabs>
      </w:pPr>
      <w:hyperlink w:anchor="_Toc9968" w:history="1">
        <w:r>
          <w:rPr>
            <w:rFonts w:ascii="仿宋" w:eastAsia="仿宋" w:hAnsi="仿宋" w:cs="仿宋" w:hint="eastAsia"/>
            <w:lang w:eastAsia="zh-CN"/>
          </w:rPr>
          <w:t>十一、邮政用信函和包裹分拣机项目监督与评估</w:t>
        </w:r>
        <w:r>
          <w:tab/>
        </w:r>
        <w:r>
          <w:fldChar w:fldCharType="begin"/>
        </w:r>
        <w:r>
          <w:instrText xml:space="preserve"> PAGEREF _Toc9968 \h </w:instrText>
        </w:r>
        <w:r>
          <w:fldChar w:fldCharType="separate"/>
        </w:r>
        <w:r>
          <w:t>73</w:t>
        </w:r>
        <w:r>
          <w:fldChar w:fldCharType="end"/>
        </w:r>
      </w:hyperlink>
    </w:p>
    <w:p>
      <w:pPr>
        <w:pStyle w:val="TOC2"/>
        <w:tabs>
          <w:tab w:val="right" w:leader="dot" w:pos="8306"/>
        </w:tabs>
      </w:pPr>
      <w:hyperlink w:anchor="_Toc20543" w:history="1">
        <w:r>
          <w:rPr>
            <w:rFonts w:ascii="仿宋" w:eastAsia="仿宋" w:hAnsi="仿宋" w:cs="仿宋" w:hint="eastAsia"/>
            <w:lang w:eastAsia="zh-CN"/>
          </w:rPr>
          <w:t>(一)、监督机构及职责</w:t>
        </w:r>
        <w:r>
          <w:tab/>
        </w:r>
        <w:r>
          <w:fldChar w:fldCharType="begin"/>
        </w:r>
        <w:r>
          <w:instrText xml:space="preserve"> PAGEREF _Toc20543 \h </w:instrText>
        </w:r>
        <w:r>
          <w:fldChar w:fldCharType="separate"/>
        </w:r>
        <w:r>
          <w:t>73</w:t>
        </w:r>
        <w:r>
          <w:fldChar w:fldCharType="end"/>
        </w:r>
      </w:hyperlink>
    </w:p>
    <w:p>
      <w:pPr>
        <w:pStyle w:val="TOC2"/>
        <w:tabs>
          <w:tab w:val="right" w:leader="dot" w:pos="8306"/>
        </w:tabs>
      </w:pPr>
      <w:hyperlink w:anchor="_Toc8496" w:history="1">
        <w:r>
          <w:rPr>
            <w:rFonts w:ascii="仿宋" w:eastAsia="仿宋" w:hAnsi="仿宋" w:cs="仿宋" w:hint="eastAsia"/>
            <w:lang w:eastAsia="zh-CN"/>
          </w:rPr>
          <w:t>(二)、监测与评估指标体系</w:t>
        </w:r>
        <w:r>
          <w:tab/>
        </w:r>
        <w:r>
          <w:fldChar w:fldCharType="begin"/>
        </w:r>
        <w:r>
          <w:instrText xml:space="preserve"> PAGEREF _Toc8496 \h </w:instrText>
        </w:r>
        <w:r>
          <w:fldChar w:fldCharType="separate"/>
        </w:r>
        <w:r>
          <w:t>75</w:t>
        </w:r>
        <w:r>
          <w:fldChar w:fldCharType="end"/>
        </w:r>
      </w:hyperlink>
    </w:p>
    <w:p>
      <w:pPr>
        <w:pStyle w:val="TOC2"/>
        <w:tabs>
          <w:tab w:val="right" w:leader="dot" w:pos="8306"/>
        </w:tabs>
      </w:pPr>
      <w:hyperlink w:anchor="_Toc27056" w:history="1">
        <w:r>
          <w:rPr>
            <w:rFonts w:ascii="仿宋" w:eastAsia="仿宋" w:hAnsi="仿宋" w:cs="仿宋" w:hint="eastAsia"/>
            <w:lang w:eastAsia="zh-CN"/>
          </w:rPr>
          <w:t>(三)、监督与评估周期</w:t>
        </w:r>
        <w:r>
          <w:tab/>
        </w:r>
        <w:r>
          <w:fldChar w:fldCharType="begin"/>
        </w:r>
        <w:r>
          <w:instrText xml:space="preserve"> PAGEREF _Toc27056 \h </w:instrText>
        </w:r>
        <w:r>
          <w:fldChar w:fldCharType="separate"/>
        </w:r>
        <w:r>
          <w:t>77</w:t>
        </w:r>
        <w:r>
          <w:fldChar w:fldCharType="end"/>
        </w:r>
      </w:hyperlink>
    </w:p>
    <w:p>
      <w:pPr>
        <w:pStyle w:val="TOC2"/>
        <w:tabs>
          <w:tab w:val="right" w:leader="dot" w:pos="8306"/>
        </w:tabs>
      </w:pPr>
      <w:hyperlink w:anchor="_Toc14444" w:history="1">
        <w:r>
          <w:rPr>
            <w:rFonts w:ascii="仿宋" w:eastAsia="仿宋" w:hAnsi="仿宋" w:cs="仿宋" w:hint="eastAsia"/>
            <w:lang w:eastAsia="zh-CN"/>
          </w:rPr>
          <w:t>(四)、监督与评估报告</w:t>
        </w:r>
        <w:r>
          <w:tab/>
        </w:r>
        <w:r>
          <w:fldChar w:fldCharType="begin"/>
        </w:r>
        <w:r>
          <w:instrText xml:space="preserve"> PAGEREF _Toc14444 \h </w:instrText>
        </w:r>
        <w:r>
          <w:fldChar w:fldCharType="separate"/>
        </w:r>
        <w:r>
          <w:t>80</w:t>
        </w:r>
        <w:r>
          <w:fldChar w:fldCharType="end"/>
        </w:r>
      </w:hyperlink>
    </w:p>
    <w:p>
      <w:pPr>
        <w:pStyle w:val="TOC1"/>
        <w:tabs>
          <w:tab w:val="right" w:leader="dot" w:pos="8306"/>
        </w:tabs>
      </w:pPr>
      <w:hyperlink w:anchor="_Toc1262" w:history="1">
        <w:r>
          <w:rPr>
            <w:rFonts w:ascii="仿宋" w:eastAsia="仿宋" w:hAnsi="仿宋" w:cs="仿宋" w:hint="eastAsia"/>
            <w:lang w:eastAsia="zh-CN"/>
          </w:rPr>
          <w:t>十二、风险管理与应对策略</w:t>
        </w:r>
        <w:r>
          <w:tab/>
        </w:r>
        <w:r>
          <w:fldChar w:fldCharType="begin"/>
        </w:r>
        <w:r>
          <w:instrText xml:space="preserve"> PAGEREF _Toc1262 \h </w:instrText>
        </w:r>
        <w:r>
          <w:fldChar w:fldCharType="separate"/>
        </w:r>
        <w:r>
          <w:t>82</w:t>
        </w:r>
        <w:r>
          <w:fldChar w:fldCharType="end"/>
        </w:r>
      </w:hyperlink>
    </w:p>
    <w:p>
      <w:pPr>
        <w:pStyle w:val="TOC2"/>
        <w:tabs>
          <w:tab w:val="right" w:leader="dot" w:pos="8306"/>
        </w:tabs>
      </w:pPr>
      <w:hyperlink w:anchor="_Toc8436" w:history="1">
        <w:r>
          <w:rPr>
            <w:rFonts w:ascii="仿宋" w:eastAsia="仿宋" w:hAnsi="仿宋" w:cs="仿宋" w:hint="eastAsia"/>
            <w:lang w:eastAsia="zh-CN"/>
          </w:rPr>
          <w:t>(一)、风险管理流程</w:t>
        </w:r>
        <w:r>
          <w:tab/>
        </w:r>
        <w:r>
          <w:fldChar w:fldCharType="begin"/>
        </w:r>
        <w:r>
          <w:instrText xml:space="preserve"> PAGEREF _Toc8436 \h </w:instrText>
        </w:r>
        <w:r>
          <w:fldChar w:fldCharType="separate"/>
        </w:r>
        <w:r>
          <w:t>82</w:t>
        </w:r>
        <w:r>
          <w:fldChar w:fldCharType="end"/>
        </w:r>
      </w:hyperlink>
    </w:p>
    <w:p>
      <w:pPr>
        <w:pStyle w:val="TOC2"/>
        <w:tabs>
          <w:tab w:val="right" w:leader="dot" w:pos="8306"/>
        </w:tabs>
      </w:pPr>
      <w:hyperlink w:anchor="_Toc1331" w:history="1">
        <w:r>
          <w:rPr>
            <w:rFonts w:ascii="仿宋" w:eastAsia="仿宋" w:hAnsi="仿宋" w:cs="仿宋" w:hint="eastAsia"/>
            <w:lang w:eastAsia="zh-CN"/>
          </w:rPr>
          <w:t>(二)、风险识别与评估</w:t>
        </w:r>
        <w:r>
          <w:tab/>
        </w:r>
        <w:r>
          <w:fldChar w:fldCharType="begin"/>
        </w:r>
        <w:r>
          <w:instrText xml:space="preserve"> PAGEREF _Toc1331 \h </w:instrText>
        </w:r>
        <w:r>
          <w:fldChar w:fldCharType="separate"/>
        </w:r>
        <w:r>
          <w:t>85</w:t>
        </w:r>
        <w:r>
          <w:fldChar w:fldCharType="end"/>
        </w:r>
      </w:hyperlink>
    </w:p>
    <w:p>
      <w:pPr>
        <w:pStyle w:val="TOC2"/>
        <w:tabs>
          <w:tab w:val="right" w:leader="dot" w:pos="8306"/>
        </w:tabs>
      </w:pPr>
      <w:hyperlink w:anchor="_Toc14516" w:history="1">
        <w:r>
          <w:rPr>
            <w:rFonts w:ascii="仿宋" w:eastAsia="仿宋" w:hAnsi="仿宋" w:cs="仿宋" w:hint="eastAsia"/>
            <w:lang w:eastAsia="zh-CN"/>
          </w:rPr>
          <w:t>(三)、风险控制与应对策略</w:t>
        </w:r>
        <w:r>
          <w:tab/>
        </w:r>
        <w:r>
          <w:fldChar w:fldCharType="begin"/>
        </w:r>
        <w:r>
          <w:instrText xml:space="preserve"> PAGEREF _Toc14516 \h </w:instrText>
        </w:r>
        <w:r>
          <w:fldChar w:fldCharType="separate"/>
        </w:r>
        <w:r>
          <w:t>87</w:t>
        </w:r>
        <w:r>
          <w:fldChar w:fldCharType="end"/>
        </w:r>
      </w:hyperlink>
    </w:p>
    <w:p>
      <w:pPr>
        <w:pStyle w:val="TOC2"/>
        <w:tabs>
          <w:tab w:val="right" w:leader="dot" w:pos="8306"/>
        </w:tabs>
      </w:pPr>
      <w:hyperlink w:anchor="_Toc8676" w:history="1">
        <w:r>
          <w:rPr>
            <w:rFonts w:ascii="仿宋" w:eastAsia="仿宋" w:hAnsi="仿宋" w:cs="仿宋" w:hint="eastAsia"/>
            <w:lang w:eastAsia="zh-CN"/>
          </w:rPr>
          <w:t>(四)、危机管理与应急预案</w:t>
        </w:r>
        <w:r>
          <w:tab/>
        </w:r>
        <w:r>
          <w:fldChar w:fldCharType="begin"/>
        </w:r>
        <w:r>
          <w:instrText xml:space="preserve"> PAGEREF _Toc8676 \h </w:instrText>
        </w:r>
        <w:r>
          <w:fldChar w:fldCharType="separate"/>
        </w:r>
        <w:r>
          <w:t>89</w:t>
        </w:r>
        <w:r>
          <w:fldChar w:fldCharType="end"/>
        </w:r>
      </w:hyperlink>
    </w:p>
    <w:p>
      <w:pPr>
        <w:pStyle w:val="TOC1"/>
        <w:tabs>
          <w:tab w:val="right" w:leader="dot" w:pos="8306"/>
        </w:tabs>
      </w:pPr>
      <w:hyperlink w:anchor="_Toc11750" w:history="1">
        <w:r>
          <w:rPr>
            <w:rFonts w:ascii="仿宋" w:eastAsia="仿宋" w:hAnsi="仿宋" w:cs="仿宋" w:hint="eastAsia"/>
            <w:lang w:eastAsia="zh-CN"/>
          </w:rPr>
          <w:t>十三、法律与合规性</w:t>
        </w:r>
        <w:r>
          <w:tab/>
        </w:r>
        <w:r>
          <w:fldChar w:fldCharType="begin"/>
        </w:r>
        <w:r>
          <w:instrText xml:space="preserve"> PAGEREF _Toc11750 \h </w:instrText>
        </w:r>
        <w:r>
          <w:fldChar w:fldCharType="separate"/>
        </w:r>
        <w:r>
          <w:t>91</w:t>
        </w:r>
        <w:r>
          <w:fldChar w:fldCharType="end"/>
        </w:r>
      </w:hyperlink>
    </w:p>
    <w:p>
      <w:pPr>
        <w:pStyle w:val="TOC2"/>
        <w:tabs>
          <w:tab w:val="right" w:leader="dot" w:pos="8306"/>
        </w:tabs>
      </w:pPr>
      <w:hyperlink w:anchor="_Toc31517" w:history="1">
        <w:r>
          <w:rPr>
            <w:rFonts w:ascii="仿宋" w:eastAsia="仿宋" w:hAnsi="仿宋" w:cs="仿宋" w:hint="eastAsia"/>
            <w:lang w:eastAsia="zh-CN"/>
          </w:rPr>
          <w:t>(一)、相关法律法规概述</w:t>
        </w:r>
        <w:r>
          <w:tab/>
        </w:r>
        <w:r>
          <w:fldChar w:fldCharType="begin"/>
        </w:r>
        <w:r>
          <w:instrText xml:space="preserve"> PAGEREF _Toc31517 \h </w:instrText>
        </w:r>
        <w:r>
          <w:fldChar w:fldCharType="separate"/>
        </w:r>
        <w:r>
          <w:t>91</w:t>
        </w:r>
        <w:r>
          <w:fldChar w:fldCharType="end"/>
        </w:r>
      </w:hyperlink>
    </w:p>
    <w:p>
      <w:pPr>
        <w:pStyle w:val="TOC2"/>
        <w:tabs>
          <w:tab w:val="right" w:leader="dot" w:pos="8306"/>
        </w:tabs>
      </w:pPr>
      <w:hyperlink w:anchor="_Toc10226" w:history="1">
        <w:r>
          <w:rPr>
            <w:rFonts w:ascii="仿宋" w:eastAsia="仿宋" w:hAnsi="仿宋" w:cs="仿宋" w:hint="eastAsia"/>
            <w:lang w:eastAsia="zh-CN"/>
          </w:rPr>
          <w:t>(二)、邮政用信函和包裹分拣机项目合同管理</w:t>
        </w:r>
        <w:r>
          <w:tab/>
        </w:r>
        <w:r>
          <w:fldChar w:fldCharType="begin"/>
        </w:r>
        <w:r>
          <w:instrText xml:space="preserve"> PAGEREF _Toc10226 \h </w:instrText>
        </w:r>
        <w:r>
          <w:fldChar w:fldCharType="separate"/>
        </w:r>
        <w:r>
          <w:t>93</w:t>
        </w:r>
        <w:r>
          <w:fldChar w:fldCharType="end"/>
        </w:r>
      </w:hyperlink>
    </w:p>
    <w:p>
      <w:pPr>
        <w:pStyle w:val="TOC2"/>
        <w:tabs>
          <w:tab w:val="right" w:leader="dot" w:pos="8306"/>
        </w:tabs>
      </w:pPr>
      <w:hyperlink w:anchor="_Toc27505" w:history="1">
        <w:r>
          <w:rPr>
            <w:rFonts w:ascii="仿宋" w:eastAsia="仿宋" w:hAnsi="仿宋" w:cs="仿宋" w:hint="eastAsia"/>
            <w:lang w:eastAsia="zh-CN"/>
          </w:rPr>
          <w:t>(三)、知识产权保护</w:t>
        </w:r>
        <w:r>
          <w:tab/>
        </w:r>
        <w:r>
          <w:fldChar w:fldCharType="begin"/>
        </w:r>
        <w:r>
          <w:instrText xml:space="preserve"> PAGEREF _Toc27505 \h </w:instrText>
        </w:r>
        <w:r>
          <w:fldChar w:fldCharType="separate"/>
        </w:r>
        <w:r>
          <w:t>95</w:t>
        </w:r>
        <w:r>
          <w:fldChar w:fldCharType="end"/>
        </w:r>
      </w:hyperlink>
    </w:p>
    <w:p>
      <w:pPr>
        <w:pStyle w:val="TOC2"/>
        <w:tabs>
          <w:tab w:val="right" w:leader="dot" w:pos="8306"/>
        </w:tabs>
      </w:pPr>
      <w:hyperlink w:anchor="_Toc27816" w:history="1">
        <w:r>
          <w:rPr>
            <w:rFonts w:ascii="仿宋" w:eastAsia="仿宋" w:hAnsi="仿宋" w:cs="仿宋" w:hint="eastAsia"/>
            <w:lang w:eastAsia="zh-CN"/>
          </w:rPr>
          <w:t>(四)、劳动法规与员工权益</w:t>
        </w:r>
        <w:r>
          <w:tab/>
        </w:r>
        <w:r>
          <w:fldChar w:fldCharType="begin"/>
        </w:r>
        <w:r>
          <w:instrText xml:space="preserve"> PAGEREF _Toc27816 \h </w:instrText>
        </w:r>
        <w:r>
          <w:fldChar w:fldCharType="separate"/>
        </w:r>
        <w:r>
          <w:t>97</w:t>
        </w:r>
        <w:r>
          <w:fldChar w:fldCharType="end"/>
        </w:r>
      </w:hyperlink>
    </w:p>
    <w:p>
      <w:pPr>
        <w:pStyle w:val="TOC2"/>
        <w:tabs>
          <w:tab w:val="right" w:leader="dot" w:pos="8306"/>
        </w:tabs>
      </w:pPr>
      <w:hyperlink w:anchor="_Toc18648" w:history="1">
        <w:r>
          <w:rPr>
            <w:rFonts w:ascii="仿宋" w:eastAsia="仿宋" w:hAnsi="仿宋" w:cs="仿宋" w:hint="eastAsia"/>
            <w:lang w:eastAsia="zh-CN"/>
          </w:rPr>
          <w:t>(五)、环境保护法规遵循</w:t>
        </w:r>
        <w:r>
          <w:tab/>
        </w:r>
        <w:r>
          <w:fldChar w:fldCharType="begin"/>
        </w:r>
        <w:r>
          <w:instrText xml:space="preserve"> PAGEREF _Toc18648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邮政用信函和包裹分拣机项目管理已成为推动企业及组织持续创新的核心动力。本邮政用信函和包裹分拣机项目报告集中讨论了邮政用信函和包裹分拣机项目策划、实施与评估的关键环节，旨在通过系统分析和反思邮政用信函和包裹分拣机项目管理实践中的优势与不足，提升邮政用信函和包裹分拣机项目执行的有效性和效率。报告内容涵盖了邮政用信函和包裹分拣机项目的目标设定、资源配置、风险控制与成果交付等多个维度，为读者提供了一套完整的邮政用信函和包裹分拣机项目管理解决方案。需要强调的是，本报告仅用于学术研讨，不得用于商业目的，其内部详细资料和结论供学习交流使用，以促进邮政用信函和包裹分拣机项目管理领域的知识共享和专业发展。</w:t>
      </w:r>
    </w:p>
    <w:p>
      <w:pPr>
        <w:pStyle w:val="Heading1"/>
        <w:ind w:firstLine="560" w:firstLineChars="200"/>
        <w:rPr>
          <w:rFonts w:ascii="仿宋" w:eastAsia="仿宋" w:hAnsi="仿宋" w:cs="仿宋" w:hint="eastAsia"/>
          <w:sz w:val="28"/>
          <w:lang w:eastAsia="zh-CN"/>
        </w:rPr>
      </w:pPr>
      <w:bookmarkStart w:id="2" w:name="_Toc4292"/>
      <w:r>
        <w:rPr>
          <w:rFonts w:ascii="仿宋" w:eastAsia="仿宋" w:hAnsi="仿宋" w:cs="仿宋" w:hint="eastAsia"/>
          <w:sz w:val="28"/>
          <w:lang w:eastAsia="zh-CN"/>
        </w:rPr>
        <w:t>一、建设规划</w:t>
      </w:r>
      <w:bookmarkEnd w:id="2"/>
    </w:p>
    <w:p>
      <w:pPr>
        <w:pStyle w:val="Heading2"/>
        <w:rPr>
          <w:rFonts w:ascii="仿宋" w:eastAsia="仿宋" w:hAnsi="仿宋" w:cs="仿宋" w:hint="eastAsia"/>
          <w:lang w:eastAsia="zh-CN"/>
        </w:rPr>
      </w:pPr>
      <w:bookmarkStart w:id="3" w:name="_Toc2173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4" w:name="_Toc907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邮政用信函和包裹分拣机项目总征地面积XXXX平方米（折合约XX亩），其中：净用地面积XXXX平方米（红线范围折合约XX亩）。邮政用信函和包裹分拣机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用信函和包裹分拣机项目所占用的地面积充分考虑了红线范围，确保了邮政用信函和包裹分拣机项目的合规性和可持续发展。规划建设主体工程和计容建筑面积的设定旨在满足邮政用信函和包裹分拣机项目的生产和办公需求，为企业提供充足的工作空间。预计的建筑工程投资将用于邮政用信函和包裹分拣机项目的基础设施建设，为邮政用信函和包裹分拣机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用信函和包裹分拣机项目计划购置设备共计XX台（套），设备购置费XXXX万元。这些设备涵盖了生产、研发和办公等多个领域，包括先进的生产设备、办公设备和实验室设备等。设备购置费用的投入将确保邮政用信函和包裹分拣机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邮政用信函和包裹分拣机项目计划总投资XXXX万元，预计年实现营业收入XXXX万元。这一部分涵盖了整个邮政用信函和包裹分拣机项目的经济规模和财务计划。总投资将用于邮政用信函和包裹分拣机项目的建设、设备购置、人才引进等多个方面，确保邮政用信函和包裹分拣机项目的全面发展。预计年实现的营业收入则是对邮政用信函和包裹分拣机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5" w:name="_Toc28180"/>
      <w:r>
        <w:rPr>
          <w:rFonts w:ascii="仿宋" w:eastAsia="仿宋" w:hAnsi="仿宋" w:cs="仿宋" w:hint="eastAsia"/>
          <w:sz w:val="28"/>
          <w:lang w:eastAsia="zh-CN"/>
        </w:rPr>
        <w:t>二、邮政用信函和包裹分拣机项目选址说明</w:t>
      </w:r>
      <w:bookmarkEnd w:id="5"/>
    </w:p>
    <w:p>
      <w:pPr>
        <w:pStyle w:val="Heading2"/>
        <w:rPr>
          <w:rFonts w:ascii="仿宋" w:eastAsia="仿宋" w:hAnsi="仿宋" w:cs="仿宋" w:hint="eastAsia"/>
          <w:lang w:eastAsia="zh-CN"/>
        </w:rPr>
      </w:pPr>
      <w:bookmarkStart w:id="6" w:name="_Toc5585"/>
      <w:r>
        <w:rPr>
          <w:rFonts w:ascii="仿宋" w:eastAsia="仿宋" w:hAnsi="仿宋" w:cs="仿宋" w:hint="eastAsia"/>
          <w:lang w:eastAsia="zh-CN"/>
        </w:rPr>
        <w:t>(一)、邮政用信函和包裹分拣机项目选址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邮政用信函和包裹分拣机项目选址位于XXXX市XXXX区XXXX街道XXXX路，地理位置优越，地势平坦，交通便利。附近有多条主要道路交汇，便于原材料的运输和成品的配送。地理位置的优越性将为邮政用信函和包裹分拣机项目提供便捷的市场接触和良好的物流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邮政用信函和包裹分拣机项目用地的合规性。经过详细的规划和评估，选址地区的用地性质、容积率、绿化率等指标将被科学确定，以满足邮政用信函和包裹分拣机项目的发展需求并符合相关法规和环保要求。</w:t>
      </w:r>
    </w:p>
    <w:p>
      <w:pPr>
        <w:pStyle w:val="Heading2"/>
        <w:ind w:firstLine="560" w:firstLineChars="200"/>
        <w:rPr>
          <w:rFonts w:ascii="仿宋" w:eastAsia="仿宋" w:hAnsi="仿宋" w:cs="仿宋" w:hint="eastAsia"/>
          <w:sz w:val="28"/>
          <w:lang w:eastAsia="zh-CN"/>
        </w:rPr>
      </w:pPr>
      <w:bookmarkStart w:id="7" w:name="_Toc1856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选址地区的用地性质被确定为工业用地，以支持邮政用信函和包裹分拣机项目的生产和运营。确保用地性质符合地方规划，并满足邮政用信函和包裹分拣机项目的实际需求。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容积率： 根据地区规划和建设标准，设定合理的容积率。容积率的设定要考虑邮政用信函和包裹分拣机项目的建筑需求，确保建筑的布局紧凑，用地高效利用。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确保邮政用信函和包裹分拣机项目选址地区的绿化率符合环保法规的要求。通过科学的绿化设计，提高绿化率，改善周边环境，为员工提供良好的工作生活环境。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8" w:name="_Toc1246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针对邮政用信函和包裹分拣机项目的实际需求，考虑采用垂直建筑设计，提高建筑的层数，减小占地面积。这将有助于在有限的用地内实现更大的建筑容积。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9" w:name="_Toc1577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邮政用信函和包裹分拣机项目的原材料运输和成品配送提供了便捷的通道。地理位置的优越性将成为总图布置方案的首要考虑因素，确保邮政用信函和包裹分拣机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邮政用信函和包裹分拣机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邮政用信函和包裹分拣机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邮政用信函和包裹分拣机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0" w:name="_Toc1326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邮政用信函和包裹分拣机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邮政用信函和包裹分拣机项目的成功实施提供战略优势。通过全面利用地理位置，确保邮政用信函和包裹分拣机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邮政用信函和包裹分拣机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邮政用信函和包裹分拣机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邮政用信函和包裹分拣机项目的空间布局合理有序。绿化空间、建筑布局、功能区域划分等因素将在总图布置中得到综合考虑，为邮政用信函和包裹分拣机项目提供良好的空间环境。</w:t>
      </w:r>
    </w:p>
    <w:p>
      <w:pPr>
        <w:pStyle w:val="Heading1"/>
        <w:ind w:firstLine="560" w:firstLineChars="200"/>
        <w:rPr>
          <w:rFonts w:ascii="仿宋" w:eastAsia="仿宋" w:hAnsi="仿宋" w:cs="仿宋" w:hint="eastAsia"/>
          <w:sz w:val="28"/>
          <w:lang w:eastAsia="zh-CN"/>
        </w:rPr>
      </w:pPr>
      <w:bookmarkStart w:id="11" w:name="_Toc29161"/>
      <w:r>
        <w:rPr>
          <w:rFonts w:ascii="仿宋" w:eastAsia="仿宋" w:hAnsi="仿宋" w:cs="仿宋" w:hint="eastAsia"/>
          <w:sz w:val="28"/>
          <w:lang w:eastAsia="zh-CN"/>
        </w:rPr>
        <w:t>三、工艺分析</w:t>
      </w:r>
      <w:bookmarkEnd w:id="11"/>
    </w:p>
    <w:p>
      <w:pPr>
        <w:pStyle w:val="Heading2"/>
        <w:rPr>
          <w:rFonts w:ascii="仿宋" w:eastAsia="仿宋" w:hAnsi="仿宋" w:cs="仿宋" w:hint="eastAsia"/>
          <w:lang w:eastAsia="zh-CN"/>
        </w:rPr>
      </w:pPr>
      <w:bookmarkStart w:id="12" w:name="_Toc1186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邮政用信函和包裹分拣机项目中显现出多层面的复杂性和有机性。其系统性突显在对广泛技术领域的全面规划和整合，要求各技术要素相互协调，以确保邮政用信函和包裹分拣机项目整体协同。这种系统性要求技术管理者在邮政用信函和包裹分拣机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邮政用信函和包裹分拣机项目进步的引擎。这种创新力使技术管理不仅仅是问题应对，更是邮政用信函和包裹分拣机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邮政用信函和包裹分拣机项目技术方案的综合有效性。</w:t>
      </w:r>
    </w:p>
    <w:p>
      <w:pPr>
        <w:pStyle w:val="Heading2"/>
        <w:ind w:firstLine="560" w:firstLineChars="200"/>
        <w:rPr>
          <w:rFonts w:ascii="仿宋" w:eastAsia="仿宋" w:hAnsi="仿宋" w:cs="仿宋" w:hint="eastAsia"/>
          <w:sz w:val="28"/>
          <w:lang w:eastAsia="zh-CN"/>
        </w:rPr>
      </w:pPr>
      <w:bookmarkStart w:id="13" w:name="_Toc18997"/>
      <w:r>
        <w:rPr>
          <w:rFonts w:ascii="仿宋" w:eastAsia="仿宋" w:hAnsi="仿宋" w:cs="仿宋" w:hint="eastAsia"/>
          <w:sz w:val="28"/>
          <w:lang w:eastAsia="zh-CN"/>
        </w:rPr>
        <w:t>(二)、邮政用信函和包裹分拣机项目工艺技术设计方案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邮政用信函和包裹分拣机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在选择工艺设备时，需要考虑其性能、稳定性和可维护性。设备应符合邮政用信函和包裹分拣机项目的实际需求，并与整个生产流程协同工作，确保设备的使用不成为邮政用信函和包裹分拣机项目的瓶颈。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14" w:name="_Toc909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邮政用信函和包裹分拣机项目投资风险，最大限度地减少总体邮政用信函和包裹分拣机项目成本。在投资邮政用信函和包裹分拣机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邮政用信函和包裹分拣机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邮政用信函和包裹分拣机项目的生产设备具备最佳性能和效益，以满足邮政用信函和包裹分拣机项目长期的发展需求。</w:t>
      </w:r>
    </w:p>
    <w:p>
      <w:pPr>
        <w:pStyle w:val="Heading1"/>
        <w:ind w:firstLine="560" w:firstLineChars="200"/>
        <w:rPr>
          <w:rFonts w:ascii="仿宋" w:eastAsia="仿宋" w:hAnsi="仿宋" w:cs="仿宋" w:hint="eastAsia"/>
          <w:sz w:val="28"/>
          <w:lang w:eastAsia="zh-CN"/>
        </w:rPr>
      </w:pPr>
      <w:bookmarkStart w:id="15" w:name="_Toc28552"/>
      <w:r>
        <w:rPr>
          <w:rFonts w:ascii="仿宋" w:eastAsia="仿宋" w:hAnsi="仿宋" w:cs="仿宋" w:hint="eastAsia"/>
          <w:sz w:val="28"/>
          <w:lang w:eastAsia="zh-CN"/>
        </w:rPr>
        <w:t>四、建设单位基本信息</w:t>
      </w:r>
      <w:bookmarkEnd w:id="15"/>
    </w:p>
    <w:p>
      <w:pPr>
        <w:pStyle w:val="Heading2"/>
        <w:rPr>
          <w:rFonts w:ascii="仿宋" w:eastAsia="仿宋" w:hAnsi="仿宋" w:cs="仿宋" w:hint="eastAsia"/>
          <w:lang w:eastAsia="zh-CN"/>
        </w:rPr>
      </w:pPr>
      <w:bookmarkStart w:id="16" w:name="_Toc10128"/>
      <w:r>
        <w:rPr>
          <w:rFonts w:ascii="仿宋" w:eastAsia="仿宋" w:hAnsi="仿宋" w:cs="仿宋" w:hint="eastAsia"/>
          <w:lang w:eastAsia="zh-CN"/>
        </w:rPr>
        <w:t>(一)、邮政用信函和包裹分拣机项目承办单位基本情况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一、邮政用信函和包裹分拣机项目承办单位基本情况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17" w:name="_Toc32659"/>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公司的综合投资回报率为XX%，在邮政用信函和包裹分拣机项目、市场推广和研发等方面的投资取得了良好的回报。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18" w:name="_Toc15019"/>
      <w:r>
        <w:rPr>
          <w:rFonts w:ascii="仿宋" w:eastAsia="仿宋" w:hAnsi="仿宋" w:cs="仿宋" w:hint="eastAsia"/>
          <w:sz w:val="28"/>
          <w:lang w:eastAsia="zh-CN"/>
        </w:rPr>
        <w:t>五、邮政用信函和包裹分拣机项目运营管理</w:t>
      </w:r>
      <w:bookmarkEnd w:id="18"/>
    </w:p>
    <w:p>
      <w:pPr>
        <w:pStyle w:val="Heading2"/>
        <w:rPr>
          <w:rFonts w:ascii="仿宋" w:eastAsia="仿宋" w:hAnsi="仿宋" w:cs="仿宋" w:hint="eastAsia"/>
          <w:lang w:eastAsia="zh-CN"/>
        </w:rPr>
      </w:pPr>
      <w:bookmarkStart w:id="19" w:name="_Toc13741"/>
      <w:r>
        <w:rPr>
          <w:rFonts w:ascii="仿宋" w:eastAsia="仿宋" w:hAnsi="仿宋" w:cs="仿宋" w:hint="eastAsia"/>
          <w:lang w:eastAsia="zh-CN"/>
        </w:rPr>
        <w:t>(一)、运营管理机构设置</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企业的运营管理机构设置是保障业务高效运转和战略目标实现的基础。合理的机构设置有助于各个职能部门之间的协同合作，提升决策执行效果。在运营管理机构的设计中，需要考虑业务流程、组织结构、信息传递和决策层级等多个方面。从总体运营管理部门、业务部门、支持性职能部门、信息传递和决策层级四个方面展开具体阐述。</w:t>
      </w:r>
    </w:p>
    <w:p>
      <w:pPr>
        <w:ind w:firstLine="560" w:firstLineChars="200"/>
        <w:rPr>
          <w:rFonts w:ascii="仿宋" w:eastAsia="仿宋" w:hAnsi="仿宋" w:cs="仿宋" w:hint="eastAsia"/>
          <w:sz w:val="28"/>
        </w:rPr>
      </w:pPr>
      <w:r>
        <w:rPr>
          <w:rFonts w:ascii="仿宋" w:eastAsia="仿宋" w:hAnsi="仿宋" w:cs="仿宋" w:hint="eastAsia"/>
          <w:sz w:val="28"/>
          <w:lang w:eastAsia="zh-CN"/>
        </w:rPr>
        <w:t>1. 总体运营管理部门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总体运营管理部门是企业运营体系的核心，其角色是协调整个企业的运营活动，确保各个职能部门之间的合作无间。这个部门通常由首席运营官（COO）领导，其下设有多个高级管理人员，涵盖业务规划、资源分配、绩效评估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首席运营官作为总体运营管理部门的领导者，负责制定并执行整体运营策略。其职责包括但不限于，确保企业目标的达成、协调各业务部门的工作、监控绩效指标、对市场变化进行敏锐的感知等。同时，总体运营管理部门与其他职能部门保持紧密合作，共同推动企业的整体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业务部门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部门是运营管理机构中至关重要的组成部分。根据企业的业务模式，可以设置销售部门、生产部门、供应链管理部门等。每个业务部门都有自己的职能和目标，负责企业特定领域的运营工作。通常情况下，业务部门中会设立部门经理或主管，负责部门的日常管理和执行运营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部门负责市场推广、客户关系管理和销售业绩的提升。生产部门负责生产流程的优化、生产计划的制定和产品质量的控制。供应链管理部门则负责供应链的整体规划和执行，包括原材料采购、物流管理等。这些业务部门在协同工作中实现各自目标的同时，共同推动整个企业朝着战略目标前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支持性职能部门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支持性职能部门是确保运营流程高效运作的关键。这包括人力资源部门、财务部门、信息技术部门等。人力资源部门负责招聘、培训和员工绩效管理。财务部门负责预算、会计和财务分析。信息技术部门则负责信息系统的维护和创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部门通过招募合适的人才、提供专业培训，确保企业拥有高素质的员工队伍。财务部门通过精细的预算管理、财务分析，确保企业的财务稳健。信息技术部门通过维护和创新信息系统，提升企业的信息化水平。这些支持性职能部门为企业提供了全方位的支持，确保各项业务得以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信息传递和决策层级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管理机构中，建立清晰的信息传递和决策层级是至关重要的。信息传递的畅通确保各个部门之间的沟通，决策层级的明确性保证了管理决策的高效执行。通常情况下，高级管理层负责制定战略和重大决策，而中层管理层则负责具体的业务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高级管理层负责制定企业整体的战略方向。他们通过全局视角，对市场环境和企业内部情况进行综合分析，制定发展规划和决策重大战略举措。高级管理层包括首席执行官（CEO）、首席运营官（COO）等高层领导。</w:t>
      </w:r>
    </w:p>
    <w:p>
      <w:pPr>
        <w:ind w:firstLine="560" w:firstLineChars="200"/>
        <w:rPr>
          <w:rFonts w:ascii="仿宋" w:eastAsia="仿宋" w:hAnsi="仿宋" w:cs="仿宋" w:hint="eastAsia"/>
          <w:sz w:val="28"/>
        </w:rPr>
      </w:pPr>
      <w:r>
        <w:rPr>
          <w:rFonts w:ascii="仿宋" w:eastAsia="仿宋" w:hAnsi="仿宋" w:cs="仿宋" w:hint="eastAsia"/>
          <w:sz w:val="28"/>
          <w:lang w:eastAsia="zh-CN"/>
        </w:rPr>
        <w:t>中层管理层负责执行高层制定的战略和决策。他们负责具体的业务运作、协调各个职能部门的工作，确保战略目标的顺利实现。中层管理层通常包括各个业务部门的主管或经理，以及支持性职能部门的主管。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通过信息传递和决策层级的设立，企业能够保持信息的畅通流动，确保决策的高效执行。高级管理层的战略决策能够指导整个企业的运营方向，而中层管理层的执行力量则保证了战略的实施和目标的达成。</w:t>
      </w:r>
    </w:p>
    <w:p>
      <w:pPr>
        <w:ind w:firstLine="560" w:firstLineChars="200"/>
        <w:rPr>
          <w:rFonts w:ascii="仿宋" w:eastAsia="仿宋" w:hAnsi="仿宋" w:cs="仿宋" w:hint="eastAsia"/>
          <w:sz w:val="28"/>
        </w:rPr>
      </w:pPr>
      <w:r>
        <w:rPr>
          <w:rFonts w:ascii="仿宋" w:eastAsia="仿宋" w:hAnsi="仿宋" w:cs="仿宋" w:hint="eastAsia"/>
          <w:sz w:val="28"/>
          <w:lang w:eastAsia="zh-CN"/>
        </w:rPr>
        <w:t>客观分析运营管理机构设置</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观分析运营管理机构设置需要考虑其适应性、高效性和灵活性。首先，机构设置需要适应企业的业务模式和战略目标，确保各个部门的职能和责任与企业发展保持一致。适应性意味着机构设置需要灵活变通，能够根据市场变化和企业发展阶段进行调整。例如，当企业扩大规模或进入新市场时，可能需要重新调整各个部门的设置和职责，以更好地适应新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机构设置需要高效运作，避免冗余和资源浪费，确保每个部门都能够发挥最大效益。高效性意味着信息传递的迅速、决策的迅捷，各个部门之间的协同合作流畅有序。这需要建立有效的沟通渠道，确保信息在各个层级和部门之间迅速传递，决策能够及时推进，避免因为信息滞后而导致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机构设置需要灵活应对市场变化，能够迅速调整组织结构和流程，适应外部环境的变化。灵活性意味着机构设置能够适应市场的快速变化，迅速调整战略和业务重心。例如，在面对市场竞争激烈或者行业变革的时候，机构设置需要具备灵活性，能够调整部门职责、引入新的业务流程，以适应新的市场环境。</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通过客观地分析适应性、高效性和灵活性这三个方面，企业能够不断优化运营管理机构设置，提高运作效率，实现长期发展目标。在不断的实践中，企业可以根据具体情况进行调整和改进，确保机构设置始终符合企业的战略方向和市场需求。这种客观的分析和不断的优化是企业保持竞争力和适应市场变化的关键之一。</w:t>
      </w:r>
    </w:p>
    <w:p>
      <w:pPr>
        <w:pStyle w:val="Heading2"/>
        <w:ind w:firstLine="560" w:firstLineChars="200"/>
        <w:rPr>
          <w:rFonts w:ascii="仿宋" w:eastAsia="仿宋" w:hAnsi="仿宋" w:cs="仿宋" w:hint="eastAsia"/>
          <w:sz w:val="28"/>
          <w:lang w:eastAsia="zh-CN"/>
        </w:rPr>
      </w:pPr>
      <w:bookmarkStart w:id="20" w:name="_Toc7861"/>
      <w:r>
        <w:rPr>
          <w:rFonts w:ascii="仿宋" w:eastAsia="仿宋" w:hAnsi="仿宋" w:cs="仿宋" w:hint="eastAsia"/>
          <w:sz w:val="28"/>
          <w:lang w:eastAsia="zh-CN"/>
        </w:rPr>
        <w:t>(二)、运营管理流程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运营管理流程是企业实现高效运转和战略目标的关键。一个清晰、有序的运营管理流程可以确保各个部门之间的协同合作，提高生产效率，降低成本，最终实现企业的长期发展目标。从战略制定、业务执行、绩效监控和持续改进四个方面详细阐述运营管理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制定是运营管理流程的起点。在这一阶段，企业需要明确定义其长期目标和发展方向，同时制定相应的战略计划。这通常由高层领导层共同参与，包括首席执行官（CEO）、首席运营官（COO）等。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环境分析： 对外部环境进行全面分析，包括市场趋势、竞争状况、法规变化等，以确保制定的战略符合外部环境的变化。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内部评估： 对企业内部资源、能力、业务流程等进行评估，明确企业的核心竞争力和瓶颈。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设定具体、可衡量的长期目标，确保这些目标与企业的使命和愿景相一致。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战略制定： 制定符合目标的战略计划，包括市场拓展、产品创新、成本控制等方面的策略。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业务执行</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业务执行是将战略计划转化为实际行动的过程。在这一阶段，各个业务部门负责具体的执行工作，确保战略计划的顺利实施。关键的步骤包括：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计划制定： 各业务部门根据战略计划，制定具体的年度、季度、月度计划，明确各项任务和责任。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资源配置： 确保每个业务部门都获得足够的资源支持，包括人力、资金、技术等。</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 促进各部门之间的沟通和协作，确保信息的畅通流动，协同解决问题。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执行监督： 设立有效的监督机制，追踪业务执行的进展，及时发现和解决问题，确保计划的落地执行。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绩效监控</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绩效监控是确保业务执行效果的重要环节。通过有效的绩效监控，企业能够及时发现偏差，采取纠正措施，确保战略目标的实现。关键的步骤包括：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制定绩效指标： 根据战略目标和业务计划，制定具体的绩效指标，包括财务、市场、客户满意度等方面。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数据收集和分析： 收集业务执行过程中的关键数据，进行深入分析，发现问题的根本原因。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 定期对各项绩效指标进行评估，与计划进行对比，分析偏差，找出问题点。</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 根据评估结果，采取相应的改进措施，优化业务执行过程，提高效率和效果。</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4.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持续改进是运营管理流程的最后一环，也是一个循环的过程。通过不断的改进，企业能够适应不断变化的市场和内外部环境，提高运营管理的效能和灵活性。持续改进的步骤包括：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问题识别： 通过绩效监控和员工反馈等途径，识别业务执行中的问题和瓶颈。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原因分析： 对识别出的问题进行深入分析，找出问题的根本原因，而非仅仅应对表面症状。</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制定改进计划： 根据分析结果，制定具体的改进计划，明确改进的目标和措施。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实施改进： 将改进计划付诸实践，对业务流程、组织结构等方面进行调整和优化。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效果监测： 对改进措施的实施效果进行监测和评估，看是否取得了期望的效果。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通过以上这个完整的运营管理流程，企业能够实现从战略制定到业务执行、再到绩效监控和持续改进的有机衔接。这种有序、系统的流程不仅有助于企业更好地应对市场变化，也提高了整体运营的效率和质量。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客观分析运营管理流程</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客观分析运营管理流程需要从效率、适应性、质量和创新性等多个方面进行评估。首先，流程的效率体现在战略制定到执行、再到监控和改进的环环相扣，确保信息流通畅、决策高效。适应性则表现在流程能否灵活调整，迅速适应市场变化和企业发展的需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其次，流程的质量体现在业务执行和绩效监控阶段，包括产品或服务的质量、生产效率、绩效指标的达成等。高质量的流程能够确保企业的产出符合标准，提高客户满意度。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最后，创新性是运营管理流程持续改进的动力。通过不断挑战现状，寻找新的解决方案，企业能够保持竞争优势，更好地适应不断变化的市场。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通过客观地分析这些方面，企业能够深入了解运营管理流程的优势和不足之处，有针对性地进行改进。这种不断优化的态势有助于企业在竞争激烈的市场中保持敏捷性和创造力，实现可持续发展。</w:t>
      </w:r>
    </w:p>
    <w:p>
      <w:pPr>
        <w:pStyle w:val="Heading2"/>
        <w:ind w:firstLine="560" w:firstLineChars="200"/>
        <w:rPr>
          <w:rFonts w:ascii="仿宋" w:eastAsia="仿宋" w:hAnsi="仿宋" w:cs="仿宋" w:hint="eastAsia"/>
          <w:sz w:val="28"/>
          <w:lang w:eastAsia="zh-CN"/>
        </w:rPr>
      </w:pPr>
      <w:bookmarkStart w:id="21" w:name="_Toc30879"/>
      <w:r>
        <w:rPr>
          <w:rFonts w:ascii="仿宋" w:eastAsia="仿宋" w:hAnsi="仿宋" w:cs="仿宋" w:hint="eastAsia"/>
          <w:sz w:val="28"/>
          <w:lang w:eastAsia="zh-CN"/>
        </w:rPr>
        <w:t>(三)、人员配备及培训</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人员是企业最重要的资产之一，其在业务执行和战略实施中发挥着关键作用。为了确保人员能够胜任各自的工作，并随着企业的发展不断提升能力，人员的配备和培训显得尤为重要。从招聘与配备、培训与发展两个方面展开详细阐述。</w:t>
      </w:r>
    </w:p>
    <w:p>
      <w:pPr>
        <w:ind w:firstLine="560" w:firstLineChars="200"/>
        <w:rPr>
          <w:rFonts w:ascii="仿宋" w:eastAsia="仿宋" w:hAnsi="仿宋" w:cs="仿宋" w:hint="eastAsia"/>
          <w:sz w:val="28"/>
        </w:rPr>
      </w:pPr>
      <w:r>
        <w:rPr>
          <w:rFonts w:ascii="仿宋" w:eastAsia="仿宋" w:hAnsi="仿宋" w:cs="仿宋" w:hint="eastAsia"/>
          <w:sz w:val="28"/>
          <w:lang w:eastAsia="zh-CN"/>
        </w:rPr>
        <w:t>1. 招聘与配备</w:t>
      </w:r>
    </w:p>
    <w:p>
      <w:pPr>
        <w:ind w:firstLine="560" w:firstLineChars="200"/>
        <w:rPr>
          <w:rFonts w:ascii="仿宋" w:eastAsia="仿宋" w:hAnsi="仿宋" w:cs="仿宋" w:hint="eastAsia"/>
          <w:sz w:val="28"/>
        </w:rPr>
      </w:pPr>
      <w:r>
        <w:rPr>
          <w:rFonts w:ascii="仿宋" w:eastAsia="仿宋" w:hAnsi="仿宋" w:cs="仿宋" w:hint="eastAsia"/>
          <w:sz w:val="28"/>
          <w:lang w:eastAsia="zh-CN"/>
        </w:rPr>
        <w:t>招聘与配备是建立强大团队的基础，合适的人才配置能够保证各个部门的正常运转和战略目标的实现。关键的步骤包括：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职位规划： 针对企业的业务需求和发展战略，规划各个职位的数量和类型。</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人才招聘： 通过内外部渠道广泛招聘人才，包括通过招聘网站、社交媒体、校园招聘等途径。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面试和评估： 对候选人进行面试和评估，确保其符合职位要求，并具备良好的团队协作能力。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职位分配： 根据招聘和评估结果，将人才分配到适合的职位，确保人员配置合理。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培训与发展是确保员工能够适应工作要求和持续提升能力的关键环节。关键的步骤包括：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 通过调研和绩效评估等手段，分析员工的培训需求，确定培训的重点和方向。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制定培训计划： 根据培训需求，制定详细的培训计划，包括培训内容、方式、时间等。</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 执行培训计划，可以包括内部培训、外部培训、在线培训等多种形式，确保员工获得所需的知识和技能。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 在培训后进行绩效评估，检查培训效果，发现并解决培训中的问题。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职业发展规划： 与员工共同制定职业发展计划，为其提供晋升机会和发展通道，激发员工的积极性和创造力。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通过合理的人员配备和系统的培训与发展，企业可以建立起一支高效、积极、具备竞争力的团队。这有助于提高员工的专业素养，适应不断变化的市场环境，为企业的可持续发展提供强大的人才支持。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客观分析人员配备及培训</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观分析人员配备及培训需要从员工的能力、团队协作、学习机会和发展通道等多个方面进行评估。首先，员工的能力需要与职位要求相匹配，确保其具备完成工作任务所需的技能和知识。其次，团队协作能力是团队成功运作的基础，需要评估员工在团队中的协作和沟通能力。此外，员工的学习机会和发展通道也是重要的考量因素，一个良好的培训和发展体系有助于激发员工的潜力，提高他们的职业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通过客观地分析这些方面，企业可以更好地理解员工的现状和需求，有针对性地进行培训和发展规划。这种定期的评估和调整有助于提高员工的满意度，降低员工流失率，进而增强企业的竞争力。</w:t>
      </w:r>
    </w:p>
    <w:p>
      <w:pPr>
        <w:pStyle w:val="Heading2"/>
        <w:ind w:firstLine="560" w:firstLineChars="200"/>
        <w:rPr>
          <w:rFonts w:ascii="仿宋" w:eastAsia="仿宋" w:hAnsi="仿宋" w:cs="仿宋" w:hint="eastAsia"/>
          <w:sz w:val="28"/>
          <w:lang w:eastAsia="zh-CN"/>
        </w:rPr>
      </w:pPr>
      <w:bookmarkStart w:id="22" w:name="_Toc585"/>
      <w:r>
        <w:rPr>
          <w:rFonts w:ascii="仿宋" w:eastAsia="仿宋" w:hAnsi="仿宋" w:cs="仿宋" w:hint="eastAsia"/>
          <w:sz w:val="28"/>
          <w:lang w:eastAsia="zh-CN"/>
        </w:rPr>
        <w:t>(四)、质量管理体系</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体系是企业为确保产品或服务达到一定标准而建立的一系列组织结构、流程、程序和资源的集合。通过建立质量管理体系，企业能够不断提高产品或服务的质量水平，提升客户满意度，同时也有助于提高内部效率和降低成本。从质量政策、流程管理、资源管理和持续改进四个方面详细阐述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1. 质量政策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质量政策是企业对质量目标和承诺的表述，为整个质量管理体系的建立和运作提供指导。关键的步骤包括：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制定质量政策： 由高层领导层参与，确立企业对质量的核心价值和战略方向。</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传达与宣导：</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将质量政策传达给所有员工，并强调每个人在实现质量目标中的重要性。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监督与更新： 定期对质量政策进行监督，确保其符合企业发展和市场需求，随时进行调整和更新。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2. 流程管理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流程管理是确保产品或服务在整个生命周期中都能够保持一致性和高质量的关键。关键的步骤包括：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流程规划： 确定关键业务流程，包括生产流程、服务过程、供应链管理等。</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制定流程程序： 建立详细的流程程序和工作指导书，确保每个步骤都被规范执行。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监测和控制： 进行实时监测和控制，发现和纠正任何可能影响产品或服务质量的问题。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资源管理是指对人力、物力、技术和信息等方面的管理，确保这些资源能够支持质量目标的实现。关键的步骤包括：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 提供员工必要的培训，确保其具备完成工作所需的技能和知识。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设备和技术支持： 确保生产设备、技术工具等都能够满足产品或服务的质量标准。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信息系统： 建立有效的信息系统，确保质量数据的收集、分析和报告能够支持质量决策。</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4.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持续改进是质量管理体系的核心原则之一。通过不断寻找和纠正问题，企业能够不断提高质量水平。关键的步骤包括：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问题识别： 通过内部审查、客户反馈、绩效评估等手段，识别潜在的问题和改进点。</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制定改进计划： 针对识别出的问题，制定具体的改进计划，包括调整流程、更新设备、改进培训等。</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实施改进： 将改进计划付诸实践，确保改进措施能够在实际操作中生效。</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效果监测： 对改进措施的实施效果进行监测和评估，看是否取得了期望的效果。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这个完整的质量管理体系，企业能够建立一种注重质量的文化，从而确保产品或服务在不断变化的市场中保持竞争力。这种系统性的管理有助于企业提高客户满意度，降低质量成本，为可持续发展奠定基础。</w:t>
      </w:r>
    </w:p>
    <w:p>
      <w:pPr>
        <w:pStyle w:val="Heading2"/>
        <w:ind w:firstLine="560" w:firstLineChars="200"/>
        <w:rPr>
          <w:rFonts w:ascii="仿宋" w:eastAsia="仿宋" w:hAnsi="仿宋" w:cs="仿宋" w:hint="eastAsia"/>
          <w:sz w:val="28"/>
          <w:lang w:eastAsia="zh-CN"/>
        </w:rPr>
      </w:pPr>
      <w:bookmarkStart w:id="23" w:name="_Toc23494"/>
      <w:r>
        <w:rPr>
          <w:rFonts w:ascii="仿宋" w:eastAsia="仿宋" w:hAnsi="仿宋" w:cs="仿宋" w:hint="eastAsia"/>
          <w:sz w:val="28"/>
          <w:lang w:eastAsia="zh-CN"/>
        </w:rPr>
        <w:t>(五)、安全生产管理</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安全生产管理是企业为确保员工和生产设施的安全，防范事故风险而采取的一系列组织、控制和监督措施的系统体系。建立有效的安全生产管理有助于减少事故发生的可能性，保障员工的生命安全和公司的可持续经营。从领导层责任、风险评估与控制、培训与意识提升、应急响应四个方面详细阐述安全生产管理。</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1. 领导层责任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领导层在安全生产管理中扮演着决策和示范的重要角色。领导层责任的关键步骤包括：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设定安全文化： 领导层要树立和推动企业的安全文化，确保安全意识融入到企业的价值观中。</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建立安全政策： 制定和发布明确的安全政策，明确每个员工对于安全的责任和义务。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资源投入： 提供足够的资源支持，包括经费、技术设备等，确保安全管理体系的正常运转。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领导示范： 领导层要积极参与安全活动，示范正确的安全行为，激发员工的安全意识。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2. 风险评估与控制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风险评估与控制是安全生产管理中的关键环节，它确保企业对潜在危险的认知，并采取措施降低风险。关键的步骤包括：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危险识别： 对工作场所进行定期检查，识别潜在的危险源，包括设备、材料、工艺等。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评估每个危险源的风险程度，确定可能的影响和概率。</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制定控制措施： 根据评估结果，制定明确的控制措施，包括工程控制、行政控制、个体防护等。</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监测与改进： 监测控制措施的实施效果，根据实际情况及时调整和改进。</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3. 培训与意识提升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员工的安全意识和技能是安全生产的基石。培训与意识提升的关键步骤包括：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制定全面的安全培训计划，包括新员工培训、定期培训和特定任务培训。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意识提升： 通过内部通知、安全标识、定期演练等方式，提高员工对安全的关注度。</w:t>
      </w:r>
    </w:p>
    <w:p>
      <w:pPr>
        <w:ind w:firstLine="560" w:firstLineChars="200"/>
        <w:rPr>
          <w:rFonts w:ascii="仿宋" w:eastAsia="仿宋" w:hAnsi="仿宋" w:cs="仿宋" w:hint="eastAsia"/>
          <w:sz w:val="28"/>
        </w:rPr>
      </w:pPr>
      <w:r>
        <w:rPr>
          <w:rFonts w:ascii="仿宋" w:eastAsia="仿宋" w:hAnsi="仿宋" w:cs="仿宋" w:hint="eastAsia"/>
          <w:sz w:val="28"/>
          <w:lang w:eastAsia="zh-CN"/>
        </w:rPr>
        <w:t>技能培养： 不仅要提高员工对安全的认知，还要培养实际应对危险的技能，确保他们能够在危急时刻正确应对。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4. 应急响应</w:t>
      </w:r>
    </w:p>
    <w:p>
      <w:pPr>
        <w:ind w:firstLine="560" w:firstLineChars="200"/>
        <w:rPr>
          <w:rFonts w:ascii="仿宋" w:eastAsia="仿宋" w:hAnsi="仿宋" w:cs="仿宋" w:hint="eastAsia"/>
          <w:sz w:val="28"/>
        </w:rPr>
      </w:pPr>
      <w:r>
        <w:rPr>
          <w:rFonts w:ascii="仿宋" w:eastAsia="仿宋" w:hAnsi="仿宋" w:cs="仿宋" w:hint="eastAsia"/>
          <w:sz w:val="28"/>
          <w:lang w:eastAsia="zh-CN"/>
        </w:rPr>
        <w:t>事故难以完全避免，建立有效的应急响应机制是保障员工生命安全和减轻事故损失的关键。关键的步骤包括：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 制定全面、详细的应急预案，包括各种可能的事故情景和应对措施。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演练与培训： 定期进行应急演练，培训员工对于突发事件的正确反应。</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设备准备： 确保应急设备齐全，并得到定期检查和维护，确保其在紧急情况下能够正常使用。</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通过建立完善的安全生产管理体系，企业能够更好地防范事故风险，保障员工的安全，同时提高生产效率和可持续经营的能力。这种系统性的管理有助于企业建立良好的安全形象，提高在员工和社会中的信任度。</w:t>
      </w:r>
    </w:p>
    <w:p>
      <w:pPr>
        <w:pStyle w:val="Heading2"/>
        <w:ind w:firstLine="560" w:firstLineChars="200"/>
        <w:rPr>
          <w:rFonts w:ascii="仿宋" w:eastAsia="仿宋" w:hAnsi="仿宋" w:cs="仿宋" w:hint="eastAsia"/>
          <w:sz w:val="28"/>
          <w:lang w:eastAsia="zh-CN"/>
        </w:rPr>
      </w:pPr>
      <w:bookmarkStart w:id="24" w:name="_Toc30161"/>
      <w:r>
        <w:rPr>
          <w:rFonts w:ascii="仿宋" w:eastAsia="仿宋" w:hAnsi="仿宋" w:cs="仿宋" w:hint="eastAsia"/>
          <w:sz w:val="28"/>
          <w:lang w:eastAsia="zh-CN"/>
        </w:rPr>
        <w:t>(六)、环境管理</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环境管理是指企业为了降低对环境的负面影响，推动可持续发展而采取的一系列组织、控制和监督措施的系统体系。建立有效的环境管理有助于企业实现经济、社会和环境的协调发展，符合可持续发展的理念。从法规遵从、环境影响评估、资源管理和改进与创新四个方面详细阐述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1. 法规遵从</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合规是企业环境管理的首要任务，确保企业的运营活动符合国家和地区的环境法规。关键的步骤包括：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法规监测： 持续关注国家和地区的环境法规，了解并熟悉与企业相关的法规要求。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合规评估： 定期对企业的运营活动进行合规评估，确保其符合法规的要求。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法规培训： 对员工进行环境法规的培训，提高其对法规遵从的认知和理解。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环境影响评估是对企业活动对周围环境可能产生的影响进行全面评估的过程。关键的步骤包括：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评估范围确定： 确定评估的范围，包括涉及的业务、邮政用信函和包裹分拣机项目或产品。</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数据收集： 收集与评估范围相关的环境数据，包括能耗、废物排放、水资源利用等。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影响评估： 评估企业活动对空气、水、土壤等环境要素可能产生的影响。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 识别可能对环境产生负面影响的潜在风险，并制定相应的风险控制计划。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合理管理资源是环境管理的重要环节，包括能源、水资源、原材料等。关键的步骤包括：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制定能源管理计划，提高能源利用效率，减少能源浪费。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水资源管理： 设定水资源管理目标，减少用水量，推动水资源的可持续利用。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原材料管理： 优化原材料使用，减少对非可再生资源的依赖。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4. 改进与创新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不断改进与创新是企业实现环境可持续发展的动力源。关键的步骤包括：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监测与测量： 确保对环境绩效的监测与测量得以实施，通过数据分析找到改进点。</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 制定并执行持续改进计划，包括技术更新、流程优化等。</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创新实践： 鼓励创新实践，寻找新的环保技术和方法，提高企业的环境绩效水平。</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通过建立完善的环境管理体系，企业能够在降低对环境的影响的同时实现可持续经营。这种系统性的管理有助于企业提升社会责任感，提高在市场中的竞争力，实现经济、环保和社会效益的三重共赢。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5" w:name="_Toc22104"/>
      <w:r>
        <w:rPr>
          <w:rFonts w:ascii="仿宋" w:eastAsia="仿宋" w:hAnsi="仿宋" w:cs="仿宋" w:hint="eastAsia"/>
          <w:sz w:val="28"/>
          <w:lang w:eastAsia="zh-CN"/>
        </w:rPr>
        <w:t>(七)、设备维护与保养</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设备维护与保养是企业为确保设备正常运行、延长设备寿命、提高生产效率而采取的一系列管理和技术手段的综合体系。建立有效的设备维护与保养体系有助于降低设备故障率，提高生产效率，减少生产停工时间。从预防性维护、计划性保养、设备监控与诊断、技能培训四个方面详细阐述设备维护与保养。</w:t>
      </w:r>
    </w:p>
    <w:p>
      <w:pPr>
        <w:ind w:firstLine="560" w:firstLineChars="200"/>
        <w:rPr>
          <w:rFonts w:ascii="仿宋" w:eastAsia="仿宋" w:hAnsi="仿宋" w:cs="仿宋" w:hint="eastAsia"/>
          <w:sz w:val="28"/>
        </w:rPr>
      </w:pPr>
      <w:r>
        <w:rPr>
          <w:rFonts w:ascii="仿宋" w:eastAsia="仿宋" w:hAnsi="仿宋" w:cs="仿宋" w:hint="eastAsia"/>
          <w:sz w:val="28"/>
          <w:lang w:eastAsia="zh-CN"/>
        </w:rPr>
        <w:t>1. 预防性维护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预防性维护是在设备出现故障之前通过检查、更换部件等手段，预防设备故障的发生。关键的步骤包括：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定期检查： 制定设备定期检查的计划，对关键部件进行检查，发现潜在问题。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润滑和清洁： 定期对设备进行润滑和清洁，确保设备运转的顺畅。</w:t>
      </w:r>
    </w:p>
    <w:p>
      <w:pPr>
        <w:ind w:firstLine="560" w:firstLineChars="200"/>
        <w:rPr>
          <w:rFonts w:ascii="仿宋" w:eastAsia="仿宋" w:hAnsi="仿宋" w:cs="仿宋" w:hint="eastAsia"/>
          <w:sz w:val="28"/>
        </w:rPr>
      </w:pPr>
      <w:r>
        <w:rPr>
          <w:rFonts w:ascii="仿宋" w:eastAsia="仿宋" w:hAnsi="仿宋" w:cs="仿宋" w:hint="eastAsia"/>
          <w:sz w:val="28"/>
          <w:lang w:eastAsia="zh-CN"/>
        </w:rPr>
        <w:t>更换易损件： 根据设备使用寿命和工作强度，提前更换易损件，防止因部件老化而导致的故障。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计划性保养</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计划性保养是按照设定的保养计划和周期，对设备进行定期的保养维护。关键的步骤包括：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保养计划： 制定设备保养计划，明确保养的周期、内容和责任人。</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设备停机： 安排设备停机时间，进行必要的保养工作，确保设备在停机期间得到维护。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记录与分析： 记录每次保养的情况，分析保养效果，为下一次保养提供参考。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设备监控与诊断</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设备监控与诊断是通过先进的监控技术，对设备运行状态进行实时监测和分析，及时发现异常并进行诊断。关键的步骤包括：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监测系统建立： 配备先进的监测系统，实时监测设备的运行状态，包括振动、温度、压力等参数。</w:t>
      </w:r>
    </w:p>
    <w:p>
      <w:pPr>
        <w:ind w:firstLine="560" w:firstLineChars="200"/>
        <w:rPr>
          <w:rFonts w:ascii="仿宋" w:eastAsia="仿宋" w:hAnsi="仿宋" w:cs="仿宋" w:hint="eastAsia"/>
          <w:sz w:val="28"/>
        </w:rPr>
      </w:pPr>
      <w:r>
        <w:rPr>
          <w:rFonts w:ascii="仿宋" w:eastAsia="仿宋" w:hAnsi="仿宋" w:cs="仿宋" w:hint="eastAsia"/>
          <w:sz w:val="28"/>
          <w:lang w:eastAsia="zh-CN"/>
        </w:rPr>
        <w:t>异常警报： 设立设备异常警报机制，一旦监测到异常，及时发出警报，通知相关人员进行处理。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故障诊断： 针对监测到的异常，进行详细的故障诊断，找出问题的原因。</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技能培训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设备维护与保养需要操作人员具备一定的技能和知识，因此进行技能培训是非常重要的。关键的步骤包括：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制定设备维护与保养的培训计划，明确培训的内容和培训周期。</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实操培训： 进行实际操作培训，提高操作人员对设备维护的操作技能。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更新知识： 定期更新培训内容，确保操作人员掌握最新的设备维护技术和知识。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通过建立完善的设备维护与保养体系，企业能够保障设备的正常运行，延长设备寿命，提高生产效率。这种系统性的管理有助于降低设备故障率，减少生产线停工时间，提高企业的竞争力。</w:t>
      </w:r>
    </w:p>
    <w:p>
      <w:pPr>
        <w:pStyle w:val="Heading2"/>
        <w:ind w:firstLine="560" w:firstLineChars="200"/>
        <w:rPr>
          <w:rFonts w:ascii="仿宋" w:eastAsia="仿宋" w:hAnsi="仿宋" w:cs="仿宋" w:hint="eastAsia"/>
          <w:sz w:val="28"/>
          <w:lang w:eastAsia="zh-CN"/>
        </w:rPr>
      </w:pPr>
      <w:bookmarkStart w:id="26" w:name="_Toc573"/>
      <w:r>
        <w:rPr>
          <w:rFonts w:ascii="仿宋" w:eastAsia="仿宋" w:hAnsi="仿宋" w:cs="仿宋" w:hint="eastAsia"/>
          <w:sz w:val="28"/>
          <w:lang w:eastAsia="zh-CN"/>
        </w:rPr>
        <w:t>(八)、应急预案与处置</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风险评估是制定应急预案的第一步，它有助于了解潜在的风险和灾害，为应急预案的制定提供基础。关键的步骤包括：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识别潜在风险： 通过对企业运营过程的分析，识别可能导致灾害和突发事件的潜在风险。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风险分级： 对每个风险进行评估和分级，确定其对企业的影响程度和可能性。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建立风险清单： 建立详细的风险清单，为制定应急预案提供清晰的参考。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2. 应急预案制定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根据风险评估的结果，制定相应的应急预案是确保企业在突发事件发生时能够迅速、有序、有效应对的关键。关键的步骤包括：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明确责任与权限： 确定应急预案执行的责任人和各相关部门的权限，明确各自的任务。</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流程规范：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制定应急处置流程，明确各个阶段的应急措施，确保流程的科学合理。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资源准备： 准备必要的资源，包括人员、物资、技术设备等，以应对各类紧急情况。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3. 演练与培训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应急预案的演练和培训是保障预案实施有效性的关键环节。通过定期演练和培训，能够提高员工的应急处理能力，熟悉应急程序。关键的步骤包括：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制定定期的应急演练计划，模拟各类突发事件，检验应急预案的实施效果。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 对员工进行应急处置培训，提高其对突发事件的应对能力。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评估与改进： 在演练后进行评估，发现问题并及时进行改进，提高应急处置的效率。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危机沟通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在突发事件中，有效的危机沟通是确保信息传递和协调顺畅的关键。建立明确的危机沟通渠道和流程有助于提高应急响应的效率。关键的步骤包括：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建立沟通体系： 制定危机沟通体系，明确信息的传递渠道和责任人。</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 设立信息发布机制，确保及时、准确地向员工、媒体和社会发布相关信息。</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危机公关：</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建立危机公关团队，协调处理与外界的沟通，保护企业的形象。</w:t>
      </w:r>
    </w:p>
    <w:p>
      <w:pPr>
        <w:pStyle w:val="Heading2"/>
        <w:ind w:firstLine="560" w:firstLineChars="200"/>
        <w:rPr>
          <w:rFonts w:ascii="仿宋" w:eastAsia="仿宋" w:hAnsi="仿宋" w:cs="仿宋" w:hint="eastAsia"/>
          <w:sz w:val="28"/>
          <w:lang w:eastAsia="zh-CN"/>
        </w:rPr>
      </w:pPr>
      <w:bookmarkStart w:id="27" w:name="_Toc18899"/>
      <w:r>
        <w:rPr>
          <w:rFonts w:ascii="仿宋" w:eastAsia="仿宋" w:hAnsi="仿宋" w:cs="仿宋" w:hint="eastAsia"/>
          <w:sz w:val="28"/>
          <w:lang w:eastAsia="zh-CN"/>
        </w:rPr>
        <w:t>(九)、绩效评估</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目标设定是绩效评估的起点，明确员工和团队在一定时期内需要完成的工作目标。关键的步骤包括：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明确目标： 制定具体、可衡量、可达到的工作目标，确保目标与企业战略一致。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与员工沟通： 目标设定需要与员工进行充分沟通，确保员工理解目标的重要性和期望。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设定时间： 为每个目标设定明确的时间期限，确保目标具有时间可控性。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绩效指标制定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绩效指标是评估员工工作表现的具体衡量标准，它需要与目标紧密关联。关键的步骤包括：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量化指标： 将目标转化为具体的量化指标，便于进行客观评估。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多维度考核： 绩效指标应涵盖多个方面，包括工作质量、效率、创新等。</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制定权重： 对不同的绩效指标设定权重，确保各项指标的重要性被充分考虑。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3. 反馈与改进</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绩效评估需要定期进行反馈，及时发现问题，为员工提供改进机会。关键的步骤包括：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 设定评估周期，定期对员工的绩效进行评估。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实时反馈： 在评估过程中及时向员工提供反馈，包括优点和需要改进的地方。</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制定改进计划： 针对员工的改进需求，制定明确的改进计划，提供支持和培训。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公平公正</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确保绩效评估的公平公正是维护组织内部和谐关系的重要因素。关键的步骤包括：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公开透明： 绩效评估的标准和流程应对所有员工公开透明，消除不确定性和猜疑。</w:t>
      </w:r>
    </w:p>
    <w:p>
      <w:pPr>
        <w:ind w:firstLine="560" w:firstLineChars="200"/>
        <w:rPr>
          <w:rFonts w:ascii="仿宋" w:eastAsia="仿宋" w:hAnsi="仿宋" w:cs="仿宋" w:hint="eastAsia"/>
          <w:sz w:val="28"/>
        </w:rPr>
      </w:pPr>
      <w:r>
        <w:rPr>
          <w:rFonts w:ascii="仿宋" w:eastAsia="仿宋" w:hAnsi="仿宋" w:cs="仿宋" w:hint="eastAsia"/>
          <w:sz w:val="28"/>
          <w:lang w:eastAsia="zh-CN"/>
        </w:rPr>
        <w:t>一致性执行： 绩效评估标准的执行应一致，避免主观因素的介入。</w:t>
      </w:r>
    </w:p>
    <w:p>
      <w:pPr>
        <w:ind w:firstLine="560" w:firstLineChars="200"/>
        <w:rPr>
          <w:rFonts w:ascii="仿宋" w:eastAsia="仿宋" w:hAnsi="仿宋" w:cs="仿宋" w:hint="eastAsia"/>
          <w:sz w:val="28"/>
        </w:rPr>
      </w:pPr>
      <w:r>
        <w:rPr>
          <w:rFonts w:ascii="仿宋" w:eastAsia="仿宋" w:hAnsi="仿宋" w:cs="仿宋" w:hint="eastAsia"/>
          <w:sz w:val="28"/>
          <w:lang w:eastAsia="zh-CN"/>
        </w:rPr>
        <w:t>申诉机制： 设立申诉机制，为员工提供申诉渠道，确保有异议时能够得到公正处理。</w:t>
      </w:r>
    </w:p>
    <w:p>
      <w:pPr>
        <w:pStyle w:val="Heading1"/>
        <w:ind w:firstLine="560" w:firstLineChars="200"/>
        <w:rPr>
          <w:rFonts w:ascii="仿宋" w:eastAsia="仿宋" w:hAnsi="仿宋" w:cs="仿宋" w:hint="eastAsia"/>
          <w:sz w:val="28"/>
          <w:lang w:eastAsia="zh-CN"/>
        </w:rPr>
      </w:pPr>
      <w:bookmarkStart w:id="28" w:name="_Toc13874"/>
      <w:r>
        <w:rPr>
          <w:rFonts w:ascii="仿宋" w:eastAsia="仿宋" w:hAnsi="仿宋" w:cs="仿宋" w:hint="eastAsia"/>
          <w:sz w:val="28"/>
          <w:lang w:eastAsia="zh-CN"/>
        </w:rPr>
        <w:t>六、危机管理与应急预案</w:t>
      </w:r>
      <w:bookmarkEnd w:id="28"/>
    </w:p>
    <w:p>
      <w:pPr>
        <w:pStyle w:val="Heading2"/>
        <w:rPr>
          <w:rFonts w:ascii="仿宋" w:eastAsia="仿宋" w:hAnsi="仿宋" w:cs="仿宋" w:hint="eastAsia"/>
          <w:lang w:eastAsia="zh-CN"/>
        </w:rPr>
      </w:pPr>
      <w:bookmarkStart w:id="29" w:name="_Toc30941"/>
      <w:r>
        <w:rPr>
          <w:rFonts w:ascii="仿宋" w:eastAsia="仿宋" w:hAnsi="仿宋" w:cs="仿宋" w:hint="eastAsia"/>
          <w:lang w:eastAsia="zh-CN"/>
        </w:rPr>
        <w:t>(一)、危机预警与监测</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30" w:name="_Toc26100"/>
      <w:r>
        <w:rPr>
          <w:rFonts w:ascii="仿宋" w:eastAsia="仿宋" w:hAnsi="仿宋" w:cs="仿宋" w:hint="eastAsia"/>
          <w:sz w:val="28"/>
          <w:lang w:eastAsia="zh-CN"/>
        </w:rPr>
        <w:t>(二)、应急预案与危机响应</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多方参与： 预案的制定需要多方面的参与，包括安全专家、卫生专业人员、法务顾问等，确保综合性和专业性。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 预案需要根据组织的变化和外部环境的变动进行定期更新，保持其时效性和适应性。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模拟真实情境： 在演练中模拟真实危机情境，包括人员伤亡、资源不足、信息不准确等各种可能的困难。</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评估演练结果：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r>
        <w:rPr>
          <w:rFonts w:ascii="仿宋" w:eastAsia="仿宋" w:hAnsi="仿宋" w:cs="仿宋" w:hint="eastAsia"/>
          <w:sz w:val="28"/>
          <w:lang w:eastAsia="zh-CN"/>
        </w:rPr>
        <w:t>角色分工： 确定每个指挥层级的角色和职责，以便在紧急情况下各司其职，协同工作。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信息流动： 建立快速、准确的信息传递机制，确保决策者能够及时获取所需信息。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紧急决策培训：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31" w:name="_Toc23066"/>
      <w:r>
        <w:rPr>
          <w:rFonts w:ascii="仿宋" w:eastAsia="仿宋" w:hAnsi="仿宋" w:cs="仿宋" w:hint="eastAsia"/>
          <w:sz w:val="28"/>
          <w:lang w:eastAsia="zh-CN"/>
        </w:rPr>
        <w:t>(三)、危机沟通与舆情控制</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建立沟通团队：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sectPr>
          <w:headerReference w:type="default" r:id="rId88"/>
          <w:footerReference w:type="default" r:id="rId89"/>
          <w:type w:val="nextPage"/>
          <w:pgSz w:w="11906" w:h="16838"/>
          <w:pgMar w:top="1440" w:right="1800" w:bottom="1440" w:left="1800" w:header="851" w:footer="992" w:gutter="0"/>
          <w:pgNumType w:start="43"/>
          <w:cols w:num="1" w:space="425"/>
          <w:titlePg w:val="0"/>
          <w:docGrid w:type="lines" w:linePitch="312" w:charSpace="0"/>
        </w:sect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 在信息发布中坚持真实、客观的原则，对危机的真实情况进行公开。</w:t>
      </w:r>
    </w:p>
    <w:p>
      <w:pPr>
        <w:ind w:firstLine="560" w:firstLineChars="200"/>
        <w:rPr>
          <w:rFonts w:ascii="仿宋" w:eastAsia="仿宋" w:hAnsi="仿宋" w:cs="仿宋" w:hint="eastAsia"/>
          <w:sz w:val="28"/>
        </w:rPr>
      </w:pPr>
      <w:r>
        <w:rPr>
          <w:rFonts w:ascii="仿宋" w:eastAsia="仿宋" w:hAnsi="仿宋" w:cs="仿宋" w:hint="eastAsia"/>
          <w:sz w:val="28"/>
          <w:lang w:eastAsia="zh-CN"/>
        </w:rPr>
        <w:t>不隐瞒问题： 如有错误或疏忽，勇于承认，并及时采取纠正措施，避免信息隐瞒引发更大危机。</w:t>
      </w:r>
    </w:p>
    <w:p>
      <w:pPr>
        <w:ind w:firstLine="560" w:firstLineChars="200"/>
        <w:rPr>
          <w:rFonts w:ascii="仿宋" w:eastAsia="仿宋" w:hAnsi="仿宋" w:cs="仿宋" w:hint="eastAsia"/>
          <w:sz w:val="28"/>
        </w:rPr>
      </w:pPr>
      <w:r>
        <w:rPr>
          <w:rFonts w:ascii="仿宋" w:eastAsia="仿宋" w:hAnsi="仿宋" w:cs="仿宋" w:hint="eastAsia"/>
          <w:sz w:val="28"/>
          <w:lang w:eastAsia="zh-CN"/>
        </w:rPr>
        <w:t>接受采访和回应： 主动接受媒体采访，回应公众关切，积极参与危机舆论引导。</w:t>
      </w:r>
    </w:p>
    <w:p>
      <w:pPr>
        <w:ind w:firstLine="560" w:firstLineChars="200"/>
        <w:rPr>
          <w:rFonts w:ascii="仿宋" w:eastAsia="仿宋" w:hAnsi="仿宋" w:cs="仿宋" w:hint="eastAsia"/>
          <w:sz w:val="28"/>
        </w:rPr>
      </w:pPr>
      <w:r>
        <w:rPr>
          <w:rFonts w:ascii="仿宋" w:eastAsia="仿宋" w:hAnsi="仿宋" w:cs="仿宋" w:hint="eastAsia"/>
          <w:sz w:val="28"/>
          <w:lang w:eastAsia="zh-CN"/>
        </w:rPr>
        <w:t>3. 舆情监测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舆情监测是对社会舆论动态的及时了解和调整的关键环节。通过舆情监测，企业可以更好地把握公众的态度和情感，有针对性地调整沟通策略。关键步骤包括：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设立监测机制： 建立舆情监测系统，覆盖主流媒体、社交媒体、网络论坛等多个渠道，全面了解舆情动向。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情感分析： 对舆情进行情感分析，了解公众的情感倾向，有针对性地调整信息发布策略。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即时回应： 对于涉及企业的谣言或误解，及时进行回应和澄清，防止虚假信息传播。</w:t>
      </w:r>
    </w:p>
    <w:p>
      <w:pPr>
        <w:ind w:firstLine="560" w:firstLineChars="200"/>
        <w:rPr>
          <w:rFonts w:ascii="仿宋" w:eastAsia="仿宋" w:hAnsi="仿宋" w:cs="仿宋" w:hint="eastAsia"/>
          <w:sz w:val="28"/>
        </w:rPr>
      </w:pPr>
      <w:r>
        <w:rPr>
          <w:rFonts w:ascii="仿宋" w:eastAsia="仿宋" w:hAnsi="仿宋" w:cs="仿宋" w:hint="eastAsia"/>
          <w:sz w:val="28"/>
          <w:lang w:eastAsia="zh-CN"/>
        </w:rPr>
        <w:t>4. 危机后教训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危机后教训的总结和改进是危机沟通的闭环。通过反思危机沟通过程，企业可以更好地准备未来可能发生的危机，提升危机沟通的水平。关键步骤包括：</w:t>
      </w:r>
    </w:p>
    <w:p>
      <w:pPr>
        <w:ind w:firstLine="560" w:firstLineChars="200"/>
        <w:rPr>
          <w:rFonts w:ascii="仿宋" w:eastAsia="仿宋" w:hAnsi="仿宋" w:cs="仿宋" w:hint="eastAsia"/>
          <w:sz w:val="28"/>
        </w:rPr>
        <w:sectPr>
          <w:headerReference w:type="default" r:id="rId90"/>
          <w:footerReference w:type="default" r:id="rId91"/>
          <w:type w:val="nextPage"/>
          <w:pgSz w:w="11906" w:h="16838"/>
          <w:pgMar w:top="1440" w:right="1800" w:bottom="1440" w:left="1800" w:header="851" w:footer="992" w:gutter="0"/>
          <w:pgNumType w:start="44"/>
          <w:cols w:num="1" w:space="425"/>
          <w:titlePg w:val="0"/>
          <w:docGrid w:type="lines" w:linePitch="312" w:charSpace="0"/>
        </w:sectPr>
      </w:pPr>
      <w:r>
        <w:rPr>
          <w:rFonts w:ascii="仿宋" w:eastAsia="仿宋" w:hAnsi="仿宋" w:cs="仿宋" w:hint="eastAsia"/>
          <w:sz w:val="28"/>
          <w:lang w:eastAsia="zh-CN"/>
        </w:rPr>
        <w:t>总结经验教训： 对危机沟通过程进行深入总结，明确优点和不足之处。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改进沟通策略： 根据总结的教训，调整和改进危机沟通策略，提高应对危机的能力。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培训沟通团队： 将总结的经验教训纳入危机沟通团队的培训体系，提高团队的专业水平。</w:t>
      </w:r>
    </w:p>
    <w:p>
      <w:pPr>
        <w:pStyle w:val="Heading2"/>
        <w:ind w:firstLine="560" w:firstLineChars="200"/>
        <w:rPr>
          <w:rFonts w:ascii="仿宋" w:eastAsia="仿宋" w:hAnsi="仿宋" w:cs="仿宋" w:hint="eastAsia"/>
          <w:sz w:val="28"/>
          <w:lang w:eastAsia="zh-CN"/>
        </w:rPr>
      </w:pPr>
      <w:bookmarkStart w:id="32" w:name="_Toc31574"/>
      <w:r>
        <w:rPr>
          <w:rFonts w:ascii="仿宋" w:eastAsia="仿宋" w:hAnsi="仿宋" w:cs="仿宋" w:hint="eastAsia"/>
          <w:sz w:val="28"/>
          <w:lang w:eastAsia="zh-CN"/>
        </w:rPr>
        <w:t>(四)、危机后教训与改进</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总结经验教训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在危机发生后，对整个危机处理过程进行全面、深入的总结是确保企业能够吸取经验教训的首要步骤。关键方面包括：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问题识别： 确定危机处理过程中出现的问题，包括内部失误、外部压力、公众反应等方面。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决策评估： 对危机管理团队的决策进行客观评估，确定哪些决策起到了积极作用，哪些需要调整和改进。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资源利用： 评估危机期间各类资源的利用效率，包括人力、物力、信息等。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改进管理策略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基于总结的经验教训，制定并实施改进危机管理策略是确保企业下次危机能够更好应对的关键一环。关键方面包括：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修订危机预案： 根据危机中暴露的问题和不足，对危机预案进行修订和升级，确保其更具实效性和适应性。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加强团队培训： 针对危机管理团队，开展专业培训，提高成员的应变能力、决策水平和团队协同能力。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2" w:history="1">
        <w:r>
          <w:rPr>
            <w:rFonts w:ascii="SimSun" w:eastAsia="SimSun" w:hAnsi="SimSun" w:cs="SimSun"/>
            <w:b/>
            <w:bCs/>
            <w:color w:val="0000EE"/>
            <w:kern w:val="0"/>
            <w:sz w:val="30"/>
            <w:szCs w:val="30"/>
            <w:u w:val="single" w:color="0000EE"/>
          </w:rPr>
          <w:t>https://d.book118.com/747144000032006040</w:t>
        </w:r>
      </w:hyperlink>
    </w:p>
    <w:p>
      <w:pPr>
        <w:ind w:firstLine="560" w:firstLineChars="200"/>
        <w:rPr>
          <w:rFonts w:ascii="仿宋" w:eastAsia="仿宋" w:hAnsi="仿宋" w:cs="仿宋" w:hint="eastAsia"/>
          <w:sz w:val="28"/>
        </w:rPr>
      </w:pPr>
    </w:p>
    <w:sectPr>
      <w:headerReference w:type="default" r:id="rId93"/>
      <w:footerReference w:type="default" r:id="rId94"/>
      <w:type w:val="nextPage"/>
      <w:pgSz w:w="11906" w:h="16838"/>
      <w:pgMar w:top="1440" w:right="1800" w:bottom="1440" w:left="1800" w:header="851" w:footer="992" w:gutter="0"/>
      <w:pgNumType w:start="4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邮政用信函和包裹分拣机项目情况报告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97737C"/>
    <w:rsid w:val="569773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footer" Target="foot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4.xml" /><Relationship Id="rId92" Type="http://schemas.openxmlformats.org/officeDocument/2006/relationships/hyperlink" Target="https://d.book118.com/747144000032006040" TargetMode="Externa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2024-01-16T08:34:00Z</dcterms:created>
  <dcterms:modified xsi:type="dcterms:W3CDTF">2024-01-16T08:34:22Z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2F8363C34402497E96B8803589C9432B_11</vt:lpwstr>
  </property>
  <property fmtid="{D5CDD505-2E9C-101B-9397-08002B2CF9AE}" pid="3" name="KSOProductBuildVer">
    <vt:lpwstr>2052-12.1.0.16120</vt:lpwstr>
  </property>
</Properties>
</file>