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67" w:lineRule="auto"/>
        <w:rPr>
          <w:rFonts w:ascii="Arial"/>
          <w:sz w:val="21"/>
        </w:rPr>
      </w:pPr>
      <w:r>
        <w:pict>
          <v:shape id="_x0000_s1025" style="width:0.5pt;height:14.45pt;margin-top:46.56pt;margin-left:500.04pt;mso-position-horizontal-relative:page;mso-position-vertical-relative:page;position:absolute;z-index:251663360" coordorigin="0,0" coordsize="10,288" o:allowincell="f" path="m,288l9,288l9,l,l,288xe" filled="t" fillcolor="#bfbfbf" stroked="f"/>
        </w:pict>
      </w:r>
      <w:r>
        <w:pict>
          <v:shape id="_x0000_s1026" style="width:524.65pt;height:0.5pt;margin-top:65.16pt;margin-left:35.4pt;mso-position-horizontal-relative:page;mso-position-vertical-relative:page;position:absolute;z-index:251661312" coordorigin="0,0" coordsize="10493,10" o:allowincell="f" path="m,9l10492,9l10492,l,l,9xe" filled="t" fillcolor="#e31c22" stroked="f"/>
        </w:pict>
      </w:r>
      <w:r>
        <w:pict>
          <v:shape id="_x0000_s1027" style="width:152.85pt;height:0.5pt;margin-top:107.66pt;margin-left:43.2pt;mso-position-horizontal-relative:page;mso-position-vertical-relative:page;position:absolute;z-index:251662336" coordorigin="0,0" coordsize="3057,10" o:allowincell="f" path="m,9l3056,9l3056,l,l,9xe" filled="t" fillcolor="#a6a6a6" stroked="f"/>
        </w:pict>
      </w:r>
      <w:r>
        <w:pict>
          <v:shape id="_x0000_s1028" style="width:524.65pt;height:0.75pt;margin-top:170.06pt;margin-left:35.4pt;mso-position-horizontal-relative:page;mso-position-vertical-relative:page;position:absolute;z-index:251659264" coordorigin="0,0" coordsize="10493,15" o:allowincell="f" path="m,14l10492,14l10492,l,l,14xe" filled="t" fillcolor="#e31c22" stroked="f"/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630936</wp:posOffset>
            </wp:positionH>
            <wp:positionV relativeFrom="page">
              <wp:posOffset>288035</wp:posOffset>
            </wp:positionV>
            <wp:extent cx="1144523" cy="45415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4523" cy="4541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9" w:line="219" w:lineRule="auto"/>
        <w:ind w:left="8121"/>
        <w:rPr>
          <w:sz w:val="18"/>
          <w:szCs w:val="1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width:46.75pt;height:10.95pt;margin-top:3.37pt;margin-left:480.24pt;position:absolute;z-index:2516602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3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2024.02.15</w:t>
                  </w:r>
                </w:p>
              </w:txbxContent>
            </v:textbox>
          </v:shape>
        </w:pict>
      </w:r>
      <w:r>
        <w:rPr>
          <w:color w:val="EE1D23"/>
          <w:spacing w:val="-6"/>
          <w:sz w:val="18"/>
          <w:szCs w:val="18"/>
        </w:rPr>
        <w:t>行</w:t>
      </w:r>
      <w:r>
        <w:rPr>
          <w:color w:val="EE1D23"/>
          <w:spacing w:val="43"/>
          <w:sz w:val="18"/>
          <w:szCs w:val="18"/>
        </w:rPr>
        <w:t xml:space="preserve"> </w:t>
      </w:r>
      <w:r>
        <w:rPr>
          <w:color w:val="EE1D23"/>
          <w:spacing w:val="-6"/>
          <w:sz w:val="18"/>
          <w:szCs w:val="18"/>
        </w:rPr>
        <w:t>业</w:t>
      </w:r>
      <w:r>
        <w:rPr>
          <w:color w:val="EE1D23"/>
          <w:spacing w:val="37"/>
          <w:sz w:val="18"/>
          <w:szCs w:val="18"/>
        </w:rPr>
        <w:t xml:space="preserve"> </w:t>
      </w:r>
      <w:r>
        <w:rPr>
          <w:color w:val="EE1D23"/>
          <w:spacing w:val="-6"/>
          <w:sz w:val="18"/>
          <w:szCs w:val="18"/>
        </w:rPr>
        <w:t>研</w:t>
      </w:r>
      <w:r>
        <w:rPr>
          <w:color w:val="EE1D23"/>
          <w:spacing w:val="39"/>
          <w:sz w:val="18"/>
          <w:szCs w:val="18"/>
        </w:rPr>
        <w:t xml:space="preserve"> </w:t>
      </w:r>
      <w:r>
        <w:rPr>
          <w:color w:val="EE1D23"/>
          <w:spacing w:val="-6"/>
          <w:sz w:val="18"/>
          <w:szCs w:val="18"/>
        </w:rPr>
        <w:t>究</w:t>
      </w:r>
    </w:p>
    <w:p>
      <w:pPr>
        <w:spacing w:line="392" w:lineRule="auto"/>
        <w:rPr>
          <w:rFonts w:ascii="Arial"/>
          <w:sz w:val="21"/>
        </w:rPr>
      </w:pPr>
    </w:p>
    <w:p>
      <w:pPr>
        <w:pStyle w:val="BodyText"/>
        <w:spacing w:before="98" w:line="218" w:lineRule="auto"/>
        <w:ind w:left="209"/>
        <w:rPr>
          <w:sz w:val="30"/>
          <w:szCs w:val="30"/>
        </w:rPr>
      </w:pPr>
      <w:r>
        <w:rPr>
          <w:color w:val="EE1D23"/>
          <w:spacing w:val="70"/>
          <w:sz w:val="30"/>
          <w:szCs w:val="30"/>
        </w:rPr>
        <w:t>汽车行业专题报告</w:t>
      </w:r>
    </w:p>
    <w:p>
      <w:pPr>
        <w:pStyle w:val="BodyText"/>
        <w:spacing w:before="178" w:line="216" w:lineRule="auto"/>
        <w:ind w:left="210"/>
        <w:outlineLvl w:val="0"/>
        <w:rPr>
          <w:sz w:val="31"/>
          <w:szCs w:val="31"/>
        </w:rPr>
      </w:pPr>
      <w:r>
        <w:rPr>
          <w:spacing w:val="9"/>
          <w:sz w:val="31"/>
          <w:szCs w:val="31"/>
        </w:rPr>
        <w:t>新春掘金价值回归，布局汽车板块成长性标的</w:t>
      </w:r>
    </w:p>
    <w:p>
      <w:pPr>
        <w:spacing w:line="425" w:lineRule="auto"/>
        <w:rPr>
          <w:rFonts w:ascii="Arial"/>
          <w:sz w:val="21"/>
        </w:rPr>
      </w:pPr>
    </w:p>
    <w:p>
      <w:pPr>
        <w:pStyle w:val="BodyText"/>
        <w:spacing w:before="62" w:line="227" w:lineRule="auto"/>
        <w:ind w:left="232"/>
        <w:rPr>
          <w:sz w:val="19"/>
          <w:szCs w:val="19"/>
        </w:rPr>
      </w:pPr>
      <w:r>
        <w:rPr>
          <w:color w:val="FFFFFF"/>
          <w:spacing w:val="2"/>
          <w:sz w:val="19"/>
          <w:szCs w:val="19"/>
        </w:rPr>
        <w:t>方</w:t>
      </w:r>
      <w:r>
        <w:rPr>
          <w:color w:val="FFFFFF"/>
          <w:spacing w:val="2"/>
          <w:sz w:val="19"/>
          <w:szCs w:val="19"/>
        </w:rPr>
        <w:t xml:space="preserve">  </w:t>
      </w:r>
      <w:r>
        <w:rPr>
          <w:color w:val="FFFFFF"/>
          <w:spacing w:val="2"/>
          <w:sz w:val="19"/>
          <w:szCs w:val="19"/>
        </w:rPr>
        <w:t>正</w:t>
      </w:r>
      <w:r>
        <w:rPr>
          <w:color w:val="FFFFFF"/>
          <w:spacing w:val="9"/>
          <w:sz w:val="19"/>
          <w:szCs w:val="19"/>
        </w:rPr>
        <w:t xml:space="preserve">  </w:t>
      </w:r>
      <w:r>
        <w:rPr>
          <w:color w:val="FFFFFF"/>
          <w:spacing w:val="2"/>
          <w:sz w:val="19"/>
          <w:szCs w:val="19"/>
        </w:rPr>
        <w:t>证</w:t>
      </w:r>
      <w:r>
        <w:rPr>
          <w:color w:val="FFFFFF"/>
          <w:spacing w:val="11"/>
          <w:sz w:val="19"/>
          <w:szCs w:val="19"/>
        </w:rPr>
        <w:t xml:space="preserve">  </w:t>
      </w:r>
      <w:r>
        <w:rPr>
          <w:color w:val="FFFFFF"/>
          <w:spacing w:val="2"/>
          <w:sz w:val="19"/>
          <w:szCs w:val="19"/>
        </w:rPr>
        <w:t>券</w:t>
      </w:r>
      <w:r>
        <w:rPr>
          <w:color w:val="FFFFFF"/>
          <w:spacing w:val="8"/>
          <w:sz w:val="19"/>
          <w:szCs w:val="19"/>
        </w:rPr>
        <w:t xml:space="preserve">  </w:t>
      </w:r>
      <w:r>
        <w:rPr>
          <w:color w:val="FFFFFF"/>
          <w:spacing w:val="2"/>
          <w:sz w:val="19"/>
          <w:szCs w:val="19"/>
        </w:rPr>
        <w:t>研</w:t>
      </w:r>
      <w:r>
        <w:rPr>
          <w:color w:val="FFFFFF"/>
          <w:spacing w:val="10"/>
          <w:sz w:val="19"/>
          <w:szCs w:val="19"/>
        </w:rPr>
        <w:t xml:space="preserve">  </w:t>
      </w:r>
      <w:r>
        <w:rPr>
          <w:color w:val="FFFFFF"/>
          <w:spacing w:val="2"/>
          <w:sz w:val="19"/>
          <w:szCs w:val="19"/>
        </w:rPr>
        <w:t>究</w:t>
      </w:r>
      <w:r>
        <w:rPr>
          <w:color w:val="FFFFFF"/>
          <w:spacing w:val="10"/>
          <w:sz w:val="19"/>
          <w:szCs w:val="19"/>
        </w:rPr>
        <w:t xml:space="preserve">  </w:t>
      </w:r>
      <w:r>
        <w:rPr>
          <w:color w:val="FFFFFF"/>
          <w:spacing w:val="2"/>
          <w:sz w:val="19"/>
          <w:szCs w:val="19"/>
        </w:rPr>
        <w:t>所</w:t>
      </w:r>
      <w:r>
        <w:rPr>
          <w:color w:val="FFFFFF"/>
          <w:spacing w:val="9"/>
          <w:sz w:val="19"/>
          <w:szCs w:val="19"/>
        </w:rPr>
        <w:t xml:space="preserve">  </w:t>
      </w:r>
      <w:r>
        <w:rPr>
          <w:color w:val="FFFFFF"/>
          <w:spacing w:val="2"/>
          <w:sz w:val="19"/>
          <w:szCs w:val="19"/>
        </w:rPr>
        <w:t>证</w:t>
      </w:r>
      <w:r>
        <w:rPr>
          <w:color w:val="FFFFFF"/>
          <w:spacing w:val="12"/>
          <w:sz w:val="19"/>
          <w:szCs w:val="19"/>
        </w:rPr>
        <w:t xml:space="preserve">  </w:t>
      </w:r>
      <w:r>
        <w:rPr>
          <w:color w:val="FFFFFF"/>
          <w:spacing w:val="2"/>
          <w:sz w:val="19"/>
          <w:szCs w:val="19"/>
        </w:rPr>
        <w:t>券</w:t>
      </w:r>
      <w:r>
        <w:rPr>
          <w:color w:val="FFFFFF"/>
          <w:spacing w:val="7"/>
          <w:sz w:val="19"/>
          <w:szCs w:val="19"/>
        </w:rPr>
        <w:t xml:space="preserve">  </w:t>
      </w:r>
      <w:r>
        <w:rPr>
          <w:color w:val="FFFFFF"/>
          <w:spacing w:val="2"/>
          <w:sz w:val="19"/>
          <w:szCs w:val="19"/>
        </w:rPr>
        <w:t>研</w:t>
      </w:r>
      <w:r>
        <w:rPr>
          <w:color w:val="FFFFFF"/>
          <w:spacing w:val="9"/>
          <w:sz w:val="19"/>
          <w:szCs w:val="19"/>
        </w:rPr>
        <w:t xml:space="preserve">  </w:t>
      </w:r>
      <w:r>
        <w:rPr>
          <w:color w:val="FFFFFF"/>
          <w:spacing w:val="2"/>
          <w:sz w:val="19"/>
          <w:szCs w:val="19"/>
        </w:rPr>
        <w:t>究</w:t>
      </w:r>
      <w:r>
        <w:rPr>
          <w:color w:val="FFFFFF"/>
          <w:spacing w:val="9"/>
          <w:sz w:val="19"/>
          <w:szCs w:val="19"/>
        </w:rPr>
        <w:t xml:space="preserve">  </w:t>
      </w:r>
      <w:r>
        <w:rPr>
          <w:color w:val="FFFFFF"/>
          <w:spacing w:val="2"/>
          <w:sz w:val="19"/>
          <w:szCs w:val="19"/>
        </w:rPr>
        <w:t>报</w:t>
      </w:r>
      <w:r>
        <w:rPr>
          <w:color w:val="FFFFFF"/>
          <w:spacing w:val="10"/>
          <w:sz w:val="19"/>
          <w:szCs w:val="19"/>
        </w:rPr>
        <w:t xml:space="preserve">  </w:t>
      </w:r>
      <w:r>
        <w:rPr>
          <w:color w:val="FFFFFF"/>
          <w:spacing w:val="2"/>
          <w:sz w:val="19"/>
          <w:szCs w:val="19"/>
        </w:rPr>
        <w:t>告</w:t>
      </w:r>
    </w:p>
    <w:p>
      <w:pPr>
        <w:spacing w:before="164"/>
      </w:pPr>
    </w:p>
    <w:p>
      <w:pPr>
        <w:sectPr>
          <w:footerReference w:type="default" r:id="rId5"/>
          <w:pgSz w:w="11907" w:h="16839"/>
          <w:pgMar w:top="453" w:right="625" w:bottom="707" w:left="679" w:header="0" w:footer="405" w:gutter="0"/>
          <w:cols w:num="1" w:space="708" w:equalWidth="0">
            <w:col w:w="10602" w:space="0"/>
          </w:cols>
        </w:sectPr>
      </w:pPr>
    </w:p>
    <w:p>
      <w:pPr>
        <w:pStyle w:val="BodyText"/>
        <w:spacing w:before="42" w:line="228" w:lineRule="auto"/>
        <w:ind w:left="41"/>
        <w:rPr>
          <w:sz w:val="19"/>
          <w:szCs w:val="19"/>
        </w:rPr>
      </w:pPr>
      <w:r>
        <w:rPr>
          <w:color w:val="E31C22"/>
          <w:spacing w:val="5"/>
          <w:sz w:val="19"/>
          <w:szCs w:val="19"/>
        </w:rPr>
        <w:t>分析师</w:t>
      </w:r>
    </w:p>
    <w:p>
      <w:pPr>
        <w:pStyle w:val="BodyText"/>
        <w:spacing w:before="164"/>
        <w:rPr>
          <w:sz w:val="16"/>
          <w:szCs w:val="16"/>
        </w:rPr>
      </w:pPr>
      <w:r>
        <w:rPr>
          <w:position w:val="-8"/>
          <w:sz w:val="19"/>
          <w:szCs w:val="19"/>
        </w:rPr>
        <w:drawing>
          <wp:inline distT="0" distB="0" distL="0" distR="0">
            <wp:extent cx="38100" cy="19811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9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sz w:val="19"/>
          <w:szCs w:val="19"/>
        </w:rPr>
        <w:t>文姬</w:t>
      </w:r>
      <w:r>
        <w:rPr>
          <w:spacing w:val="2"/>
          <w:sz w:val="19"/>
          <w:szCs w:val="19"/>
        </w:rPr>
        <w:t xml:space="preserve">        </w:t>
      </w:r>
      <w:r>
        <w:rPr>
          <w:color w:val="4B4C4D"/>
          <w:spacing w:val="2"/>
          <w:sz w:val="16"/>
          <w:szCs w:val="16"/>
        </w:rPr>
        <w:t>登记编号：S1220523120002</w:t>
      </w:r>
    </w:p>
    <w:tbl>
      <w:tblPr>
        <w:tblStyle w:val="TableNormal"/>
        <w:tblW w:w="3274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90"/>
        <w:gridCol w:w="320"/>
        <w:gridCol w:w="419"/>
        <w:gridCol w:w="945"/>
      </w:tblGrid>
      <w:tr>
        <w:tblPrEx>
          <w:tblW w:w="3274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938"/>
        </w:trPr>
        <w:tc>
          <w:tcPr>
            <w:tcW w:w="3274" w:type="dxa"/>
            <w:gridSpan w:val="4"/>
            <w:tcBorders>
              <w:top w:val="single" w:sz="2" w:space="0" w:color="BFBFBF"/>
              <w:bottom w:val="single" w:sz="4" w:space="0" w:color="EE1D23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1" w:line="228" w:lineRule="auto"/>
              <w:ind w:left="37"/>
              <w:rPr>
                <w:sz w:val="19"/>
                <w:szCs w:val="19"/>
              </w:rPr>
            </w:pPr>
            <w:r>
              <w:rPr>
                <w:color w:val="E31C22"/>
                <w:spacing w:val="7"/>
                <w:sz w:val="19"/>
                <w:szCs w:val="19"/>
              </w:rPr>
              <w:t>联系人</w:t>
            </w:r>
            <w:r>
              <w:rPr>
                <w:color w:val="E31C22"/>
                <w:spacing w:val="17"/>
                <w:sz w:val="19"/>
                <w:szCs w:val="19"/>
              </w:rPr>
              <w:t xml:space="preserve">   </w:t>
            </w:r>
            <w:r>
              <w:rPr>
                <w:spacing w:val="7"/>
                <w:sz w:val="19"/>
                <w:szCs w:val="19"/>
              </w:rPr>
              <w:t>钟鸣</w:t>
            </w:r>
          </w:p>
        </w:tc>
      </w:tr>
      <w:tr>
        <w:tblPrEx>
          <w:tblW w:w="3274" w:type="dxa"/>
          <w:tblInd w:w="0" w:type="dxa"/>
          <w:tblLayout w:type="fixed"/>
        </w:tblPrEx>
        <w:trPr>
          <w:trHeight w:val="424"/>
        </w:trPr>
        <w:tc>
          <w:tcPr>
            <w:tcW w:w="3274" w:type="dxa"/>
            <w:gridSpan w:val="4"/>
            <w:tcBorders>
              <w:top w:val="single" w:sz="4" w:space="0" w:color="EE1D23"/>
              <w:bottom w:val="single" w:sz="4" w:space="0" w:color="EE1D23"/>
            </w:tcBorders>
            <w:vAlign w:val="top"/>
          </w:tcPr>
          <w:p>
            <w:pPr>
              <w:pStyle w:val="TableText"/>
              <w:spacing w:before="96" w:line="219" w:lineRule="auto"/>
              <w:ind w:left="683"/>
              <w:rPr>
                <w:sz w:val="22"/>
                <w:szCs w:val="22"/>
              </w:rPr>
            </w:pPr>
            <w:r>
              <w:rPr>
                <w:spacing w:val="-12"/>
                <w:sz w:val="22"/>
                <w:szCs w:val="22"/>
              </w:rPr>
              <w:t>行</w:t>
            </w:r>
            <w:r>
              <w:rPr>
                <w:spacing w:val="-20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业</w:t>
            </w:r>
            <w:r>
              <w:rPr>
                <w:spacing w:val="-24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评</w:t>
            </w:r>
            <w:r>
              <w:rPr>
                <w:spacing w:val="-20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级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:</w:t>
            </w:r>
            <w:r>
              <w:rPr>
                <w:spacing w:val="-65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推</w:t>
            </w:r>
            <w:r>
              <w:rPr>
                <w:spacing w:val="-22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荐</w:t>
            </w:r>
          </w:p>
        </w:tc>
      </w:tr>
      <w:tr>
        <w:tblPrEx>
          <w:tblW w:w="3274" w:type="dxa"/>
          <w:tblInd w:w="0" w:type="dxa"/>
          <w:tblLayout w:type="fixed"/>
        </w:tblPrEx>
        <w:trPr>
          <w:trHeight w:val="311"/>
        </w:trPr>
        <w:tc>
          <w:tcPr>
            <w:tcW w:w="1590" w:type="dxa"/>
            <w:tcBorders>
              <w:top w:val="single" w:sz="4" w:space="0" w:color="EE1D23"/>
            </w:tcBorders>
            <w:shd w:val="clear" w:color="auto" w:fill="9C9A9B"/>
            <w:vAlign w:val="top"/>
          </w:tcPr>
          <w:p>
            <w:pPr>
              <w:pStyle w:val="TableText"/>
              <w:spacing w:before="55" w:line="228" w:lineRule="auto"/>
              <w:ind w:left="1018"/>
              <w:rPr>
                <w:sz w:val="19"/>
                <w:szCs w:val="19"/>
              </w:rPr>
            </w:pPr>
            <w:r>
              <w:rPr>
                <w:color w:val="FFFFFF"/>
                <w:sz w:val="19"/>
                <w:szCs w:val="19"/>
              </w:rPr>
              <w:t>行</w:t>
            </w:r>
            <w:r>
              <w:rPr>
                <w:color w:val="FFFFFF"/>
                <w:spacing w:val="37"/>
                <w:w w:val="101"/>
                <w:sz w:val="19"/>
                <w:szCs w:val="19"/>
              </w:rPr>
              <w:t xml:space="preserve"> </w:t>
            </w:r>
            <w:r>
              <w:rPr>
                <w:color w:val="FFFFFF"/>
                <w:sz w:val="19"/>
                <w:szCs w:val="19"/>
              </w:rPr>
              <w:t>业</w:t>
            </w:r>
          </w:p>
        </w:tc>
        <w:tc>
          <w:tcPr>
            <w:tcW w:w="320" w:type="dxa"/>
            <w:tcBorders>
              <w:top w:val="single" w:sz="4" w:space="0" w:color="EE1D23"/>
            </w:tcBorders>
            <w:shd w:val="clear" w:color="auto" w:fill="9C9A9B"/>
            <w:vAlign w:val="top"/>
          </w:tcPr>
          <w:p>
            <w:pPr>
              <w:pStyle w:val="TableText"/>
              <w:spacing w:before="55" w:line="229" w:lineRule="auto"/>
              <w:ind w:left="69"/>
              <w:rPr>
                <w:sz w:val="19"/>
                <w:szCs w:val="19"/>
              </w:rPr>
            </w:pPr>
            <w:r>
              <w:rPr>
                <w:color w:val="FFFFFF"/>
                <w:spacing w:val="1"/>
                <w:sz w:val="19"/>
                <w:szCs w:val="19"/>
              </w:rPr>
              <w:t>信</w:t>
            </w:r>
          </w:p>
        </w:tc>
        <w:tc>
          <w:tcPr>
            <w:tcW w:w="419" w:type="dxa"/>
            <w:tcBorders>
              <w:top w:val="single" w:sz="4" w:space="0" w:color="EE1D23"/>
            </w:tcBorders>
            <w:shd w:val="clear" w:color="auto" w:fill="9C9A9B"/>
            <w:vAlign w:val="top"/>
          </w:tcPr>
          <w:p>
            <w:pPr>
              <w:pStyle w:val="TableText"/>
              <w:spacing w:before="55" w:line="235" w:lineRule="auto"/>
              <w:ind w:left="70"/>
              <w:rPr>
                <w:sz w:val="19"/>
                <w:szCs w:val="19"/>
              </w:rPr>
            </w:pPr>
            <w:r>
              <w:rPr>
                <w:color w:val="FFFFFF"/>
                <w:sz w:val="19"/>
                <w:szCs w:val="19"/>
              </w:rPr>
              <w:t>息</w:t>
            </w:r>
          </w:p>
        </w:tc>
        <w:tc>
          <w:tcPr>
            <w:tcW w:w="945" w:type="dxa"/>
            <w:tcBorders>
              <w:top w:val="single" w:sz="4" w:space="0" w:color="EE1D23"/>
            </w:tcBorders>
            <w:shd w:val="clear" w:color="auto" w:fill="9C9A9B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3274" w:type="dxa"/>
          <w:tblInd w:w="0" w:type="dxa"/>
          <w:tblLayout w:type="fixed"/>
        </w:tblPrEx>
        <w:trPr>
          <w:trHeight w:val="340"/>
        </w:trPr>
        <w:tc>
          <w:tcPr>
            <w:tcW w:w="1590" w:type="dxa"/>
            <w:tcBorders>
              <w:bottom w:val="single" w:sz="2" w:space="0" w:color="BFBFBF"/>
            </w:tcBorders>
            <w:vAlign w:val="top"/>
          </w:tcPr>
          <w:p>
            <w:pPr>
              <w:pStyle w:val="TableText"/>
              <w:spacing w:before="105" w:line="220" w:lineRule="auto"/>
              <w:ind w:left="152"/>
            </w:pPr>
            <w:r>
              <w:rPr>
                <w:spacing w:val="-1"/>
              </w:rPr>
              <w:t>上市公司总家数</w:t>
            </w:r>
          </w:p>
        </w:tc>
        <w:tc>
          <w:tcPr>
            <w:tcW w:w="320" w:type="dxa"/>
            <w:tcBorders>
              <w:bottom w:val="single" w:sz="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tcBorders>
              <w:bottom w:val="single" w:sz="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5" w:type="dxa"/>
            <w:tcBorders>
              <w:bottom w:val="single" w:sz="2" w:space="0" w:color="BFBFBF"/>
            </w:tcBorders>
            <w:vAlign w:val="top"/>
          </w:tcPr>
          <w:p>
            <w:pPr>
              <w:pStyle w:val="TableText"/>
              <w:spacing w:before="131" w:line="184" w:lineRule="auto"/>
              <w:ind w:left="654"/>
            </w:pPr>
            <w:r>
              <w:rPr>
                <w:color w:val="4A4C4F"/>
                <w:spacing w:val="-2"/>
              </w:rPr>
              <w:t>320</w:t>
            </w:r>
          </w:p>
        </w:tc>
      </w:tr>
      <w:tr>
        <w:tblPrEx>
          <w:tblW w:w="3274" w:type="dxa"/>
          <w:tblInd w:w="0" w:type="dxa"/>
          <w:tblLayout w:type="fixed"/>
        </w:tblPrEx>
        <w:trPr>
          <w:trHeight w:val="340"/>
        </w:trPr>
        <w:tc>
          <w:tcPr>
            <w:tcW w:w="1590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104" w:line="219" w:lineRule="auto"/>
              <w:ind w:left="153"/>
            </w:pPr>
            <w:r>
              <w:rPr>
                <w:spacing w:val="-1"/>
              </w:rPr>
              <w:t>总股本(亿股)</w:t>
            </w:r>
          </w:p>
        </w:tc>
        <w:tc>
          <w:tcPr>
            <w:tcW w:w="320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5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129" w:line="184" w:lineRule="auto"/>
              <w:ind w:left="253"/>
            </w:pPr>
            <w:r>
              <w:rPr>
                <w:color w:val="4A4C4F"/>
                <w:spacing w:val="-1"/>
              </w:rPr>
              <w:t>3,566.78</w:t>
            </w:r>
          </w:p>
        </w:tc>
      </w:tr>
      <w:tr>
        <w:tblPrEx>
          <w:tblW w:w="3274" w:type="dxa"/>
          <w:tblInd w:w="0" w:type="dxa"/>
          <w:tblLayout w:type="fixed"/>
        </w:tblPrEx>
        <w:trPr>
          <w:trHeight w:val="340"/>
        </w:trPr>
        <w:tc>
          <w:tcPr>
            <w:tcW w:w="1590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104" w:line="220" w:lineRule="auto"/>
              <w:ind w:left="149"/>
            </w:pPr>
            <w:r>
              <w:rPr>
                <w:spacing w:val="-1"/>
              </w:rPr>
              <w:t>销售收入(亿元)</w:t>
            </w:r>
          </w:p>
        </w:tc>
        <w:tc>
          <w:tcPr>
            <w:tcW w:w="320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5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129" w:line="184" w:lineRule="auto"/>
              <w:ind w:left="169"/>
            </w:pPr>
            <w:r>
              <w:rPr>
                <w:color w:val="4A4C4F"/>
                <w:spacing w:val="-1"/>
              </w:rPr>
              <w:t>46,487.22</w:t>
            </w:r>
          </w:p>
        </w:tc>
      </w:tr>
      <w:tr>
        <w:tblPrEx>
          <w:tblW w:w="3274" w:type="dxa"/>
          <w:tblInd w:w="0" w:type="dxa"/>
          <w:tblLayout w:type="fixed"/>
        </w:tblPrEx>
        <w:trPr>
          <w:trHeight w:val="340"/>
        </w:trPr>
        <w:tc>
          <w:tcPr>
            <w:tcW w:w="1590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105" w:line="219" w:lineRule="auto"/>
              <w:ind w:left="151"/>
            </w:pPr>
            <w:r>
              <w:rPr>
                <w:spacing w:val="-1"/>
              </w:rPr>
              <w:t>利润总额(亿元)</w:t>
            </w:r>
          </w:p>
        </w:tc>
        <w:tc>
          <w:tcPr>
            <w:tcW w:w="320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5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130" w:line="184" w:lineRule="auto"/>
              <w:ind w:left="261"/>
            </w:pPr>
            <w:r>
              <w:rPr>
                <w:color w:val="4A4C4F"/>
                <w:spacing w:val="-2"/>
              </w:rPr>
              <w:t>1,942.65</w:t>
            </w:r>
          </w:p>
        </w:tc>
      </w:tr>
      <w:tr>
        <w:tblPrEx>
          <w:tblW w:w="3274" w:type="dxa"/>
          <w:tblInd w:w="0" w:type="dxa"/>
          <w:tblLayout w:type="fixed"/>
        </w:tblPrEx>
        <w:trPr>
          <w:trHeight w:val="338"/>
        </w:trPr>
        <w:tc>
          <w:tcPr>
            <w:tcW w:w="1590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105" w:line="220" w:lineRule="auto"/>
              <w:ind w:left="150"/>
            </w:pPr>
            <w:r>
              <w:rPr>
                <w:spacing w:val="-2"/>
              </w:rPr>
              <w:t>行业平均</w:t>
            </w:r>
            <w:r>
              <w:rPr>
                <w:spacing w:val="-30"/>
              </w:rPr>
              <w:t xml:space="preserve"> </w:t>
            </w:r>
            <w:r>
              <w:rPr>
                <w:spacing w:val="-2"/>
              </w:rPr>
              <w:t>PE</w:t>
            </w:r>
          </w:p>
        </w:tc>
        <w:tc>
          <w:tcPr>
            <w:tcW w:w="320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5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131" w:line="184" w:lineRule="auto"/>
              <w:ind w:left="422"/>
            </w:pPr>
            <w:r>
              <w:rPr>
                <w:color w:val="4A4C4F"/>
                <w:spacing w:val="-3"/>
              </w:rPr>
              <w:t>132.03</w:t>
            </w:r>
          </w:p>
        </w:tc>
      </w:tr>
      <w:tr>
        <w:tblPrEx>
          <w:tblW w:w="3274" w:type="dxa"/>
          <w:tblInd w:w="0" w:type="dxa"/>
          <w:tblLayout w:type="fixed"/>
        </w:tblPrEx>
        <w:trPr>
          <w:trHeight w:val="342"/>
        </w:trPr>
        <w:tc>
          <w:tcPr>
            <w:tcW w:w="1590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106" w:line="219" w:lineRule="auto"/>
              <w:ind w:left="153"/>
            </w:pPr>
            <w:r>
              <w:rPr>
                <w:spacing w:val="-1"/>
              </w:rPr>
              <w:t>平均股价(元)</w:t>
            </w:r>
          </w:p>
        </w:tc>
        <w:tc>
          <w:tcPr>
            <w:tcW w:w="320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5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131" w:line="184" w:lineRule="auto"/>
              <w:ind w:left="501"/>
            </w:pPr>
            <w:r>
              <w:rPr>
                <w:color w:val="4A4C4F"/>
                <w:spacing w:val="-3"/>
              </w:rPr>
              <w:t>15.52</w:t>
            </w:r>
          </w:p>
        </w:tc>
      </w:tr>
    </w:tbl>
    <w:p>
      <w:pPr>
        <w:spacing w:line="324" w:lineRule="auto"/>
        <w:rPr>
          <w:rFonts w:ascii="Arial"/>
          <w:sz w:val="21"/>
        </w:rPr>
      </w:pPr>
    </w:p>
    <w:p>
      <w:pPr>
        <w:pStyle w:val="BodyText"/>
        <w:spacing w:line="2507" w:lineRule="exact"/>
        <w:ind w:firstLine="28"/>
      </w:pPr>
      <w:r>
        <w:rPr>
          <w:position w:val="-50"/>
        </w:rPr>
        <w:pict>
          <v:group id="_x0000_i1030" style="width:162.3pt;height:125.4pt;mso-position-horizontal-relative:char;mso-position-vertical-relative:line" coordorigin="0,0" coordsize="3246,2508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width:3246;height:2493;position:absolute;top:14" filled="f" stroked="f">
              <v:imagedata r:id="rId7" o:title=""/>
            </v:shape>
            <v:shape id="_x0000_s1032" type="#_x0000_t202" style="width:3280;height:2473;left:-20;position:absolute;top:49" filled="f" stroked="f">
              <o:lock v:ext="edit" aspectratio="f"/>
              <v:textbox inset="0,0,0,0">
                <w:txbxContent>
                  <w:p>
                    <w:pPr>
                      <w:spacing w:before="19" w:line="228" w:lineRule="auto"/>
                      <w:ind w:left="369"/>
                      <w:rPr>
                        <w:rFonts w:ascii="SimHei" w:eastAsia="SimHei" w:hAnsi="SimHei" w:cs="SimHei"/>
                        <w:sz w:val="19"/>
                        <w:szCs w:val="19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z w:val="19"/>
                        <w:szCs w:val="19"/>
                      </w:rPr>
                      <w:t>行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42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z w:val="19"/>
                        <w:szCs w:val="19"/>
                      </w:rPr>
                      <w:t>业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34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z w:val="19"/>
                        <w:szCs w:val="19"/>
                      </w:rPr>
                      <w:t>相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3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z w:val="19"/>
                        <w:szCs w:val="19"/>
                      </w:rPr>
                      <w:t>对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34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z w:val="19"/>
                        <w:szCs w:val="19"/>
                      </w:rPr>
                      <w:t>指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33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z w:val="19"/>
                        <w:szCs w:val="19"/>
                      </w:rPr>
                      <w:t>数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3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z w:val="19"/>
                        <w:szCs w:val="19"/>
                      </w:rPr>
                      <w:t>表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32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z w:val="19"/>
                        <w:szCs w:val="19"/>
                      </w:rPr>
                      <w:t>现</w:t>
                    </w:r>
                  </w:p>
                  <w:p>
                    <w:pPr>
                      <w:spacing w:line="36" w:lineRule="exact"/>
                    </w:pPr>
                  </w:p>
                  <w:tbl>
                    <w:tblPr>
                      <w:tblStyle w:val="TableNormal"/>
                      <w:tblW w:w="3232" w:type="dxa"/>
                      <w:tblInd w:w="22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>
                    <w:tblGrid>
                      <w:gridCol w:w="395"/>
                      <w:gridCol w:w="2837"/>
                    </w:tblGrid>
                    <w:tr>
                      <w:tblPrEx>
                        <w:tblW w:w="3232" w:type="dxa"/>
                        <w:tblInd w:w="22" w:type="dxa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</w:tblPrEx>
                      <w:trPr>
                        <w:trHeight w:val="1680"/>
                      </w:trPr>
                      <w:tc>
                        <w:tcPr>
                          <w:tcW w:w="395" w:type="dxa"/>
                          <w:tcBorders>
                            <w:top w:val="single" w:sz="2" w:space="0" w:color="D9D9D9"/>
                            <w:left w:val="single" w:sz="2" w:space="0" w:color="D9D9D9"/>
                          </w:tcBorders>
                          <w:vAlign w:val="top"/>
                        </w:tcPr>
                        <w:p>
                          <w:pPr>
                            <w:spacing w:before="268" w:line="181" w:lineRule="auto"/>
                            <w:ind w:left="233"/>
                            <w:rPr>
                              <w:rFonts w:ascii="SimSun" w:eastAsia="SimSun" w:hAnsi="SimSun" w:cs="SimSun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595959"/>
                              <w:spacing w:val="-2"/>
                              <w:sz w:val="12"/>
                              <w:szCs w:val="12"/>
                            </w:rPr>
                            <w:t>3%</w:t>
                          </w:r>
                        </w:p>
                        <w:p>
                          <w:pPr>
                            <w:spacing w:before="146" w:line="182" w:lineRule="auto"/>
                            <w:ind w:left="170"/>
                            <w:rPr>
                              <w:rFonts w:ascii="SimSun" w:eastAsia="SimSun" w:hAnsi="SimSun" w:cs="SimSun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595959"/>
                              <w:spacing w:val="-2"/>
                              <w:sz w:val="12"/>
                              <w:szCs w:val="12"/>
                            </w:rPr>
                            <w:t>-3%</w:t>
                          </w:r>
                        </w:p>
                        <w:p>
                          <w:pPr>
                            <w:spacing w:before="147" w:line="181" w:lineRule="auto"/>
                            <w:ind w:left="170"/>
                            <w:rPr>
                              <w:rFonts w:ascii="SimSun" w:eastAsia="SimSun" w:hAnsi="SimSun" w:cs="SimSun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595959"/>
                              <w:spacing w:val="-2"/>
                              <w:sz w:val="12"/>
                              <w:szCs w:val="12"/>
                            </w:rPr>
                            <w:t>-9%</w:t>
                          </w:r>
                        </w:p>
                        <w:p>
                          <w:pPr>
                            <w:spacing w:before="146" w:line="182" w:lineRule="auto"/>
                            <w:ind w:left="110"/>
                            <w:rPr>
                              <w:rFonts w:ascii="SimSun" w:eastAsia="SimSun" w:hAnsi="SimSun" w:cs="SimSun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595959"/>
                              <w:spacing w:val="-1"/>
                              <w:sz w:val="12"/>
                              <w:szCs w:val="12"/>
                            </w:rPr>
                            <w:t>-15%</w:t>
                          </w:r>
                        </w:p>
                        <w:p>
                          <w:pPr>
                            <w:spacing w:before="146" w:line="182" w:lineRule="auto"/>
                            <w:ind w:left="110"/>
                            <w:rPr>
                              <w:rFonts w:ascii="SimSun" w:eastAsia="SimSun" w:hAnsi="SimSun" w:cs="SimSun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595959"/>
                              <w:spacing w:val="-1"/>
                              <w:sz w:val="12"/>
                              <w:szCs w:val="12"/>
                            </w:rPr>
                            <w:t>-21%</w:t>
                          </w:r>
                        </w:p>
                        <w:p>
                          <w:pPr>
                            <w:spacing w:before="147" w:line="77" w:lineRule="exact"/>
                            <w:ind w:left="110"/>
                            <w:rPr>
                              <w:rFonts w:ascii="SimSun" w:eastAsia="SimSun" w:hAnsi="SimSun" w:cs="SimSun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595959"/>
                              <w:spacing w:val="-1"/>
                              <w:position w:val="-2"/>
                              <w:sz w:val="12"/>
                              <w:szCs w:val="12"/>
                            </w:rPr>
                            <w:t>-27%</w:t>
                          </w:r>
                        </w:p>
                      </w:tc>
                      <w:tc>
                        <w:tcPr>
                          <w:tcW w:w="2837" w:type="dxa"/>
                          <w:tcBorders>
                            <w:top w:val="single" w:sz="2" w:space="0" w:color="D9D9D9"/>
                            <w:right w:val="single" w:sz="4" w:space="0" w:color="D9D9D9"/>
                          </w:tcBorders>
                          <w:vAlign w:val="top"/>
                        </w:tcPr>
                        <w:p>
                          <w:pPr>
                            <w:spacing w:before="174" w:line="1496" w:lineRule="exact"/>
                            <w:ind w:firstLine="44"/>
                          </w:pPr>
                          <w:r>
                            <w:rPr>
                              <w:position w:val="-29"/>
                            </w:rPr>
                            <w:drawing>
                              <wp:inline distT="0" distB="0" distL="0" distR="0">
                                <wp:extent cx="1531620" cy="949325"/>
                                <wp:effectExtent l="0" t="0" r="0" b="0"/>
                                <wp:docPr id="8" name="IM 8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8" name="IM 8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8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531620" cy="94932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c>
                    </w:tr>
                    <w:tr>
                      <w:tblPrEx>
                        <w:tblW w:w="3232" w:type="dxa"/>
                        <w:tblInd w:w="22" w:type="dxa"/>
                        <w:tblLayout w:type="fixed"/>
                      </w:tblPrEx>
                      <w:trPr>
                        <w:trHeight w:val="467"/>
                      </w:trPr>
                      <w:tc>
                        <w:tcPr>
                          <w:tcW w:w="3232" w:type="dxa"/>
                          <w:gridSpan w:val="2"/>
                          <w:tcBorders>
                            <w:left w:val="single" w:sz="2" w:space="0" w:color="D9D9D9"/>
                            <w:bottom w:val="single" w:sz="4" w:space="0" w:color="D9D9D9"/>
                            <w:right w:val="single" w:sz="4" w:space="0" w:color="D9D9D9"/>
                          </w:tcBorders>
                          <w:vAlign w:val="top"/>
                        </w:tcPr>
                        <w:p>
                          <w:pPr>
                            <w:spacing w:before="20" w:line="225" w:lineRule="auto"/>
                            <w:ind w:left="236"/>
                            <w:rPr>
                              <w:rFonts w:ascii="SimSun" w:eastAsia="SimSun" w:hAnsi="SimSun" w:cs="SimSun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595959"/>
                              <w:sz w:val="12"/>
                              <w:szCs w:val="12"/>
                            </w:rPr>
                            <w:t>23/2/15 23/4/29 23/7/11 2</w:t>
                          </w:r>
                          <w:r>
                            <w:rPr>
                              <w:rFonts w:ascii="SimSun" w:eastAsia="SimSun" w:hAnsi="SimSun" w:cs="SimSun"/>
                              <w:color w:val="595959"/>
                              <w:spacing w:val="-1"/>
                              <w:sz w:val="12"/>
                              <w:szCs w:val="12"/>
                            </w:rPr>
                            <w:t>3/9/22</w:t>
                          </w:r>
                          <w:r>
                            <w:rPr>
                              <w:rFonts w:ascii="SimSun" w:eastAsia="SimSun" w:hAnsi="SimSun" w:cs="SimSun"/>
                              <w:color w:val="595959"/>
                              <w:spacing w:val="6"/>
                              <w:sz w:val="12"/>
                              <w:szCs w:val="12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color w:val="595959"/>
                              <w:spacing w:val="-1"/>
                              <w:sz w:val="12"/>
                              <w:szCs w:val="12"/>
                            </w:rPr>
                            <w:t>23/12/4</w:t>
                          </w:r>
                          <w:r>
                            <w:rPr>
                              <w:rFonts w:ascii="SimSun" w:eastAsia="SimSun" w:hAnsi="SimSun" w:cs="SimSun"/>
                              <w:color w:val="595959"/>
                              <w:spacing w:val="6"/>
                              <w:sz w:val="12"/>
                              <w:szCs w:val="12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color w:val="595959"/>
                              <w:spacing w:val="-1"/>
                              <w:sz w:val="12"/>
                              <w:szCs w:val="12"/>
                            </w:rPr>
                            <w:t>24/2/15</w:t>
                          </w:r>
                        </w:p>
                        <w:p>
                          <w:pPr>
                            <w:spacing w:before="83" w:line="220" w:lineRule="auto"/>
                            <w:ind w:left="611"/>
                            <w:rPr>
                              <w:rFonts w:ascii="SimSun" w:eastAsia="SimSun" w:hAnsi="SimSun" w:cs="SimSun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color w:val="595959"/>
                              <w:position w:val="2"/>
                              <w:sz w:val="10"/>
                              <w:szCs w:val="10"/>
                            </w:rPr>
                            <w:drawing>
                              <wp:inline distT="0" distB="0" distL="0" distR="0">
                                <wp:extent cx="256032" cy="12192"/>
                                <wp:effectExtent l="0" t="0" r="0" b="0"/>
                                <wp:docPr id="10" name="IM 10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0" name="IM 10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9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56032" cy="1219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SimHei" w:eastAsia="SimHei" w:hAnsi="SimHei" w:cs="SimHei"/>
                              <w:color w:val="595959"/>
                              <w:spacing w:val="-11"/>
                              <w:sz w:val="10"/>
                              <w:szCs w:val="10"/>
                            </w:rPr>
                            <w:t xml:space="preserve"> </w:t>
                          </w:r>
                          <w:r>
                            <w:rPr>
                              <w:rFonts w:ascii="SimHei" w:eastAsia="SimHei" w:hAnsi="SimHei" w:cs="SimHei"/>
                              <w:color w:val="595959"/>
                              <w:spacing w:val="-1"/>
                              <w:sz w:val="10"/>
                              <w:szCs w:val="10"/>
                            </w:rPr>
                            <w:t>汽车</w:t>
                          </w:r>
                          <w:r>
                            <w:rPr>
                              <w:rFonts w:ascii="SimHei" w:eastAsia="SimHei" w:hAnsi="SimHei" w:cs="SimHei"/>
                              <w:color w:val="595959"/>
                              <w:sz w:val="10"/>
                              <w:szCs w:val="10"/>
                            </w:rPr>
                            <w:t xml:space="preserve">          </w:t>
                          </w:r>
                          <w:r>
                            <w:rPr>
                              <w:position w:val="2"/>
                              <w:sz w:val="10"/>
                              <w:szCs w:val="10"/>
                            </w:rPr>
                            <w:drawing>
                              <wp:inline distT="0" distB="0" distL="0" distR="0">
                                <wp:extent cx="256031" cy="12192"/>
                                <wp:effectExtent l="0" t="0" r="0" b="0"/>
                                <wp:docPr id="12" name="IM 12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2" name="IM 12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1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56031" cy="1219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SimHei" w:eastAsia="SimHei" w:hAnsi="SimHei" w:cs="SimHei"/>
                              <w:color w:val="595959"/>
                              <w:spacing w:val="-5"/>
                              <w:sz w:val="10"/>
                              <w:szCs w:val="10"/>
                            </w:rPr>
                            <w:t xml:space="preserve"> </w:t>
                          </w:r>
                          <w:r>
                            <w:rPr>
                              <w:rFonts w:ascii="SimHei" w:eastAsia="SimHei" w:hAnsi="SimHei" w:cs="SimHei"/>
                              <w:color w:val="595959"/>
                              <w:spacing w:val="-1"/>
                              <w:sz w:val="10"/>
                              <w:szCs w:val="10"/>
                            </w:rPr>
                            <w:t>沪深</w:t>
                          </w:r>
                          <w:r>
                            <w:rPr>
                              <w:rFonts w:ascii="SimSun" w:eastAsia="SimSun" w:hAnsi="SimSun" w:cs="SimSun"/>
                              <w:color w:val="595959"/>
                              <w:spacing w:val="-1"/>
                              <w:sz w:val="10"/>
                              <w:szCs w:val="10"/>
                            </w:rPr>
                            <w:t>300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033" style="width:3243;height:15;position:absolute" coordorigin="0,0" coordsize="3243,15" path="m,14l3243,14l3243,l,l,14xe" filled="t" fillcolor="#ee1d23" stroked="f"/>
            <w10:wrap type="none"/>
          </v:group>
        </w:pict>
      </w:r>
    </w:p>
    <w:p>
      <w:pPr>
        <w:pStyle w:val="BodyText"/>
        <w:spacing w:before="91" w:line="219" w:lineRule="auto"/>
        <w:ind w:left="28"/>
        <w:rPr>
          <w:sz w:val="16"/>
          <w:szCs w:val="16"/>
        </w:rPr>
      </w:pPr>
      <w:r>
        <w:rPr>
          <w:i/>
          <w:iCs/>
          <w:spacing w:val="7"/>
          <w:sz w:val="16"/>
          <w:szCs w:val="16"/>
        </w:rPr>
        <w:t>数据来源：</w:t>
      </w:r>
      <w:r>
        <w:rPr>
          <w:i/>
          <w:iCs/>
          <w:sz w:val="16"/>
          <w:szCs w:val="16"/>
        </w:rPr>
        <w:t>wind</w:t>
      </w:r>
      <w:r>
        <w:rPr>
          <w:i/>
          <w:iCs/>
          <w:spacing w:val="7"/>
          <w:sz w:val="16"/>
          <w:szCs w:val="16"/>
        </w:rPr>
        <w:t>方正证券研究所</w:t>
      </w:r>
    </w:p>
    <w:p>
      <w:pPr>
        <w:spacing w:before="117"/>
      </w:pPr>
    </w:p>
    <w:tbl>
      <w:tblPr>
        <w:tblStyle w:val="TableNormal"/>
        <w:tblW w:w="3260" w:type="dxa"/>
        <w:tblInd w:w="1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260"/>
      </w:tblGrid>
      <w:tr>
        <w:tblPrEx>
          <w:tblW w:w="3260" w:type="dxa"/>
          <w:tblInd w:w="1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18"/>
        </w:trPr>
        <w:tc>
          <w:tcPr>
            <w:tcW w:w="3260" w:type="dxa"/>
            <w:tcBorders>
              <w:top w:val="single" w:sz="4" w:space="0" w:color="EE1D23"/>
            </w:tcBorders>
            <w:shd w:val="clear" w:color="auto" w:fill="9C9A9B"/>
            <w:vAlign w:val="top"/>
          </w:tcPr>
          <w:p>
            <w:pPr>
              <w:pStyle w:val="TableText"/>
              <w:spacing w:before="61" w:line="228" w:lineRule="auto"/>
              <w:ind w:left="1005"/>
              <w:rPr>
                <w:sz w:val="19"/>
                <w:szCs w:val="19"/>
              </w:rPr>
            </w:pPr>
            <w:r>
              <w:rPr>
                <w:color w:val="FFFFFF"/>
                <w:spacing w:val="-1"/>
                <w:sz w:val="19"/>
                <w:szCs w:val="19"/>
              </w:rPr>
              <w:t>相</w:t>
            </w:r>
            <w:r>
              <w:rPr>
                <w:color w:val="FFFFFF"/>
                <w:spacing w:val="45"/>
                <w:sz w:val="19"/>
                <w:szCs w:val="19"/>
              </w:rPr>
              <w:t xml:space="preserve"> </w:t>
            </w:r>
            <w:r>
              <w:rPr>
                <w:color w:val="FFFFFF"/>
                <w:spacing w:val="-1"/>
                <w:sz w:val="19"/>
                <w:szCs w:val="19"/>
              </w:rPr>
              <w:t>关</w:t>
            </w:r>
            <w:r>
              <w:rPr>
                <w:color w:val="FFFFFF"/>
                <w:spacing w:val="30"/>
                <w:sz w:val="19"/>
                <w:szCs w:val="19"/>
              </w:rPr>
              <w:t xml:space="preserve"> </w:t>
            </w:r>
            <w:r>
              <w:rPr>
                <w:color w:val="FFFFFF"/>
                <w:spacing w:val="-1"/>
                <w:sz w:val="19"/>
                <w:szCs w:val="19"/>
              </w:rPr>
              <w:t>研</w:t>
            </w:r>
            <w:r>
              <w:rPr>
                <w:color w:val="FFFFFF"/>
                <w:spacing w:val="31"/>
                <w:w w:val="101"/>
                <w:sz w:val="19"/>
                <w:szCs w:val="19"/>
              </w:rPr>
              <w:t xml:space="preserve"> </w:t>
            </w:r>
            <w:r>
              <w:rPr>
                <w:color w:val="FFFFFF"/>
                <w:spacing w:val="-1"/>
                <w:sz w:val="19"/>
                <w:szCs w:val="19"/>
              </w:rPr>
              <w:t>究</w:t>
            </w:r>
          </w:p>
        </w:tc>
      </w:tr>
      <w:tr>
        <w:tblPrEx>
          <w:tblW w:w="3260" w:type="dxa"/>
          <w:tblInd w:w="14" w:type="dxa"/>
          <w:tblLayout w:type="fixed"/>
        </w:tblPrEx>
        <w:trPr>
          <w:trHeight w:val="520"/>
        </w:trPr>
        <w:tc>
          <w:tcPr>
            <w:tcW w:w="3260" w:type="dxa"/>
            <w:tcBorders>
              <w:bottom w:val="single" w:sz="2" w:space="0" w:color="D9D9D9"/>
            </w:tcBorders>
            <w:vAlign w:val="top"/>
          </w:tcPr>
          <w:p>
            <w:pPr>
              <w:pStyle w:val="TableText"/>
              <w:spacing w:before="83" w:line="221" w:lineRule="auto"/>
              <w:ind w:left="19" w:right="135" w:hanging="5"/>
            </w:pPr>
            <w:r>
              <w:rPr>
                <w:spacing w:val="-3"/>
              </w:rPr>
              <w:t>《汽车出口专题报告（二</w:t>
            </w:r>
            <w:r>
              <w:rPr>
                <w:spacing w:val="-19"/>
              </w:rPr>
              <w:t>）：</w:t>
            </w:r>
            <w:r>
              <w:rPr>
                <w:spacing w:val="-3"/>
              </w:rPr>
              <w:t>墨西哥出口方兴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未艾，北美市场辐射持续》2024.02.13</w:t>
            </w:r>
          </w:p>
        </w:tc>
      </w:tr>
      <w:tr>
        <w:tblPrEx>
          <w:tblW w:w="3260" w:type="dxa"/>
          <w:tblInd w:w="14" w:type="dxa"/>
          <w:tblLayout w:type="fixed"/>
        </w:tblPrEx>
        <w:trPr>
          <w:trHeight w:val="520"/>
        </w:trPr>
        <w:tc>
          <w:tcPr>
            <w:tcW w:w="3260" w:type="dxa"/>
            <w:tcBorders>
              <w:top w:val="single" w:sz="2" w:space="0" w:color="D9D9D9"/>
              <w:bottom w:val="single" w:sz="2" w:space="0" w:color="D9D9D9"/>
            </w:tcBorders>
            <w:vAlign w:val="top"/>
          </w:tcPr>
          <w:p>
            <w:pPr>
              <w:pStyle w:val="TableText"/>
              <w:spacing w:before="81" w:line="226" w:lineRule="auto"/>
              <w:ind w:left="40" w:right="80" w:hanging="26"/>
            </w:pPr>
            <w:r>
              <w:rPr>
                <w:spacing w:val="-2"/>
              </w:rPr>
              <w:t>《汽车出口专题报告一：俄罗斯供需再平衡，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自主品牌受益明确》2024.01.20</w:t>
            </w:r>
          </w:p>
        </w:tc>
      </w:tr>
      <w:tr>
        <w:tblPrEx>
          <w:tblW w:w="3260" w:type="dxa"/>
          <w:tblInd w:w="14" w:type="dxa"/>
          <w:tblLayout w:type="fixed"/>
        </w:tblPrEx>
        <w:trPr>
          <w:trHeight w:val="519"/>
        </w:trPr>
        <w:tc>
          <w:tcPr>
            <w:tcW w:w="3260" w:type="dxa"/>
            <w:tcBorders>
              <w:top w:val="single" w:sz="2" w:space="0" w:color="D9D9D9"/>
              <w:bottom w:val="single" w:sz="2" w:space="0" w:color="D9D9D9"/>
            </w:tcBorders>
            <w:vAlign w:val="top"/>
          </w:tcPr>
          <w:p>
            <w:pPr>
              <w:pStyle w:val="TableText"/>
              <w:spacing w:before="82" w:line="225" w:lineRule="auto"/>
              <w:ind w:left="22" w:right="84" w:hanging="8"/>
            </w:pPr>
            <w:r>
              <w:rPr>
                <w:spacing w:val="-2"/>
              </w:rPr>
              <w:t>《AITO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问界</w:t>
            </w:r>
            <w:r>
              <w:rPr>
                <w:spacing w:val="-33"/>
              </w:rPr>
              <w:t xml:space="preserve"> </w:t>
            </w:r>
            <w:r>
              <w:rPr>
                <w:spacing w:val="-2"/>
              </w:rPr>
              <w:t>M9</w:t>
            </w:r>
            <w:r>
              <w:rPr>
                <w:spacing w:val="-35"/>
              </w:rPr>
              <w:t xml:space="preserve"> </w:t>
            </w:r>
            <w:r>
              <w:rPr>
                <w:spacing w:val="-2"/>
              </w:rPr>
              <w:t>黑科技创新，产品向上驱动产</w:t>
            </w:r>
            <w:r>
              <w:t xml:space="preserve"> </w:t>
            </w:r>
            <w:r>
              <w:rPr>
                <w:spacing w:val="-1"/>
              </w:rPr>
              <w:t>业链上行》2023.12.27</w:t>
            </w:r>
          </w:p>
        </w:tc>
      </w:tr>
      <w:tr>
        <w:tblPrEx>
          <w:tblW w:w="3260" w:type="dxa"/>
          <w:tblInd w:w="14" w:type="dxa"/>
          <w:tblLayout w:type="fixed"/>
        </w:tblPrEx>
        <w:trPr>
          <w:trHeight w:val="522"/>
        </w:trPr>
        <w:tc>
          <w:tcPr>
            <w:tcW w:w="3260" w:type="dxa"/>
            <w:tcBorders>
              <w:top w:val="single" w:sz="2" w:space="0" w:color="D9D9D9"/>
              <w:bottom w:val="single" w:sz="2" w:space="0" w:color="D9D9D9"/>
            </w:tcBorders>
            <w:vAlign w:val="top"/>
          </w:tcPr>
          <w:p>
            <w:pPr>
              <w:pStyle w:val="TableText"/>
              <w:spacing w:before="85" w:line="224" w:lineRule="auto"/>
              <w:ind w:left="19" w:right="84" w:hanging="5"/>
            </w:pPr>
            <w:r>
              <w:rPr>
                <w:spacing w:val="-8"/>
              </w:rPr>
              <w:t>《汽车销量：</w:t>
            </w:r>
            <w:r>
              <w:rPr>
                <w:spacing w:val="-2"/>
              </w:rPr>
              <w:t xml:space="preserve"> </w:t>
            </w:r>
            <w:r>
              <w:rPr>
                <w:spacing w:val="-8"/>
              </w:rPr>
              <w:t>5</w:t>
            </w:r>
            <w:r>
              <w:rPr>
                <w:spacing w:val="-30"/>
              </w:rPr>
              <w:t xml:space="preserve"> </w:t>
            </w:r>
            <w:r>
              <w:rPr>
                <w:spacing w:val="-8"/>
              </w:rPr>
              <w:t>月同环比双升，</w:t>
            </w:r>
            <w:r>
              <w:rPr>
                <w:spacing w:val="-8"/>
              </w:rPr>
              <w:t xml:space="preserve"> </w:t>
            </w:r>
            <w:r>
              <w:rPr>
                <w:spacing w:val="-8"/>
              </w:rPr>
              <w:t>政策发力助力</w:t>
            </w:r>
            <w:r>
              <w:t xml:space="preserve"> </w:t>
            </w:r>
            <w:r>
              <w:rPr>
                <w:spacing w:val="-1"/>
              </w:rPr>
              <w:t>汽车消费》2023.06.20</w:t>
            </w:r>
          </w:p>
        </w:tc>
      </w:tr>
    </w:tbl>
    <w:p>
      <w:pPr>
        <w:rPr>
          <w:rFonts w:ascii="Arial"/>
          <w:sz w:val="21"/>
        </w:rPr>
      </w:pPr>
    </w:p>
    <w:p>
      <w:pPr>
        <w:spacing w:line="14" w:lineRule="auto"/>
        <w:rPr>
          <w:rFonts w:ascii="Arial"/>
          <w:sz w:val="2"/>
        </w:rPr>
        <w:sectPr>
          <w:footerReference w:type="default" r:id="rId11"/>
          <w:type w:val="continuous"/>
          <w:pgSz w:w="11907" w:h="16839"/>
          <w:pgMar w:top="453" w:right="625" w:bottom="707" w:left="679" w:header="0" w:footer="405" w:gutter="0"/>
          <w:pgNumType w:start="2"/>
          <w:cols w:num="2" w:space="708" w:equalWidth="0">
            <w:col w:w="3619" w:space="100"/>
            <w:col w:w="6884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80" w:line="236" w:lineRule="auto"/>
        <w:ind w:right="17" w:firstLine="4"/>
        <w:jc w:val="both"/>
      </w:pPr>
      <w:r>
        <w:rPr>
          <w:spacing w:val="-4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汽车板块板块指数与估值大幅回调，多因素催化反弹可期：</w:t>
      </w:r>
      <w:r>
        <w:rPr>
          <w:spacing w:val="-4"/>
        </w:rPr>
        <w:t xml:space="preserve"> </w:t>
      </w:r>
      <w:r>
        <w:rPr>
          <w:spacing w:val="-4"/>
        </w:rPr>
        <w:t>2024</w:t>
      </w:r>
      <w:r>
        <w:rPr>
          <w:spacing w:val="-10"/>
        </w:rPr>
        <w:t xml:space="preserve"> </w:t>
      </w:r>
      <w:r>
        <w:rPr>
          <w:spacing w:val="-4"/>
        </w:rPr>
        <w:t>年</w:t>
      </w:r>
      <w:r>
        <w:rPr>
          <w:spacing w:val="-31"/>
        </w:rPr>
        <w:t xml:space="preserve"> </w:t>
      </w:r>
      <w:r>
        <w:rPr>
          <w:spacing w:val="-4"/>
        </w:rPr>
        <w:t>2</w:t>
      </w:r>
      <w:r>
        <w:rPr>
          <w:spacing w:val="-25"/>
        </w:rPr>
        <w:t xml:space="preserve"> </w:t>
      </w:r>
      <w:r>
        <w:rPr>
          <w:spacing w:val="-4"/>
        </w:rPr>
        <w:t>月</w:t>
      </w:r>
      <w:r>
        <w:rPr>
          <w:spacing w:val="-30"/>
        </w:rPr>
        <w:t xml:space="preserve"> </w:t>
      </w:r>
      <w:r>
        <w:rPr>
          <w:spacing w:val="-4"/>
        </w:rPr>
        <w:t>6</w:t>
      </w:r>
      <w:r>
        <w:t xml:space="preserve"> </w:t>
      </w:r>
      <w:r>
        <w:rPr>
          <w:spacing w:val="-5"/>
        </w:rPr>
        <w:t>日整车及汽车零部件板块估值分别回调至</w:t>
      </w:r>
      <w:r>
        <w:rPr>
          <w:spacing w:val="-33"/>
        </w:rPr>
        <w:t xml:space="preserve"> </w:t>
      </w:r>
      <w:r>
        <w:rPr>
          <w:spacing w:val="-5"/>
        </w:rPr>
        <w:t>18.28、20.7</w:t>
      </w:r>
      <w:r>
        <w:rPr>
          <w:spacing w:val="-6"/>
        </w:rPr>
        <w:t>6</w:t>
      </w:r>
      <w:r>
        <w:rPr>
          <w:spacing w:val="-44"/>
        </w:rPr>
        <w:t xml:space="preserve"> </w:t>
      </w:r>
      <w:r>
        <w:rPr>
          <w:spacing w:val="-6"/>
        </w:rPr>
        <w:t>倍，接近历史低位，</w:t>
      </w:r>
      <w:r>
        <w:t xml:space="preserve"> </w:t>
      </w:r>
      <w:r>
        <w:rPr>
          <w:spacing w:val="-6"/>
        </w:rPr>
        <w:t>汽车行业估值回归性价比区间。与此同时，</w:t>
      </w:r>
      <w:r>
        <w:rPr>
          <w:spacing w:val="-53"/>
        </w:rPr>
        <w:t xml:space="preserve"> </w:t>
      </w:r>
      <w:r>
        <w:rPr>
          <w:spacing w:val="-6"/>
        </w:rPr>
        <w:t>春节期间购车优惠政策持续，驱</w:t>
      </w:r>
      <w:r>
        <w:rPr>
          <w:spacing w:val="-6"/>
        </w:rPr>
        <w:t xml:space="preserve"> </w:t>
      </w:r>
      <w:r>
        <w:rPr>
          <w:spacing w:val="-4"/>
        </w:rPr>
        <w:t>动销量上行。2024</w:t>
      </w:r>
      <w:r>
        <w:rPr>
          <w:spacing w:val="-38"/>
        </w:rPr>
        <w:t xml:space="preserve"> </w:t>
      </w:r>
      <w:r>
        <w:rPr>
          <w:spacing w:val="-4"/>
        </w:rPr>
        <w:t>年</w:t>
      </w:r>
      <w:r>
        <w:rPr>
          <w:spacing w:val="-29"/>
        </w:rPr>
        <w:t xml:space="preserve"> </w:t>
      </w:r>
      <w:r>
        <w:rPr>
          <w:spacing w:val="-4"/>
        </w:rPr>
        <w:t>1</w:t>
      </w:r>
      <w:r>
        <w:rPr>
          <w:spacing w:val="-34"/>
        </w:rPr>
        <w:t xml:space="preserve"> </w:t>
      </w:r>
      <w:r>
        <w:rPr>
          <w:spacing w:val="-4"/>
        </w:rPr>
        <w:t>月国内乘用车市场零</w:t>
      </w:r>
      <w:r>
        <w:rPr>
          <w:spacing w:val="-5"/>
        </w:rPr>
        <w:t>售达到</w:t>
      </w:r>
      <w:r>
        <w:rPr>
          <w:spacing w:val="-40"/>
        </w:rPr>
        <w:t xml:space="preserve"> </w:t>
      </w:r>
      <w:r>
        <w:rPr>
          <w:spacing w:val="-5"/>
        </w:rPr>
        <w:t>203.5</w:t>
      </w:r>
      <w:r>
        <w:rPr>
          <w:spacing w:val="-32"/>
        </w:rPr>
        <w:t xml:space="preserve"> </w:t>
      </w:r>
      <w:r>
        <w:rPr>
          <w:spacing w:val="-5"/>
        </w:rPr>
        <w:t>万辆，</w:t>
      </w:r>
      <w:r>
        <w:rPr>
          <w:spacing w:val="-5"/>
        </w:rPr>
        <w:t xml:space="preserve"> </w:t>
      </w:r>
      <w:r>
        <w:rPr>
          <w:spacing w:val="-5"/>
        </w:rPr>
        <w:t>同比增长</w:t>
      </w:r>
      <w:r>
        <w:t xml:space="preserve"> </w:t>
      </w:r>
      <w:r>
        <w:rPr>
          <w:spacing w:val="-1"/>
        </w:rPr>
        <w:t>57.4%，主要系春节错位以及价格战刺激销量增长，预计</w:t>
      </w:r>
      <w:r>
        <w:rPr>
          <w:spacing w:val="-45"/>
        </w:rPr>
        <w:t xml:space="preserve"> </w:t>
      </w:r>
      <w:r>
        <w:rPr>
          <w:spacing w:val="-1"/>
        </w:rPr>
        <w:t>2</w:t>
      </w:r>
      <w:r>
        <w:rPr>
          <w:spacing w:val="-41"/>
        </w:rPr>
        <w:t xml:space="preserve"> </w:t>
      </w:r>
      <w:r>
        <w:rPr>
          <w:spacing w:val="-1"/>
        </w:rPr>
        <w:t>月</w:t>
      </w:r>
      <w:r>
        <w:rPr>
          <w:spacing w:val="-2"/>
        </w:rPr>
        <w:t>汽车价格战对</w:t>
      </w:r>
      <w:r>
        <w:t xml:space="preserve"> </w:t>
      </w:r>
      <w:r>
        <w:rPr>
          <w:spacing w:val="-6"/>
        </w:rPr>
        <w:t>销量刺激效果延续，有望助力板块上行。我们预计</w:t>
      </w:r>
      <w:r>
        <w:rPr>
          <w:spacing w:val="-29"/>
        </w:rPr>
        <w:t xml:space="preserve"> </w:t>
      </w:r>
      <w:r>
        <w:rPr>
          <w:spacing w:val="-6"/>
        </w:rPr>
        <w:t>2024</w:t>
      </w:r>
      <w:r>
        <w:rPr>
          <w:spacing w:val="-43"/>
        </w:rPr>
        <w:t xml:space="preserve"> </w:t>
      </w:r>
      <w:r>
        <w:rPr>
          <w:spacing w:val="-6"/>
        </w:rPr>
        <w:t>年年初月度销量</w:t>
      </w:r>
      <w:r>
        <w:rPr>
          <w:spacing w:val="-49"/>
        </w:rPr>
        <w:t xml:space="preserve"> </w:t>
      </w:r>
      <w:r>
        <w:rPr>
          <w:spacing w:val="-6"/>
        </w:rPr>
        <w:t>YoY</w:t>
      </w:r>
      <w:r>
        <w:t xml:space="preserve"> </w:t>
      </w:r>
      <w:r>
        <w:rPr>
          <w:spacing w:val="-6"/>
        </w:rPr>
        <w:t>由于春节错位快速增长，</w:t>
      </w:r>
      <w:r>
        <w:rPr>
          <w:spacing w:val="-21"/>
        </w:rPr>
        <w:t xml:space="preserve"> </w:t>
      </w:r>
      <w:r>
        <w:rPr>
          <w:spacing w:val="-6"/>
        </w:rPr>
        <w:t>年末出现销量翘尾，</w:t>
      </w:r>
      <w:r>
        <w:rPr>
          <w:spacing w:val="-24"/>
        </w:rPr>
        <w:t xml:space="preserve"> </w:t>
      </w:r>
      <w:r>
        <w:rPr>
          <w:spacing w:val="-6"/>
        </w:rPr>
        <w:t>板块有望同步</w:t>
      </w:r>
      <w:r>
        <w:rPr>
          <w:spacing w:val="-7"/>
        </w:rPr>
        <w:t>表现。</w:t>
      </w:r>
    </w:p>
    <w:p>
      <w:pPr>
        <w:pStyle w:val="BodyText"/>
        <w:spacing w:before="192" w:line="235" w:lineRule="auto"/>
        <w:ind w:left="4" w:right="75"/>
      </w:pP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2024</w:t>
      </w:r>
      <w:r>
        <w:rPr>
          <w:spacing w:val="-31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年板块有望分两阶段上行，</w:t>
      </w:r>
      <w:r>
        <w:rPr>
          <w:spacing w:val="-7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春季第一阶反弹有望显现：</w:t>
      </w:r>
      <w:r>
        <w:rPr>
          <w:spacing w:val="-7"/>
        </w:rPr>
        <w:t xml:space="preserve"> </w:t>
      </w:r>
      <w:r>
        <w:rPr>
          <w:spacing w:val="-7"/>
        </w:rPr>
        <w:t>2024</w:t>
      </w:r>
      <w:r>
        <w:rPr>
          <w:spacing w:val="-43"/>
        </w:rPr>
        <w:t xml:space="preserve"> </w:t>
      </w:r>
      <w:r>
        <w:rPr>
          <w:spacing w:val="-7"/>
        </w:rPr>
        <w:t>年相较于</w:t>
      </w:r>
      <w:r>
        <w:t xml:space="preserve"> </w:t>
      </w:r>
      <w:r>
        <w:rPr>
          <w:spacing w:val="-10"/>
        </w:rPr>
        <w:t>2023</w:t>
      </w:r>
      <w:r>
        <w:rPr>
          <w:spacing w:val="-42"/>
        </w:rPr>
        <w:t xml:space="preserve"> </w:t>
      </w:r>
      <w:r>
        <w:rPr>
          <w:spacing w:val="-10"/>
        </w:rPr>
        <w:t>年春节错位，</w:t>
      </w:r>
      <w:r>
        <w:rPr>
          <w:spacing w:val="-52"/>
        </w:rPr>
        <w:t xml:space="preserve"> </w:t>
      </w:r>
      <w:r>
        <w:rPr>
          <w:spacing w:val="-10"/>
        </w:rPr>
        <w:t>1</w:t>
      </w:r>
      <w:r>
        <w:rPr>
          <w:spacing w:val="-39"/>
        </w:rPr>
        <w:t xml:space="preserve"> </w:t>
      </w:r>
      <w:r>
        <w:rPr>
          <w:spacing w:val="-10"/>
        </w:rPr>
        <w:t>月同比销量高增，</w:t>
      </w:r>
      <w:r>
        <w:rPr>
          <w:spacing w:val="-41"/>
        </w:rPr>
        <w:t xml:space="preserve"> </w:t>
      </w:r>
      <w:r>
        <w:rPr>
          <w:spacing w:val="-10"/>
        </w:rPr>
        <w:t>后续销量逐步回落，</w:t>
      </w:r>
      <w:r>
        <w:rPr>
          <w:spacing w:val="-27"/>
        </w:rPr>
        <w:t xml:space="preserve"> </w:t>
      </w:r>
      <w:r>
        <w:rPr>
          <w:spacing w:val="-10"/>
        </w:rPr>
        <w:t>年末旺季来临清</w:t>
      </w:r>
      <w:r>
        <w:t xml:space="preserve"> </w:t>
      </w:r>
      <w:r>
        <w:rPr>
          <w:spacing w:val="-4"/>
        </w:rPr>
        <w:t>库冲量+出口销量持续景气，销量同比</w:t>
      </w:r>
      <w:r>
        <w:rPr>
          <w:spacing w:val="-33"/>
        </w:rPr>
        <w:t xml:space="preserve"> </w:t>
      </w:r>
      <w:r>
        <w:rPr>
          <w:spacing w:val="-4"/>
        </w:rPr>
        <w:t>YoY</w:t>
      </w:r>
      <w:r>
        <w:rPr>
          <w:spacing w:val="-46"/>
        </w:rPr>
        <w:t xml:space="preserve"> </w:t>
      </w:r>
      <w:r>
        <w:rPr>
          <w:spacing w:val="-4"/>
        </w:rPr>
        <w:t>翘尾。</w:t>
      </w:r>
      <w:r>
        <w:rPr>
          <w:spacing w:val="-22"/>
        </w:rPr>
        <w:t xml:space="preserve"> </w:t>
      </w:r>
      <w:r>
        <w:rPr>
          <w:spacing w:val="-4"/>
        </w:rPr>
        <w:t>2024</w:t>
      </w:r>
      <w:r>
        <w:rPr>
          <w:spacing w:val="-43"/>
        </w:rPr>
        <w:t xml:space="preserve"> </w:t>
      </w:r>
      <w:r>
        <w:rPr>
          <w:spacing w:val="-4"/>
        </w:rPr>
        <w:t>全年乘用车销量</w:t>
      </w:r>
      <w:r>
        <w:rPr>
          <w:spacing w:val="-48"/>
        </w:rPr>
        <w:t xml:space="preserve"> </w:t>
      </w:r>
      <w:r>
        <w:rPr>
          <w:spacing w:val="-4"/>
        </w:rPr>
        <w:t>YoY</w:t>
      </w:r>
      <w:r>
        <w:t xml:space="preserve"> </w:t>
      </w:r>
      <w:r>
        <w:rPr>
          <w:spacing w:val="-3"/>
        </w:rPr>
        <w:t>呈现两头高中间低态势，</w:t>
      </w:r>
      <w:r>
        <w:rPr>
          <w:spacing w:val="-19"/>
        </w:rPr>
        <w:t xml:space="preserve"> </w:t>
      </w:r>
      <w:r>
        <w:rPr>
          <w:spacing w:val="-3"/>
        </w:rPr>
        <w:t>预计板块指数有望同步表现，重点关注</w:t>
      </w:r>
      <w:r>
        <w:rPr>
          <w:spacing w:val="-3"/>
        </w:rPr>
        <w:t xml:space="preserve"> </w:t>
      </w:r>
      <w:r>
        <w:rPr>
          <w:spacing w:val="-3"/>
        </w:rPr>
        <w:t>2-</w:t>
      </w:r>
      <w:r>
        <w:rPr>
          <w:spacing w:val="-4"/>
        </w:rPr>
        <w:t>4</w:t>
      </w:r>
      <w:r>
        <w:rPr>
          <w:spacing w:val="-4"/>
        </w:rPr>
        <w:t xml:space="preserve"> </w:t>
      </w:r>
      <w:r>
        <w:rPr>
          <w:spacing w:val="-4"/>
        </w:rPr>
        <w:t>月及</w:t>
      </w:r>
      <w:r>
        <w:t xml:space="preserve"> </w:t>
      </w:r>
      <w:r>
        <w:rPr>
          <w:spacing w:val="-5"/>
        </w:rPr>
        <w:t>下半年板块行情。2024</w:t>
      </w:r>
      <w:r>
        <w:rPr>
          <w:spacing w:val="-45"/>
        </w:rPr>
        <w:t xml:space="preserve"> </w:t>
      </w:r>
      <w:r>
        <w:rPr>
          <w:spacing w:val="-5"/>
        </w:rPr>
        <w:t>年</w:t>
      </w:r>
      <w:r>
        <w:rPr>
          <w:spacing w:val="-48"/>
        </w:rPr>
        <w:t xml:space="preserve"> </w:t>
      </w:r>
      <w:r>
        <w:rPr>
          <w:spacing w:val="-5"/>
        </w:rPr>
        <w:t>2-4</w:t>
      </w:r>
      <w:r>
        <w:rPr>
          <w:spacing w:val="-39"/>
        </w:rPr>
        <w:t xml:space="preserve"> </w:t>
      </w:r>
      <w:r>
        <w:rPr>
          <w:spacing w:val="-5"/>
        </w:rPr>
        <w:t>月伴随</w:t>
      </w:r>
      <w:r>
        <w:rPr>
          <w:spacing w:val="-44"/>
        </w:rPr>
        <w:t xml:space="preserve"> </w:t>
      </w:r>
      <w:r>
        <w:rPr>
          <w:spacing w:val="-5"/>
        </w:rPr>
        <w:t>L3</w:t>
      </w:r>
      <w:r>
        <w:rPr>
          <w:spacing w:val="-5"/>
        </w:rPr>
        <w:t xml:space="preserve"> </w:t>
      </w:r>
      <w:r>
        <w:rPr>
          <w:spacing w:val="-5"/>
        </w:rPr>
        <w:t>自动驾驶落地、理想</w:t>
      </w:r>
      <w:r>
        <w:rPr>
          <w:spacing w:val="-47"/>
        </w:rPr>
        <w:t xml:space="preserve"> </w:t>
      </w:r>
      <w:r>
        <w:rPr>
          <w:spacing w:val="-5"/>
        </w:rPr>
        <w:t>MEG</w:t>
      </w:r>
      <w:r>
        <w:rPr>
          <w:spacing w:val="-6"/>
        </w:rPr>
        <w:t>A</w:t>
      </w:r>
      <w:r>
        <w:rPr>
          <w:spacing w:val="-44"/>
        </w:rPr>
        <w:t xml:space="preserve"> </w:t>
      </w:r>
      <w:r>
        <w:rPr>
          <w:spacing w:val="-6"/>
        </w:rPr>
        <w:t>及</w:t>
      </w:r>
      <w:r>
        <w:rPr>
          <w:spacing w:val="-43"/>
        </w:rPr>
        <w:t xml:space="preserve"> </w:t>
      </w:r>
      <w:r>
        <w:rPr>
          <w:spacing w:val="-6"/>
        </w:rPr>
        <w:t>L6</w:t>
      </w:r>
      <w:r>
        <w:rPr>
          <w:spacing w:val="-40"/>
        </w:rPr>
        <w:t xml:space="preserve"> </w:t>
      </w:r>
      <w:r>
        <w:rPr>
          <w:spacing w:val="-6"/>
        </w:rPr>
        <w:t>上</w:t>
      </w:r>
      <w:r>
        <w:t xml:space="preserve"> </w:t>
      </w:r>
      <w:r>
        <w:rPr>
          <w:spacing w:val="-2"/>
        </w:rPr>
        <w:t>市交付、小米汽车上市等，刺激板块上行。2024</w:t>
      </w:r>
      <w:r>
        <w:rPr>
          <w:spacing w:val="-2"/>
        </w:rPr>
        <w:t xml:space="preserve"> </w:t>
      </w:r>
      <w:r>
        <w:rPr>
          <w:spacing w:val="-2"/>
        </w:rPr>
        <w:t>下半年伴随问界、小鹏、</w:t>
      </w:r>
      <w:r>
        <w:rPr>
          <w:spacing w:val="18"/>
        </w:rPr>
        <w:t xml:space="preserve"> </w:t>
      </w:r>
      <w:r>
        <w:t>理想、蔚来、江淮华为等新车型发布上市催化，板块有望持续上行。</w:t>
      </w:r>
    </w:p>
    <w:p>
      <w:pPr>
        <w:pStyle w:val="BodyText"/>
        <w:spacing w:before="212" w:line="267" w:lineRule="auto"/>
        <w:ind w:left="4" w:right="75" w:firstLine="6"/>
        <w:jc w:val="both"/>
      </w:pPr>
      <w:r>
        <w:rPr>
          <w:spacing w:val="-5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重点关注中长期成长格局明确的超跌细分赛道：1）整车板块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：</w:t>
      </w:r>
      <w:r>
        <w:rPr>
          <w:spacing w:val="34"/>
        </w:rPr>
        <w:t xml:space="preserve"> </w:t>
      </w:r>
      <w:r>
        <w:rPr>
          <w:spacing w:val="-6"/>
        </w:rPr>
        <w:t>近期整车板</w:t>
      </w:r>
      <w:r>
        <w:t xml:space="preserve"> </w:t>
      </w:r>
      <w:r>
        <w:rPr>
          <w:spacing w:val="-6"/>
        </w:rPr>
        <w:t>块受库存高位、价格战扰动大幅回调，</w:t>
      </w:r>
      <w:r>
        <w:rPr>
          <w:spacing w:val="-23"/>
        </w:rPr>
        <w:t xml:space="preserve"> </w:t>
      </w:r>
      <w:r>
        <w:rPr>
          <w:spacing w:val="-6"/>
        </w:rPr>
        <w:t>中长</w:t>
      </w:r>
      <w:r>
        <w:rPr>
          <w:spacing w:val="-7"/>
        </w:rPr>
        <w:t>期来看，智能化快速迭代及出海</w:t>
      </w:r>
      <w:r>
        <w:t xml:space="preserve"> </w:t>
      </w:r>
      <w:r>
        <w:rPr>
          <w:spacing w:val="-4"/>
        </w:rPr>
        <w:t>空间增长明确，后续板块有望持续上行。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2）细分行业龙头：</w:t>
      </w:r>
      <w:r>
        <w:rPr>
          <w:spacing w:val="-4"/>
        </w:rPr>
        <w:t xml:space="preserve"> </w:t>
      </w:r>
      <w:r>
        <w:rPr>
          <w:spacing w:val="-4"/>
        </w:rPr>
        <w:t>轻量化、座椅</w:t>
      </w:r>
      <w:r>
        <w:rPr>
          <w:spacing w:val="6"/>
        </w:rPr>
        <w:t xml:space="preserve"> </w:t>
      </w:r>
      <w:r>
        <w:rPr>
          <w:spacing w:val="2"/>
        </w:rPr>
        <w:t>及内饰、智能底盘等赛道估值下探至底部，伴随整车智能化及国产替代加</w:t>
      </w:r>
      <w:r>
        <w:rPr>
          <w:spacing w:val="9"/>
        </w:rPr>
        <w:t xml:space="preserve"> </w:t>
      </w:r>
      <w:r>
        <w:rPr>
          <w:spacing w:val="-9"/>
        </w:rPr>
        <w:t>速，</w:t>
      </w:r>
      <w:r>
        <w:rPr>
          <w:spacing w:val="-30"/>
        </w:rPr>
        <w:t xml:space="preserve"> </w:t>
      </w:r>
      <w:r>
        <w:rPr>
          <w:spacing w:val="-9"/>
        </w:rPr>
        <w:t>后续有望受益于业绩增长。</w:t>
      </w:r>
      <w:r>
        <w:rPr>
          <w:spacing w:val="-39"/>
        </w:rPr>
        <w:t xml:space="preserve"> </w:t>
      </w:r>
      <w:r>
        <w:rPr>
          <w:spacing w:val="-9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3）特斯拉产业链：</w:t>
      </w:r>
      <w:r>
        <w:rPr>
          <w:spacing w:val="38"/>
        </w:rPr>
        <w:t xml:space="preserve"> </w:t>
      </w:r>
      <w:r>
        <w:rPr>
          <w:spacing w:val="-10"/>
        </w:rPr>
        <w:t>特斯拉产业链估值下探</w:t>
      </w:r>
      <w:r>
        <w:t xml:space="preserve"> </w:t>
      </w:r>
      <w:r>
        <w:rPr>
          <w:spacing w:val="-4"/>
        </w:rPr>
        <w:t>至底部，三期工厂转机初现叠加新车型进展显著定点加速布局，当前产业链</w:t>
      </w:r>
      <w:r>
        <w:rPr>
          <w:spacing w:val="1"/>
        </w:rPr>
        <w:t xml:space="preserve"> </w:t>
      </w:r>
      <w:r>
        <w:rPr>
          <w:spacing w:val="-6"/>
        </w:rPr>
        <w:t>预期差明确，</w:t>
      </w:r>
      <w:r>
        <w:rPr>
          <w:spacing w:val="-25"/>
        </w:rPr>
        <w:t xml:space="preserve"> </w:t>
      </w:r>
      <w:r>
        <w:rPr>
          <w:spacing w:val="-6"/>
        </w:rPr>
        <w:t>投资性价比凸显。重点关注比亚迪、赛</w:t>
      </w:r>
      <w:r>
        <w:rPr>
          <w:spacing w:val="-7"/>
        </w:rPr>
        <w:t>力斯、银轮股份、继峰</w:t>
      </w:r>
      <w:r>
        <w:t xml:space="preserve"> </w:t>
      </w:r>
      <w:r>
        <w:rPr>
          <w:spacing w:val="-1"/>
        </w:rPr>
        <w:t>股份、保隆科技。</w:t>
      </w:r>
    </w:p>
    <w:p>
      <w:pPr>
        <w:pStyle w:val="BodyText"/>
        <w:spacing w:before="219" w:line="261" w:lineRule="auto"/>
        <w:ind w:left="4" w:right="75" w:firstLine="12"/>
        <w:jc w:val="both"/>
      </w:pPr>
      <w:r>
        <w:rPr>
          <w:spacing w:val="-6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比亚迪：</w:t>
      </w:r>
      <w:r>
        <w:rPr>
          <w:spacing w:val="-33"/>
        </w:rPr>
        <w:t xml:space="preserve"> </w:t>
      </w:r>
      <w:r>
        <w:rPr>
          <w:spacing w:val="-6"/>
        </w:rPr>
        <w:t>公司为新能源乘用车行业龙头，公</w:t>
      </w:r>
      <w:r>
        <w:rPr>
          <w:spacing w:val="-7"/>
        </w:rPr>
        <w:t>司产品高端化持续。后续伴随公</w:t>
      </w:r>
      <w:r>
        <w:t xml:space="preserve"> </w:t>
      </w:r>
      <w:r>
        <w:rPr>
          <w:spacing w:val="-2"/>
        </w:rPr>
        <w:t>司仰望、方程豹等新品牌放量，收入与业绩有</w:t>
      </w:r>
      <w:r>
        <w:rPr>
          <w:spacing w:val="-3"/>
        </w:rPr>
        <w:t>望持续上升。我们预计</w:t>
      </w:r>
      <w:r>
        <w:rPr>
          <w:spacing w:val="-48"/>
        </w:rPr>
        <w:t xml:space="preserve"> </w:t>
      </w:r>
      <w:r>
        <w:rPr>
          <w:spacing w:val="-3"/>
        </w:rPr>
        <w:t>2023-</w:t>
      </w:r>
      <w:r>
        <w:t xml:space="preserve"> </w:t>
      </w:r>
      <w:r>
        <w:rPr>
          <w:spacing w:val="-1"/>
        </w:rPr>
        <w:t>2025</w:t>
      </w:r>
      <w:r>
        <w:rPr>
          <w:spacing w:val="-19"/>
        </w:rPr>
        <w:t xml:space="preserve"> </w:t>
      </w:r>
      <w:r>
        <w:rPr>
          <w:spacing w:val="-1"/>
        </w:rPr>
        <w:t>年公司收入有望实现</w:t>
      </w:r>
      <w:r>
        <w:rPr>
          <w:spacing w:val="-37"/>
        </w:rPr>
        <w:t xml:space="preserve"> </w:t>
      </w:r>
      <w:r>
        <w:rPr>
          <w:spacing w:val="-1"/>
        </w:rPr>
        <w:t>6762、9000、10903</w:t>
      </w:r>
      <w:r>
        <w:rPr>
          <w:spacing w:val="-34"/>
        </w:rPr>
        <w:t xml:space="preserve"> </w:t>
      </w:r>
      <w:r>
        <w:rPr>
          <w:spacing w:val="-1"/>
        </w:rPr>
        <w:t>亿元，归母净利润有望实现</w:t>
      </w:r>
      <w:r>
        <w:t xml:space="preserve"> </w:t>
      </w:r>
      <w:r>
        <w:rPr>
          <w:spacing w:val="-1"/>
        </w:rPr>
        <w:t>306、381、453</w:t>
      </w:r>
      <w:r>
        <w:rPr>
          <w:spacing w:val="-43"/>
        </w:rPr>
        <w:t xml:space="preserve"> </w:t>
      </w:r>
      <w:r>
        <w:rPr>
          <w:spacing w:val="-1"/>
        </w:rPr>
        <w:t>亿元。</w:t>
      </w:r>
    </w:p>
    <w:p>
      <w:pPr>
        <w:pStyle w:val="BodyText"/>
        <w:spacing w:before="218" w:line="253" w:lineRule="auto"/>
        <w:ind w:left="5" w:firstLine="1"/>
        <w:jc w:val="both"/>
      </w:pP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赛力斯：</w:t>
      </w:r>
      <w:r>
        <w:rPr>
          <w:spacing w:val="-7"/>
        </w:rPr>
        <w:t xml:space="preserve"> </w:t>
      </w:r>
      <w:r>
        <w:rPr>
          <w:spacing w:val="-7"/>
        </w:rPr>
        <w:t>我们预计受益于问界</w:t>
      </w:r>
      <w:r>
        <w:rPr>
          <w:spacing w:val="-45"/>
        </w:rPr>
        <w:t xml:space="preserve"> </w:t>
      </w:r>
      <w:r>
        <w:rPr>
          <w:spacing w:val="-7"/>
        </w:rPr>
        <w:t>M7</w:t>
      </w:r>
      <w:r>
        <w:rPr>
          <w:spacing w:val="-45"/>
        </w:rPr>
        <w:t xml:space="preserve"> </w:t>
      </w:r>
      <w:r>
        <w:rPr>
          <w:spacing w:val="-7"/>
        </w:rPr>
        <w:t>持续火爆</w:t>
      </w:r>
      <w:r>
        <w:rPr>
          <w:spacing w:val="-8"/>
        </w:rPr>
        <w:t>，</w:t>
      </w:r>
      <w:r>
        <w:rPr>
          <w:spacing w:val="-23"/>
        </w:rPr>
        <w:t xml:space="preserve"> </w:t>
      </w:r>
      <w:r>
        <w:rPr>
          <w:spacing w:val="-8"/>
        </w:rPr>
        <w:t>问界</w:t>
      </w:r>
      <w:r>
        <w:rPr>
          <w:spacing w:val="-47"/>
        </w:rPr>
        <w:t xml:space="preserve"> </w:t>
      </w:r>
      <w:r>
        <w:rPr>
          <w:spacing w:val="-8"/>
        </w:rPr>
        <w:t>M9</w:t>
      </w:r>
      <w:r>
        <w:rPr>
          <w:spacing w:val="-45"/>
        </w:rPr>
        <w:t xml:space="preserve"> </w:t>
      </w:r>
      <w:r>
        <w:rPr>
          <w:spacing w:val="-8"/>
        </w:rPr>
        <w:t>放量以及问界</w:t>
      </w:r>
      <w:r>
        <w:rPr>
          <w:spacing w:val="-47"/>
        </w:rPr>
        <w:t xml:space="preserve"> </w:t>
      </w:r>
      <w:r>
        <w:rPr>
          <w:spacing w:val="-8"/>
        </w:rPr>
        <w:t>M5</w:t>
      </w:r>
      <w:r>
        <w:rPr>
          <w:spacing w:val="-41"/>
        </w:rPr>
        <w:t xml:space="preserve"> </w:t>
      </w:r>
      <w:r>
        <w:rPr>
          <w:spacing w:val="-8"/>
        </w:rPr>
        <w:t>改款</w:t>
      </w:r>
      <w:r>
        <w:rPr>
          <w:spacing w:val="-8"/>
        </w:rPr>
        <w:t xml:space="preserve"> </w:t>
      </w:r>
      <w:r>
        <w:rPr>
          <w:spacing w:val="-3"/>
        </w:rPr>
        <w:t>上市，</w:t>
      </w:r>
      <w:r>
        <w:rPr>
          <w:spacing w:val="-3"/>
        </w:rPr>
        <w:t xml:space="preserve"> </w:t>
      </w:r>
      <w:r>
        <w:rPr>
          <w:spacing w:val="-3"/>
        </w:rPr>
        <w:t>公司新能源汽车收入持续上升。我们预</w:t>
      </w:r>
      <w:r>
        <w:rPr>
          <w:spacing w:val="-4"/>
        </w:rPr>
        <w:t>计</w:t>
      </w:r>
      <w:r>
        <w:rPr>
          <w:spacing w:val="-4"/>
        </w:rPr>
        <w:t xml:space="preserve"> </w:t>
      </w:r>
      <w:r>
        <w:rPr>
          <w:spacing w:val="-4"/>
        </w:rPr>
        <w:t>2023-2025</w:t>
      </w:r>
      <w:r>
        <w:rPr>
          <w:spacing w:val="-4"/>
        </w:rPr>
        <w:t xml:space="preserve"> </w:t>
      </w:r>
      <w:r>
        <w:rPr>
          <w:spacing w:val="-4"/>
        </w:rPr>
        <w:t>年公司收入为</w:t>
      </w:r>
      <w:r>
        <w:rPr>
          <w:spacing w:val="-4"/>
        </w:rPr>
        <w:t xml:space="preserve"> </w:t>
      </w:r>
      <w:r>
        <w:rPr>
          <w:spacing w:val="-5"/>
        </w:rPr>
        <w:t>301.50、1163.52、1537.68</w:t>
      </w:r>
      <w:r>
        <w:rPr>
          <w:spacing w:val="-44"/>
        </w:rPr>
        <w:t xml:space="preserve"> </w:t>
      </w:r>
      <w:r>
        <w:rPr>
          <w:spacing w:val="-5"/>
        </w:rPr>
        <w:t>亿元，</w:t>
      </w:r>
      <w:r>
        <w:rPr>
          <w:spacing w:val="-22"/>
        </w:rPr>
        <w:t xml:space="preserve"> </w:t>
      </w:r>
      <w:r>
        <w:rPr>
          <w:spacing w:val="-5"/>
        </w:rPr>
        <w:t>归母净利润-25.03、-7.69、22.</w:t>
      </w:r>
      <w:r>
        <w:rPr>
          <w:spacing w:val="-6"/>
        </w:rPr>
        <w:t>45</w:t>
      </w:r>
      <w:r>
        <w:rPr>
          <w:spacing w:val="-43"/>
        </w:rPr>
        <w:t xml:space="preserve"> </w:t>
      </w:r>
      <w:r>
        <w:rPr>
          <w:spacing w:val="-6"/>
        </w:rPr>
        <w:t>亿元。</w:t>
      </w:r>
    </w:p>
    <w:p>
      <w:pPr>
        <w:pStyle w:val="BodyText"/>
        <w:spacing w:before="229" w:line="253" w:lineRule="auto"/>
        <w:ind w:left="4" w:right="75"/>
        <w:jc w:val="both"/>
      </w:pP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银轮股份：</w:t>
      </w:r>
      <w:r>
        <w:rPr>
          <w:spacing w:val="-7"/>
        </w:rPr>
        <w:t xml:space="preserve"> </w:t>
      </w:r>
      <w:r>
        <w:rPr>
          <w:spacing w:val="-7"/>
        </w:rPr>
        <w:t>公司新能源乘用车业务快速发展，乘用车业务占比持续提升，另</w:t>
      </w:r>
      <w:r>
        <w:rPr>
          <w:spacing w:val="5"/>
        </w:rPr>
        <w:t xml:space="preserve"> </w:t>
      </w:r>
      <w:r>
        <w:rPr>
          <w:spacing w:val="-1"/>
        </w:rPr>
        <w:t>外公司工业及民用业务有望进一步增长。我们预计</w:t>
      </w:r>
      <w:r>
        <w:rPr>
          <w:spacing w:val="-1"/>
        </w:rPr>
        <w:t xml:space="preserve"> </w:t>
      </w:r>
      <w:r>
        <w:rPr>
          <w:spacing w:val="-1"/>
        </w:rPr>
        <w:t>2023-2025</w:t>
      </w:r>
      <w:r>
        <w:rPr>
          <w:spacing w:val="-1"/>
        </w:rPr>
        <w:t xml:space="preserve"> </w:t>
      </w:r>
      <w:r>
        <w:rPr>
          <w:spacing w:val="-1"/>
        </w:rPr>
        <w:t>年公司收入</w:t>
      </w:r>
      <w:r>
        <w:rPr>
          <w:spacing w:val="15"/>
        </w:rPr>
        <w:t xml:space="preserve"> </w:t>
      </w:r>
      <w:r>
        <w:rPr>
          <w:spacing w:val="-3"/>
        </w:rPr>
        <w:t>为</w:t>
      </w:r>
      <w:r>
        <w:rPr>
          <w:spacing w:val="-33"/>
        </w:rPr>
        <w:t xml:space="preserve"> </w:t>
      </w:r>
      <w:r>
        <w:rPr>
          <w:spacing w:val="-3"/>
        </w:rPr>
        <w:t>109.2、132.6、164.0</w:t>
      </w:r>
      <w:r>
        <w:rPr>
          <w:spacing w:val="-46"/>
        </w:rPr>
        <w:t xml:space="preserve"> </w:t>
      </w:r>
      <w:r>
        <w:rPr>
          <w:spacing w:val="-3"/>
        </w:rPr>
        <w:t>亿元，</w:t>
      </w:r>
      <w:r>
        <w:rPr>
          <w:spacing w:val="-3"/>
        </w:rPr>
        <w:t xml:space="preserve"> </w:t>
      </w:r>
      <w:r>
        <w:rPr>
          <w:spacing w:val="-3"/>
        </w:rPr>
        <w:t>归母净利润为</w:t>
      </w:r>
      <w:r>
        <w:rPr>
          <w:spacing w:val="-44"/>
        </w:rPr>
        <w:t xml:space="preserve"> </w:t>
      </w:r>
      <w:r>
        <w:rPr>
          <w:spacing w:val="-3"/>
        </w:rPr>
        <w:t>6.35、8.</w:t>
      </w:r>
      <w:r>
        <w:rPr>
          <w:spacing w:val="-4"/>
        </w:rPr>
        <w:t>53、11.45</w:t>
      </w:r>
      <w:r>
        <w:rPr>
          <w:spacing w:val="-46"/>
        </w:rPr>
        <w:t xml:space="preserve"> </w:t>
      </w:r>
      <w:r>
        <w:rPr>
          <w:spacing w:val="-4"/>
        </w:rPr>
        <w:t>亿元。</w:t>
      </w:r>
    </w:p>
    <w:p>
      <w:pPr>
        <w:pStyle w:val="BodyText"/>
        <w:spacing w:before="228" w:line="252" w:lineRule="auto"/>
        <w:ind w:right="1" w:firstLine="4"/>
        <w:jc w:val="both"/>
      </w:pP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继峰股份：</w:t>
      </w:r>
      <w:r>
        <w:rPr>
          <w:spacing w:val="-7"/>
        </w:rPr>
        <w:t xml:space="preserve"> </w:t>
      </w:r>
      <w:r>
        <w:rPr>
          <w:spacing w:val="-7"/>
        </w:rPr>
        <w:t>公司座椅类产品持续完善，另外公司与格拉默在客户获取、品类</w:t>
      </w:r>
      <w:r>
        <w:rPr>
          <w:spacing w:val="-7"/>
        </w:rPr>
        <w:t xml:space="preserve"> </w:t>
      </w:r>
      <w:r>
        <w:rPr>
          <w:spacing w:val="-2"/>
        </w:rPr>
        <w:t>扩张、研发协同等方面互相协同，业绩有望实现</w:t>
      </w:r>
      <w:r>
        <w:rPr>
          <w:spacing w:val="-3"/>
        </w:rPr>
        <w:t>同步增长。我们预计</w:t>
      </w:r>
      <w:r>
        <w:rPr>
          <w:spacing w:val="-48"/>
        </w:rPr>
        <w:t xml:space="preserve"> </w:t>
      </w:r>
      <w:r>
        <w:rPr>
          <w:spacing w:val="-3"/>
        </w:rPr>
        <w:t>2023-</w:t>
      </w:r>
      <w:r>
        <w:rPr>
          <w:spacing w:val="-3"/>
        </w:rPr>
        <w:t xml:space="preserve"> </w:t>
      </w:r>
      <w:r>
        <w:rPr>
          <w:spacing w:val="-6"/>
        </w:rPr>
        <w:t>2025</w:t>
      </w:r>
      <w:r>
        <w:rPr>
          <w:spacing w:val="-46"/>
        </w:rPr>
        <w:t xml:space="preserve"> </w:t>
      </w:r>
      <w:r>
        <w:rPr>
          <w:spacing w:val="-6"/>
        </w:rPr>
        <w:t>年公司收入实现</w:t>
      </w:r>
      <w:r>
        <w:rPr>
          <w:spacing w:val="-45"/>
        </w:rPr>
        <w:t xml:space="preserve"> </w:t>
      </w:r>
      <w:r>
        <w:rPr>
          <w:spacing w:val="-6"/>
        </w:rPr>
        <w:t>203.29、234.68、277.18</w:t>
      </w:r>
      <w:r>
        <w:rPr>
          <w:spacing w:val="-44"/>
        </w:rPr>
        <w:t xml:space="preserve"> </w:t>
      </w:r>
      <w:r>
        <w:rPr>
          <w:spacing w:val="-6"/>
        </w:rPr>
        <w:t>亿</w:t>
      </w:r>
      <w:r>
        <w:rPr>
          <w:spacing w:val="-7"/>
        </w:rPr>
        <w:t>元，归母净利润实现</w:t>
      </w:r>
      <w:r>
        <w:rPr>
          <w:spacing w:val="-45"/>
        </w:rPr>
        <w:t xml:space="preserve"> </w:t>
      </w:r>
      <w:r>
        <w:rPr>
          <w:spacing w:val="-7"/>
        </w:rPr>
        <w:t>2.03、</w:t>
      </w:r>
      <w:r>
        <w:t xml:space="preserve"> </w:t>
      </w:r>
      <w:r>
        <w:rPr>
          <w:spacing w:val="-2"/>
        </w:rPr>
        <w:t>4.91、11.20</w:t>
      </w:r>
      <w:r>
        <w:rPr>
          <w:spacing w:val="-41"/>
        </w:rPr>
        <w:t xml:space="preserve"> </w:t>
      </w:r>
      <w:r>
        <w:rPr>
          <w:spacing w:val="-2"/>
        </w:rPr>
        <w:t>亿元。</w:t>
      </w:r>
    </w:p>
    <w:p>
      <w:pPr>
        <w:spacing w:line="252" w:lineRule="auto"/>
        <w:sectPr>
          <w:footerReference w:type="default" r:id="rId12"/>
          <w:type w:val="nextPage"/>
          <w:pgSz w:w="11907" w:h="16839"/>
          <w:pgMar w:top="453" w:right="625" w:bottom="707" w:left="679" w:header="0" w:footer="405" w:gutter="0"/>
          <w:pgNumType w:start="3"/>
          <w:cols w:num="2" w:space="708" w:equalWidth="0">
            <w:col w:w="3619" w:space="100"/>
            <w:col w:w="6884" w:space="0"/>
          </w:cols>
          <w:titlePg w:val="0"/>
        </w:sectPr>
      </w:pPr>
    </w:p>
    <w:p>
      <w:pPr>
        <w:spacing w:line="400" w:lineRule="auto"/>
        <w:rPr>
          <w:rFonts w:ascii="Arial"/>
          <w:sz w:val="21"/>
        </w:rPr>
      </w:pPr>
      <w:r>
        <w:pict>
          <v:shape id="_x0000_s1034" style="width:527.45pt;height:0.5pt;margin-top:60.6pt;margin-left:33.96pt;mso-position-horizontal-relative:page;mso-position-vertical-relative:page;position:absolute;z-index:251665408" coordorigin="0,0" coordsize="10549,10" o:allowincell="f" path="m,9l10548,9l10548,l,l,9xe" filled="t" fillcolor="#ee1d23" stroked="f"/>
        </w:pict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630936</wp:posOffset>
            </wp:positionH>
            <wp:positionV relativeFrom="page">
              <wp:posOffset>288035</wp:posOffset>
            </wp:positionV>
            <wp:extent cx="1144523" cy="454152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4523" cy="4541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2" w:line="227" w:lineRule="auto"/>
        <w:ind w:left="8812"/>
        <w:rPr>
          <w:sz w:val="19"/>
          <w:szCs w:val="19"/>
        </w:rPr>
      </w:pPr>
      <w:r>
        <w:rPr>
          <w:color w:val="FF0000"/>
          <w:spacing w:val="9"/>
          <w:sz w:val="19"/>
          <w:szCs w:val="19"/>
        </w:rPr>
        <w:t>汽车</w:t>
      </w:r>
      <w:r>
        <w:rPr>
          <w:color w:val="FF0000"/>
          <w:spacing w:val="9"/>
          <w:sz w:val="19"/>
          <w:szCs w:val="19"/>
        </w:rPr>
        <w:t xml:space="preserve"> </w:t>
      </w:r>
      <w:r>
        <w:rPr>
          <w:color w:val="FF0000"/>
          <w:spacing w:val="9"/>
          <w:sz w:val="19"/>
          <w:szCs w:val="19"/>
        </w:rPr>
        <w:t>行业专题报告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68" w:line="230" w:lineRule="auto"/>
        <w:ind w:left="3718" w:firstLine="4"/>
      </w:pP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保隆科技：</w:t>
      </w:r>
      <w:r>
        <w:rPr>
          <w:spacing w:val="-7"/>
        </w:rPr>
        <w:t xml:space="preserve"> </w:t>
      </w:r>
      <w:r>
        <w:rPr>
          <w:spacing w:val="-7"/>
        </w:rPr>
        <w:t>公司车用传感器、空悬等业务领域国产替代龙头，切入理想、蔚</w:t>
      </w:r>
      <w:r>
        <w:rPr>
          <w:spacing w:val="-7"/>
        </w:rPr>
        <w:t xml:space="preserve"> </w:t>
      </w:r>
      <w:r>
        <w:rPr>
          <w:spacing w:val="-3"/>
        </w:rPr>
        <w:t>来、比亚迪等重点车企。我们预计</w:t>
      </w:r>
      <w:r>
        <w:rPr>
          <w:spacing w:val="-40"/>
        </w:rPr>
        <w:t xml:space="preserve"> </w:t>
      </w:r>
      <w:r>
        <w:rPr>
          <w:spacing w:val="-3"/>
        </w:rPr>
        <w:t>2023-2025</w:t>
      </w:r>
      <w:r>
        <w:rPr>
          <w:spacing w:val="-45"/>
        </w:rPr>
        <w:t xml:space="preserve"> </w:t>
      </w:r>
      <w:r>
        <w:rPr>
          <w:spacing w:val="-3"/>
        </w:rPr>
        <w:t>年公司收入为</w:t>
      </w:r>
      <w:r>
        <w:rPr>
          <w:spacing w:val="-49"/>
        </w:rPr>
        <w:t xml:space="preserve"> </w:t>
      </w:r>
      <w:r>
        <w:rPr>
          <w:spacing w:val="-3"/>
        </w:rPr>
        <w:t>58.44、74.93、</w:t>
      </w:r>
      <w:r>
        <w:t xml:space="preserve"> </w:t>
      </w:r>
      <w:r>
        <w:rPr>
          <w:spacing w:val="-1"/>
        </w:rPr>
        <w:t>93.22</w:t>
      </w:r>
      <w:r>
        <w:rPr>
          <w:spacing w:val="-45"/>
        </w:rPr>
        <w:t xml:space="preserve"> </w:t>
      </w:r>
      <w:r>
        <w:rPr>
          <w:spacing w:val="-1"/>
        </w:rPr>
        <w:t>亿元，实现归母净利润为</w:t>
      </w:r>
      <w:r>
        <w:rPr>
          <w:spacing w:val="-50"/>
        </w:rPr>
        <w:t xml:space="preserve"> </w:t>
      </w:r>
      <w:r>
        <w:rPr>
          <w:color w:val="231F20"/>
          <w:spacing w:val="-1"/>
        </w:rPr>
        <w:t>4.49、5.62、7.17</w:t>
      </w:r>
      <w:r>
        <w:rPr>
          <w:color w:val="231F20"/>
          <w:spacing w:val="-45"/>
        </w:rPr>
        <w:t xml:space="preserve"> </w:t>
      </w:r>
      <w:r>
        <w:rPr>
          <w:spacing w:val="-1"/>
        </w:rPr>
        <w:t>亿元。</w:t>
      </w:r>
    </w:p>
    <w:p>
      <w:pPr>
        <w:pStyle w:val="BodyText"/>
        <w:spacing w:before="211" w:line="247" w:lineRule="auto"/>
        <w:ind w:left="3727" w:right="74" w:hanging="2"/>
      </w:pP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风险提示：</w:t>
      </w:r>
      <w:r>
        <w:rPr>
          <w:spacing w:val="-7"/>
        </w:rPr>
        <w:t xml:space="preserve"> </w:t>
      </w:r>
      <w:r>
        <w:rPr>
          <w:spacing w:val="-7"/>
        </w:rPr>
        <w:t>乘用车销量不及预期，乘用车价格战加剧风险，新车型投放不及</w:t>
      </w:r>
      <w:r>
        <w:rPr>
          <w:spacing w:val="2"/>
        </w:rPr>
        <w:t xml:space="preserve"> </w:t>
      </w:r>
      <w:r>
        <w:rPr>
          <w:spacing w:val="-3"/>
        </w:rPr>
        <w:t>预期等。</w:t>
      </w:r>
    </w:p>
    <w:p>
      <w:pPr>
        <w:spacing w:line="247" w:lineRule="auto"/>
        <w:sectPr>
          <w:footerReference w:type="default" r:id="rId13"/>
          <w:pgSz w:w="11907" w:h="16839"/>
          <w:pgMar w:top="453" w:right="627" w:bottom="712" w:left="679" w:header="0" w:footer="405" w:gutter="0"/>
          <w:pgNumType w:start="4"/>
          <w:cols w:space="708"/>
        </w:sectPr>
      </w:pPr>
    </w:p>
    <w:p>
      <w:pPr>
        <w:spacing w:line="400" w:lineRule="auto"/>
        <w:rPr>
          <w:rFonts w:ascii="Arial"/>
          <w:sz w:val="21"/>
        </w:rPr>
      </w:pPr>
      <w:r>
        <w:pict>
          <v:shape id="_x0000_s1035" style="width:527.45pt;height:0.5pt;margin-top:60.6pt;margin-left:33.96pt;mso-position-horizontal-relative:page;mso-position-vertical-relative:page;position:absolute;z-index:251667456" coordorigin="0,0" coordsize="10549,10" o:allowincell="f" path="m,9l10548,9l10548,l,l,9xe" filled="t" fillcolor="#ee1d23" stroked="f"/>
        </w:pict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630936</wp:posOffset>
            </wp:positionH>
            <wp:positionV relativeFrom="page">
              <wp:posOffset>288035</wp:posOffset>
            </wp:positionV>
            <wp:extent cx="1144523" cy="454152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4523" cy="4541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2" w:line="227" w:lineRule="auto"/>
        <w:ind w:right="31"/>
        <w:jc w:val="right"/>
        <w:rPr>
          <w:sz w:val="19"/>
          <w:szCs w:val="19"/>
        </w:rPr>
      </w:pPr>
      <w:r>
        <w:rPr>
          <w:color w:val="FF0000"/>
          <w:spacing w:val="9"/>
          <w:sz w:val="19"/>
          <w:szCs w:val="19"/>
        </w:rPr>
        <w:t>汽车</w:t>
      </w:r>
      <w:r>
        <w:rPr>
          <w:color w:val="FF0000"/>
          <w:spacing w:val="9"/>
          <w:sz w:val="19"/>
          <w:szCs w:val="19"/>
        </w:rPr>
        <w:t xml:space="preserve"> </w:t>
      </w:r>
      <w:r>
        <w:rPr>
          <w:color w:val="FF0000"/>
          <w:spacing w:val="9"/>
          <w:sz w:val="19"/>
          <w:szCs w:val="19"/>
        </w:rPr>
        <w:t>行业专题报告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81" w:line="226" w:lineRule="auto"/>
        <w:ind w:left="4764"/>
        <w:rPr>
          <w:rFonts w:ascii="KaiTi" w:eastAsia="KaiTi" w:hAnsi="KaiTi" w:cs="KaiTi"/>
          <w:sz w:val="25"/>
          <w:szCs w:val="25"/>
        </w:rPr>
      </w:pPr>
      <w:r>
        <w:rPr>
          <w:rFonts w:ascii="KaiTi" w:eastAsia="KaiTi" w:hAnsi="KaiTi" w:cs="KaiTi"/>
          <w:spacing w:val="6"/>
          <w:sz w:val="25"/>
          <w:szCs w:val="25"/>
        </w:rPr>
        <w:t>正文目录</w:t>
      </w:r>
    </w:p>
    <w:sdt>
      <w:sdtPr>
        <w:rPr>
          <w:rFonts w:ascii="KaiTi" w:eastAsia="KaiTi" w:hAnsi="KaiTi" w:cs="KaiTi"/>
          <w:sz w:val="21"/>
          <w:szCs w:val="21"/>
        </w:rPr>
        <w:id w:val="1212573086"/>
        <w:docPartObj>
          <w:docPartGallery w:val="Table of Contents"/>
          <w:docPartUnique/>
        </w:docPartObj>
      </w:sdtPr>
      <w:sdtEndPr>
        <w:rPr>
          <w:rFonts w:ascii="KaiTi" w:eastAsia="KaiTi" w:hAnsi="KaiTi" w:cs="KaiTi"/>
          <w:sz w:val="21"/>
          <w:szCs w:val="21"/>
        </w:rPr>
      </w:sdtEndPr>
      <w:sdtContent>
        <w:p>
          <w:pPr>
            <w:tabs>
              <w:tab w:val="right" w:leader="dot" w:pos="10519"/>
            </w:tabs>
            <w:spacing w:before="187" w:line="213" w:lineRule="auto"/>
            <w:ind w:left="47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6"/>
              <w:sz w:val="21"/>
              <w:szCs w:val="21"/>
            </w:rPr>
            <w:t>1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综述：前期板块触底，</w:t>
          </w:r>
          <w:r>
            <w:rPr>
              <w:rFonts w:ascii="KaiTi" w:eastAsia="KaiTi" w:hAnsi="KaiTi" w:cs="KaiTi"/>
              <w:spacing w:val="-1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春季反弹可期</w:t>
          </w:r>
          <w:r>
            <w:rPr>
              <w:rFonts w:ascii="KaiTi" w:eastAsia="KaiTi" w:hAnsi="KaiTi" w:cs="KaiTi"/>
              <w:spacing w:val="-4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hyperlink w:anchor="bookmark1" w:history="1">
            <w:r>
              <w:rPr>
                <w:rFonts w:ascii="KaiTi" w:eastAsia="KaiTi" w:hAnsi="KaiTi" w:cs="KaiTi"/>
                <w:spacing w:val="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10519"/>
            </w:tabs>
            <w:spacing w:before="69" w:line="213" w:lineRule="auto"/>
            <w:ind w:left="35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7"/>
              <w:sz w:val="21"/>
              <w:szCs w:val="21"/>
            </w:rPr>
            <w:t>2</w:t>
          </w:r>
          <w:r>
            <w:rPr>
              <w:rFonts w:ascii="KaiTi" w:eastAsia="KaiTi" w:hAnsi="KaiTi" w:cs="KaiTi"/>
              <w:spacing w:val="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>比亚迪：</w:t>
          </w:r>
          <w:r>
            <w:rPr>
              <w:rFonts w:ascii="KaiTi" w:eastAsia="KaiTi" w:hAnsi="KaiTi" w:cs="KaiTi"/>
              <w:spacing w:val="-2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>新能源汽车龙头，品牌向上持续</w:t>
          </w:r>
          <w:r>
            <w:rPr>
              <w:rFonts w:ascii="KaiTi" w:eastAsia="KaiTi" w:hAnsi="KaiTi" w:cs="KaiTi"/>
              <w:spacing w:val="-3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hyperlink w:anchor="bookmark2" w:history="1">
            <w:r>
              <w:rPr>
                <w:rFonts w:ascii="KaiTi" w:eastAsia="KaiTi" w:hAnsi="KaiTi" w:cs="KaiTi"/>
                <w:spacing w:val="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10519"/>
            </w:tabs>
            <w:spacing w:before="69" w:line="213" w:lineRule="auto"/>
            <w:ind w:left="37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9"/>
              <w:sz w:val="21"/>
              <w:szCs w:val="21"/>
            </w:rPr>
            <w:t>3</w:t>
          </w:r>
          <w:r>
            <w:rPr>
              <w:rFonts w:ascii="KaiTi" w:eastAsia="KaiTi" w:hAnsi="KaiTi" w:cs="KaiTi"/>
              <w:spacing w:val="-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9"/>
              <w:sz w:val="21"/>
              <w:szCs w:val="21"/>
            </w:rPr>
            <w:t>赛力斯：</w:t>
          </w:r>
          <w:r>
            <w:rPr>
              <w:rFonts w:ascii="KaiTi" w:eastAsia="KaiTi" w:hAnsi="KaiTi" w:cs="KaiTi"/>
              <w:spacing w:val="-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9"/>
              <w:sz w:val="21"/>
              <w:szCs w:val="21"/>
            </w:rPr>
            <w:t>华为重点合作伙伴，</w:t>
          </w:r>
          <w:r>
            <w:rPr>
              <w:rFonts w:ascii="KaiTi" w:eastAsia="KaiTi" w:hAnsi="KaiTi" w:cs="KaiTi"/>
              <w:spacing w:val="-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9"/>
              <w:sz w:val="21"/>
              <w:szCs w:val="21"/>
            </w:rPr>
            <w:t>受益于爆款新车型</w:t>
          </w:r>
          <w:r>
            <w:rPr>
              <w:rFonts w:ascii="KaiTi" w:eastAsia="KaiTi" w:hAnsi="KaiTi" w:cs="KaiTi"/>
              <w:spacing w:val="-2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hyperlink w:anchor="bookmark3" w:history="1">
            <w:r>
              <w:rPr>
                <w:rFonts w:ascii="KaiTi" w:eastAsia="KaiTi" w:hAnsi="KaiTi" w:cs="KaiTi"/>
                <w:spacing w:val="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10519"/>
            </w:tabs>
            <w:spacing w:before="70" w:line="213" w:lineRule="auto"/>
            <w:ind w:left="31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z w:val="21"/>
              <w:szCs w:val="21"/>
            </w:rPr>
            <w:t>4</w:t>
          </w:r>
          <w:r>
            <w:rPr>
              <w:rFonts w:ascii="KaiTi" w:eastAsia="KaiTi" w:hAnsi="KaiTi" w:cs="KaiTi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>银轮股份：品类客户多维扩展，全球布局空间广阔</w:t>
          </w:r>
          <w:r>
            <w:rPr>
              <w:rFonts w:ascii="KaiTi" w:eastAsia="KaiTi" w:hAnsi="KaiTi" w:cs="KaiTi"/>
              <w:spacing w:val="-3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hyperlink w:anchor="bookmark4" w:history="1">
            <w:r>
              <w:rPr>
                <w:rFonts w:ascii="KaiTi" w:eastAsia="KaiTi" w:hAnsi="KaiTi" w:cs="KaiTi"/>
                <w:spacing w:val="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10519"/>
            </w:tabs>
            <w:spacing w:before="69" w:line="213" w:lineRule="auto"/>
            <w:ind w:left="32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z w:val="21"/>
              <w:szCs w:val="21"/>
            </w:rPr>
            <w:t>5</w:t>
          </w:r>
          <w:r>
            <w:rPr>
              <w:rFonts w:ascii="KaiTi" w:eastAsia="KaiTi" w:hAnsi="KaiTi" w:cs="KaiTi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>继峰股份：海外整合持续推进，整车座椅打开成长空间</w:t>
          </w:r>
          <w:r>
            <w:rPr>
              <w:rFonts w:ascii="KaiTi" w:eastAsia="KaiTi" w:hAnsi="KaiTi" w:cs="KaiTi"/>
              <w:spacing w:val="-3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hyperlink w:anchor="bookmark5" w:history="1">
            <w:r>
              <w:rPr>
                <w:rFonts w:ascii="KaiTi" w:eastAsia="KaiTi" w:hAnsi="KaiTi" w:cs="KaiTi"/>
                <w:spacing w:val="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10519"/>
            </w:tabs>
            <w:spacing w:before="70" w:line="213" w:lineRule="auto"/>
            <w:ind w:left="36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6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保隆科技：传统业务为基石，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前瞻业务拓展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成长空间</w:t>
          </w:r>
          <w:r>
            <w:rPr>
              <w:rFonts w:ascii="KaiTi" w:eastAsia="KaiTi" w:hAnsi="KaiTi" w:cs="KaiTi"/>
              <w:spacing w:val="-3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hyperlink w:anchor="bookmark6" w:history="1">
            <w:r>
              <w:rPr>
                <w:rFonts w:ascii="KaiTi" w:eastAsia="KaiTi" w:hAnsi="KaiTi" w:cs="KaiTi"/>
                <w:spacing w:val="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10519"/>
            </w:tabs>
            <w:spacing w:before="70" w:line="223" w:lineRule="auto"/>
            <w:ind w:left="37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7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风险提示</w:t>
          </w:r>
          <w:r>
            <w:rPr>
              <w:rFonts w:ascii="KaiTi" w:eastAsia="KaiTi" w:hAnsi="KaiTi" w:cs="KaiTi"/>
              <w:spacing w:val="-5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hyperlink w:anchor="bookmark7" w:history="1">
            <w:r>
              <w:rPr>
                <w:rFonts w:ascii="KaiTi" w:eastAsia="KaiTi" w:hAnsi="KaiTi" w:cs="KaiTi"/>
                <w:spacing w:val="2"/>
                <w:sz w:val="21"/>
                <w:szCs w:val="21"/>
              </w:rPr>
              <w:t>15</w:t>
            </w:r>
          </w:hyperlink>
        </w:p>
      </w:sdtContent>
    </w:sdt>
    <w:p>
      <w:pPr>
        <w:spacing w:line="223" w:lineRule="auto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z w:val="21"/>
          <w:szCs w:val="21"/>
        </w:rPr>
        <w:br/>
      </w:r>
      <w:r>
        <w:rPr>
          <w:rFonts w:ascii="KaiTi" w:eastAsia="KaiTi" w:hAnsi="KaiTi" w:cs="KaiTi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https://d.book118.com/747160046016006042</w:t>
        </w:r>
      </w:hyperlink>
    </w:p>
    <w:p>
      <w:pPr>
        <w:spacing w:line="223" w:lineRule="auto"/>
        <w:rPr>
          <w:rFonts w:ascii="KaiTi" w:eastAsia="KaiTi" w:hAnsi="KaiTi" w:cs="KaiTi"/>
          <w:sz w:val="21"/>
          <w:szCs w:val="21"/>
        </w:rPr>
      </w:pPr>
    </w:p>
    <w:sectPr>
      <w:footerReference w:type="default" r:id="rId15"/>
      <w:pgSz w:w="11907" w:h="16839"/>
      <w:pgMar w:top="453" w:right="679" w:bottom="712" w:left="679" w:header="0" w:footer="405" w:gutter="0"/>
      <w:pgNumType w:start="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9" w:line="217" w:lineRule="auto"/>
      <w:ind w:left="5320"/>
      <w:rPr>
        <w:sz w:val="19"/>
        <w:szCs w:val="19"/>
      </w:rPr>
    </w:pPr>
    <w:r>
      <w:pict>
        <v:shape id="_x0000_s2049" style="width:527.45pt;height:0.25pt;margin-top:806.52pt;margin-left:33.96pt;mso-position-horizontal-relative:page;mso-position-vertical-relative:page;position:absolute;z-index:251658240" coordorigin="0,0" coordsize="10549,5" o:allowincell="f" path="m,4l10548,4l10548,l,l,4xe" filled="t" fillcolor="#ee1d23" stroked="f"/>
      </w:pict>
    </w: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457200</wp:posOffset>
          </wp:positionH>
          <wp:positionV relativeFrom="page">
            <wp:posOffset>832105</wp:posOffset>
          </wp:positionV>
          <wp:extent cx="6656831" cy="9368027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656831" cy="93680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4B4C4D"/>
        <w:spacing w:val="43"/>
        <w:sz w:val="19"/>
        <w:szCs w:val="19"/>
      </w:rPr>
      <w:t>1</w:t>
    </w:r>
    <w:r>
      <w:rPr>
        <w:color w:val="4B4C4D"/>
        <w:spacing w:val="6"/>
        <w:sz w:val="19"/>
        <w:szCs w:val="19"/>
      </w:rPr>
      <w:t xml:space="preserve">               </w:t>
    </w:r>
    <w:r>
      <w:rPr>
        <w:color w:val="4B4C4D"/>
        <w:spacing w:val="43"/>
        <w:sz w:val="19"/>
        <w:szCs w:val="19"/>
      </w:rPr>
      <w:t>敬请关注文后特别声明与免责条款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9" w:line="217" w:lineRule="auto"/>
      <w:ind w:left="5320"/>
      <w:rPr>
        <w:sz w:val="19"/>
        <w:szCs w:val="19"/>
      </w:rPr>
    </w:pPr>
    <w:r>
      <w:pict>
        <v:shape id="_x0000_s2050" style="width:527.45pt;height:0.25pt;margin-top:806.52pt;margin-left:33.96pt;mso-position-horizontal-relative:page;mso-position-vertical-relative:page;position:absolute;z-index:251660288" coordorigin="0,0" coordsize="10549,5" o:allowincell="f" path="m,4l10548,4l10548,l,l,4xe" filled="t" fillcolor="#ee1d23" stroked="f"/>
      </w:pict>
    </w: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457200</wp:posOffset>
          </wp:positionH>
          <wp:positionV relativeFrom="page">
            <wp:posOffset>832105</wp:posOffset>
          </wp:positionV>
          <wp:extent cx="6656831" cy="9368027"/>
          <wp:effectExtent l="0" t="0" r="0" b="0"/>
          <wp:wrapNone/>
          <wp:docPr id="306540168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6540168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656831" cy="93680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4B4C4D"/>
        <w:spacing w:val="43"/>
        <w:sz w:val="19"/>
        <w:szCs w:val="19"/>
      </w:rPr>
      <w:t>1</w:t>
    </w:r>
    <w:r>
      <w:rPr>
        <w:color w:val="4B4C4D"/>
        <w:spacing w:val="6"/>
        <w:sz w:val="19"/>
        <w:szCs w:val="19"/>
      </w:rPr>
      <w:t xml:space="preserve">               </w:t>
    </w:r>
    <w:r>
      <w:rPr>
        <w:color w:val="4B4C4D"/>
        <w:spacing w:val="43"/>
        <w:sz w:val="19"/>
        <w:szCs w:val="19"/>
      </w:rPr>
      <w:t>敬请关注文后特别声明与免责条款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9" w:line="217" w:lineRule="auto"/>
      <w:ind w:left="5320"/>
      <w:rPr>
        <w:sz w:val="19"/>
        <w:szCs w:val="19"/>
      </w:rPr>
    </w:pPr>
    <w:r>
      <w:pict>
        <v:shape id="_x0000_s2051" style="width:527.45pt;height:0.25pt;margin-top:806.52pt;margin-left:33.96pt;mso-position-horizontal-relative:page;mso-position-vertical-relative:page;position:absolute;z-index:251662336" coordorigin="0,0" coordsize="10549,5" o:allowincell="f" path="m,4l10548,4l10548,l,l,4xe" filled="t" fillcolor="#ee1d23" stroked="f"/>
      </w:pict>
    </w: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457200</wp:posOffset>
          </wp:positionH>
          <wp:positionV relativeFrom="page">
            <wp:posOffset>832105</wp:posOffset>
          </wp:positionV>
          <wp:extent cx="6656831" cy="9368027"/>
          <wp:effectExtent l="0" t="0" r="0" b="0"/>
          <wp:wrapNone/>
          <wp:docPr id="1557522569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7522569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656831" cy="93680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4B4C4D"/>
        <w:spacing w:val="43"/>
        <w:sz w:val="19"/>
        <w:szCs w:val="19"/>
      </w:rPr>
      <w:t>1</w:t>
    </w:r>
    <w:r>
      <w:rPr>
        <w:color w:val="4B4C4D"/>
        <w:spacing w:val="6"/>
        <w:sz w:val="19"/>
        <w:szCs w:val="19"/>
      </w:rPr>
      <w:t xml:space="preserve">               </w:t>
    </w:r>
    <w:r>
      <w:rPr>
        <w:color w:val="4B4C4D"/>
        <w:spacing w:val="43"/>
        <w:sz w:val="19"/>
        <w:szCs w:val="19"/>
      </w:rPr>
      <w:t>敬请关注文后特别声明与免责条款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73" w:line="217" w:lineRule="auto"/>
      <w:ind w:left="5309"/>
      <w:rPr>
        <w:sz w:val="19"/>
        <w:szCs w:val="19"/>
      </w:rPr>
    </w:pPr>
    <w:r>
      <w:pict>
        <v:shape id="_x0000_s2052" style="width:527.45pt;height:0.5pt;margin-top:806.28pt;margin-left:33.96pt;mso-position-horizontal-relative:page;mso-position-vertical-relative:page;position:absolute;z-index:251664384" coordorigin="0,0" coordsize="10549,10" o:allowincell="f" path="m,9l10548,9l10548,l,l,9xe" filled="t" fillcolor="#e31c22" stroked="f"/>
      </w:pict>
    </w:r>
    <w:r>
      <w:rPr>
        <w:color w:val="4B4C4D"/>
        <w:spacing w:val="43"/>
        <w:sz w:val="19"/>
        <w:szCs w:val="19"/>
      </w:rPr>
      <w:t>2</w:t>
    </w:r>
    <w:r>
      <w:rPr>
        <w:color w:val="4B4C4D"/>
        <w:spacing w:val="6"/>
        <w:sz w:val="19"/>
        <w:szCs w:val="19"/>
      </w:rPr>
      <w:t xml:space="preserve">               </w:t>
    </w:r>
    <w:r>
      <w:rPr>
        <w:color w:val="4B4C4D"/>
        <w:spacing w:val="43"/>
        <w:sz w:val="19"/>
        <w:szCs w:val="19"/>
      </w:rPr>
      <w:t>敬请关注文后特别声明与免责条款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73" w:line="217" w:lineRule="auto"/>
      <w:ind w:left="5310"/>
      <w:rPr>
        <w:sz w:val="19"/>
        <w:szCs w:val="19"/>
      </w:rPr>
    </w:pPr>
    <w:r>
      <w:pict>
        <v:shape id="_x0000_s2053" style="width:527.45pt;height:0.5pt;margin-top:806.28pt;margin-left:33.96pt;mso-position-horizontal-relative:page;mso-position-vertical-relative:page;position:absolute;z-index:251665408" coordorigin="0,0" coordsize="10549,10" o:allowincell="f" path="m,9l10548,9l10548,l,l,9xe" filled="t" fillcolor="#e31c22" stroked="f"/>
      </w:pict>
    </w:r>
    <w:r>
      <w:rPr>
        <w:color w:val="4B4C4D"/>
        <w:spacing w:val="43"/>
        <w:sz w:val="19"/>
        <w:szCs w:val="19"/>
      </w:rPr>
      <w:t>3</w:t>
    </w:r>
    <w:r>
      <w:rPr>
        <w:color w:val="4B4C4D"/>
        <w:spacing w:val="6"/>
        <w:sz w:val="19"/>
        <w:szCs w:val="19"/>
      </w:rPr>
      <w:t xml:space="preserve">               </w:t>
    </w:r>
    <w:r>
      <w:rPr>
        <w:color w:val="4B4C4D"/>
        <w:spacing w:val="43"/>
        <w:sz w:val="19"/>
        <w:szCs w:val="19"/>
      </w:rPr>
      <w:t>敬请关注文后特别声明与免责条款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Hei" w:eastAsia="SimHei" w:hAnsi="SimHei" w:cs="SimHei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footer" Target="footer2.xml" /><Relationship Id="rId12" Type="http://schemas.openxmlformats.org/officeDocument/2006/relationships/footer" Target="footer3.xml" /><Relationship Id="rId13" Type="http://schemas.openxmlformats.org/officeDocument/2006/relationships/footer" Target="footer4.xml" /><Relationship Id="rId14" Type="http://schemas.openxmlformats.org/officeDocument/2006/relationships/hyperlink" Target="https://d.book118.com/747160046016006042" TargetMode="Externa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2024-02-16T18:04:08Z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2024-02-16T18:06:31Z</vt:filetime>
  </property>
  <property fmtid="{D5CDD505-2E9C-101B-9397-08002B2CF9AE}" pid="3" name="CRO">
    <vt:lpwstr>wqlLaW5nc29mdCBQREYgdG8gV1BTIDkw</vt:lpwstr>
  </property>
</Properties>
</file>