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rPr>
          <w:rFonts w:ascii="华文新魏" w:eastAsia="华文新魏" w:hint="eastAsia"/>
          <w:b/>
          <w:sz w:val="52"/>
        </w:rPr>
      </w:pPr>
    </w:p>
    <w:p>
      <w:pPr>
        <w:jc w:val="center"/>
        <w:rPr>
          <w:rFonts w:ascii="华文新魏" w:eastAsia="华文新魏" w:hint="eastAsia"/>
          <w:b/>
          <w:sz w:val="44"/>
        </w:rPr>
      </w:pPr>
      <w:r>
        <w:rPr>
          <w:rFonts w:ascii="华文新魏" w:eastAsia="华文新魏" w:hint="eastAsia"/>
          <w:b/>
          <w:sz w:val="44"/>
        </w:rPr>
        <w:t>110千伏沥窖变电站#3变扩建工程</w:t>
      </w:r>
    </w:p>
    <w:p>
      <w:pPr>
        <w:jc w:val="center"/>
        <w:rPr>
          <w:rFonts w:ascii="华文新魏" w:eastAsia="华文新魏" w:hint="eastAsia"/>
          <w:b/>
          <w:sz w:val="44"/>
        </w:rPr>
      </w:pPr>
      <w:r>
        <w:rPr>
          <w:rFonts w:ascii="华文新魏" w:eastAsia="华文新魏" w:hint="eastAsia"/>
          <w:b/>
          <w:sz w:val="44"/>
        </w:rPr>
        <w:t>地基与基础分部工程施工方案</w:t>
      </w:r>
    </w:p>
    <w:p>
      <w:pPr>
        <w:rPr>
          <w:rFonts w:eastAsia="华文新魏" w:hint="eastAsia"/>
          <w:b/>
          <w:color w:val="0000FF"/>
          <w:spacing w:val="-20"/>
        </w:rPr>
      </w:pPr>
    </w:p>
    <w:p>
      <w:pPr>
        <w:jc w:val="center"/>
        <w:rPr>
          <w:rFonts w:eastAsia="方正魏碑简体"/>
          <w:b/>
          <w:position w:val="-6"/>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spacing w:line="800" w:lineRule="exact"/>
        <w:rPr>
          <w:rFonts w:hint="eastAsia"/>
          <w:sz w:val="28"/>
        </w:rPr>
      </w:pPr>
      <w:r>
        <w:rPr>
          <w:rFonts w:eastAsia="黑体" w:hint="eastAsia"/>
          <w:b/>
          <w:sz w:val="32"/>
        </w:rPr>
        <w:t>工程名称：</w:t>
      </w:r>
      <w:r>
        <w:rPr>
          <w:rFonts w:eastAsia="黑体" w:hint="eastAsia"/>
          <w:b/>
          <w:sz w:val="32"/>
          <w:u w:val="single"/>
        </w:rPr>
        <w:t xml:space="preserve">110千伏沥窖变电站#3变扩建工程        </w:t>
      </w:r>
    </w:p>
    <w:p>
      <w:pPr>
        <w:rPr>
          <w:rFonts w:eastAsia="黑体" w:hint="eastAsia"/>
          <w:sz w:val="32"/>
          <w:u w:val="single"/>
        </w:rPr>
      </w:pPr>
      <w:r>
        <w:rPr>
          <w:rFonts w:eastAsia="黑体" w:hint="eastAsia"/>
          <w:b/>
          <w:sz w:val="32"/>
        </w:rPr>
        <w:t>工程地点</w:t>
      </w:r>
      <w:r>
        <w:rPr>
          <w:rFonts w:hint="eastAsia"/>
          <w:b/>
          <w:sz w:val="32"/>
          <w:szCs w:val="32"/>
        </w:rPr>
        <w:t>：</w:t>
      </w:r>
      <w:r>
        <w:rPr>
          <w:rFonts w:hint="eastAsia"/>
          <w:b/>
          <w:sz w:val="32"/>
          <w:szCs w:val="32"/>
          <w:u w:val="single"/>
        </w:rPr>
        <w:t>广州市海珠区沥窖村110千伏沥窖变电站内</w:t>
      </w:r>
    </w:p>
    <w:p>
      <w:pPr>
        <w:spacing w:line="800" w:lineRule="exact"/>
        <w:rPr>
          <w:rFonts w:hint="eastAsia"/>
          <w:sz w:val="28"/>
          <w:u w:val="single"/>
        </w:rPr>
      </w:pPr>
      <w:r>
        <w:rPr>
          <w:rFonts w:eastAsia="黑体" w:hint="eastAsia"/>
          <w:b/>
          <w:sz w:val="32"/>
        </w:rPr>
        <w:t>施工单位</w:t>
      </w:r>
      <w:r>
        <w:rPr>
          <w:rFonts w:hint="eastAsia"/>
          <w:b/>
          <w:sz w:val="32"/>
          <w:szCs w:val="32"/>
        </w:rPr>
        <w:t>：</w:t>
      </w:r>
      <w:r>
        <w:rPr>
          <w:rFonts w:hint="eastAsia"/>
          <w:b/>
          <w:sz w:val="32"/>
          <w:szCs w:val="32"/>
          <w:u w:val="single"/>
        </w:rPr>
        <w:t xml:space="preserve">广州市电力工程有限公司                </w:t>
      </w:r>
    </w:p>
    <w:p>
      <w:pPr>
        <w:spacing w:line="800" w:lineRule="exact"/>
        <w:rPr>
          <w:rFonts w:hint="eastAsia"/>
          <w:b/>
          <w:sz w:val="32"/>
          <w:szCs w:val="32"/>
        </w:rPr>
      </w:pPr>
    </w:p>
    <w:p>
      <w:pPr>
        <w:spacing w:line="800" w:lineRule="exact"/>
        <w:rPr>
          <w:rFonts w:hint="eastAsia"/>
          <w:sz w:val="28"/>
        </w:rPr>
      </w:pPr>
      <w:r>
        <w:rPr>
          <w:rFonts w:eastAsia="黑体" w:hint="eastAsia"/>
          <w:b/>
          <w:sz w:val="32"/>
        </w:rPr>
        <w:t>编制单位：</w:t>
      </w:r>
      <w:r>
        <w:rPr>
          <w:rFonts w:hint="eastAsia"/>
          <w:b/>
          <w:sz w:val="32"/>
          <w:szCs w:val="32"/>
          <w:u w:val="single"/>
        </w:rPr>
        <w:t xml:space="preserve">广州市电力工程有限公司                </w:t>
      </w:r>
    </w:p>
    <w:p>
      <w:pPr>
        <w:spacing w:line="800" w:lineRule="exact"/>
        <w:rPr>
          <w:rFonts w:hint="eastAsia"/>
          <w:sz w:val="32"/>
          <w:szCs w:val="32"/>
        </w:rPr>
      </w:pPr>
      <w:r>
        <w:rPr>
          <w:rFonts w:eastAsia="黑体" w:hint="eastAsia"/>
          <w:b/>
          <w:sz w:val="32"/>
        </w:rPr>
        <w:t>项目负责人：</w:t>
      </w:r>
      <w:r>
        <w:rPr>
          <w:rFonts w:hint="eastAsia"/>
          <w:sz w:val="32"/>
          <w:szCs w:val="32"/>
          <w:u w:val="single"/>
        </w:rPr>
        <w:t xml:space="preserve">                                    </w:t>
      </w:r>
      <w:r>
        <w:rPr>
          <w:rFonts w:hint="eastAsia"/>
          <w:sz w:val="32"/>
          <w:szCs w:val="32"/>
        </w:rPr>
        <w:t xml:space="preserve"> </w:t>
      </w:r>
    </w:p>
    <w:p>
      <w:pPr>
        <w:spacing w:line="800" w:lineRule="exact"/>
        <w:rPr>
          <w:rFonts w:eastAsia="黑体" w:hint="eastAsia"/>
          <w:b/>
          <w:sz w:val="32"/>
        </w:rPr>
      </w:pPr>
      <w:r>
        <w:rPr>
          <w:rFonts w:eastAsia="黑体" w:hint="eastAsia"/>
          <w:b/>
          <w:sz w:val="32"/>
        </w:rPr>
        <w:t xml:space="preserve">编 制 人： </w:t>
      </w:r>
      <w:r>
        <w:rPr>
          <w:rFonts w:hint="eastAsia"/>
          <w:sz w:val="32"/>
          <w:szCs w:val="32"/>
          <w:u w:val="single"/>
        </w:rPr>
        <w:t xml:space="preserve">  </w:t>
      </w:r>
      <w:r>
        <w:rPr>
          <w:rFonts w:hint="eastAsia"/>
          <w:b/>
          <w:sz w:val="32"/>
          <w:szCs w:val="32"/>
          <w:u w:val="single"/>
        </w:rPr>
        <w:t>邱玉彬</w:t>
      </w:r>
      <w:r>
        <w:rPr>
          <w:rFonts w:hint="eastAsia"/>
          <w:sz w:val="32"/>
          <w:szCs w:val="32"/>
          <w:u w:val="single"/>
        </w:rPr>
        <w:t xml:space="preserve">     </w:t>
      </w:r>
      <w:r>
        <w:rPr>
          <w:rFonts w:eastAsia="黑体" w:hint="eastAsia"/>
          <w:b/>
          <w:sz w:val="32"/>
        </w:rPr>
        <w:t xml:space="preserve"> 编制日期：</w:t>
      </w:r>
      <w:r>
        <w:rPr>
          <w:rFonts w:eastAsia="黑体" w:hint="eastAsia"/>
          <w:sz w:val="28"/>
          <w:u w:val="single"/>
          <w:lang w:eastAsia="zh-CN"/>
        </w:rPr>
        <w:t>201</w:t>
      </w:r>
      <w:r>
        <w:rPr>
          <w:rFonts w:hint="eastAsia"/>
          <w:sz w:val="28"/>
          <w:u w:val="single"/>
        </w:rPr>
        <w:t>7年12月14日</w:t>
      </w:r>
      <w:r>
        <w:rPr>
          <w:rFonts w:hint="eastAsia"/>
          <w:sz w:val="28"/>
        </w:rPr>
        <w:t xml:space="preserve">     </w:t>
      </w:r>
    </w:p>
    <w:p>
      <w:pPr>
        <w:spacing w:line="800" w:lineRule="exact"/>
        <w:rPr>
          <w:rFonts w:hint="eastAsia"/>
          <w:sz w:val="32"/>
          <w:szCs w:val="32"/>
        </w:rPr>
      </w:pPr>
      <w:r>
        <w:rPr>
          <w:rFonts w:eastAsia="黑体" w:hint="eastAsia"/>
          <w:b/>
          <w:sz w:val="32"/>
        </w:rPr>
        <w:t>审批负责人：</w:t>
      </w:r>
      <w:r>
        <w:rPr>
          <w:rFonts w:hint="eastAsia"/>
          <w:sz w:val="32"/>
          <w:szCs w:val="32"/>
          <w:u w:val="single"/>
        </w:rPr>
        <w:t xml:space="preserve">            </w:t>
      </w:r>
      <w:r>
        <w:rPr>
          <w:rFonts w:hint="eastAsia"/>
          <w:sz w:val="32"/>
          <w:szCs w:val="32"/>
        </w:rPr>
        <w:t xml:space="preserve"> </w:t>
      </w:r>
      <w:r>
        <w:rPr>
          <w:rFonts w:eastAsia="黑体" w:hint="eastAsia"/>
          <w:b/>
          <w:sz w:val="32"/>
        </w:rPr>
        <w:t>审批日期：</w:t>
      </w:r>
      <w:r>
        <w:rPr>
          <w:rFonts w:hint="eastAsia"/>
          <w:sz w:val="32"/>
          <w:szCs w:val="32"/>
          <w:u w:val="single"/>
        </w:rPr>
        <w:t xml:space="preserve">             </w:t>
      </w:r>
    </w:p>
    <w:p>
      <w:pPr>
        <w:rPr>
          <w:rFonts w:hint="eastAsia"/>
        </w:rPr>
        <w:sectPr>
          <w:headerReference w:type="default" r:id="rId4"/>
          <w:footerReference w:type="default" r:id="rId5"/>
          <w:pgSz w:w="11906" w:h="16838"/>
          <w:pgMar w:top="1701" w:right="1531" w:bottom="1418" w:left="1531" w:header="964" w:footer="851" w:gutter="0"/>
          <w:pgNumType w:start="1"/>
          <w:cols w:space="708"/>
          <w:docGrid w:type="linesAndChars" w:linePitch="312"/>
        </w:sectPr>
      </w:pPr>
    </w:p>
    <w:p>
      <w:pPr>
        <w:jc w:val="center"/>
        <w:rPr>
          <w:rFonts w:ascii="宋体" w:hAnsi="宋体" w:hint="eastAsia"/>
          <w:b/>
          <w:sz w:val="44"/>
        </w:rPr>
      </w:pPr>
      <w:r>
        <w:rPr>
          <w:rFonts w:ascii="宋体" w:hAnsi="宋体" w:hint="eastAsia"/>
          <w:b/>
          <w:sz w:val="44"/>
        </w:rPr>
        <w:t>目  录</w:t>
      </w:r>
    </w:p>
    <w:p>
      <w:pPr>
        <w:jc w:val="center"/>
        <w:rPr>
          <w:rFonts w:ascii="宋体" w:hAnsi="宋体" w:hint="eastAsia"/>
          <w:b/>
          <w:sz w:val="44"/>
        </w:rPr>
      </w:pPr>
    </w:p>
    <w:p>
      <w:pPr>
        <w:rPr>
          <w:rFonts w:ascii="新宋体" w:eastAsia="新宋体" w:hAnsi="新宋体" w:hint="eastAsia"/>
          <w:sz w:val="32"/>
          <w:szCs w:val="32"/>
        </w:rPr>
      </w:pPr>
      <w:r>
        <w:rPr>
          <w:rFonts w:ascii="新宋体" w:eastAsia="新宋体" w:hAnsi="新宋体" w:hint="eastAsia"/>
          <w:sz w:val="32"/>
          <w:szCs w:val="32"/>
        </w:rPr>
        <w:t>一、 工程概况及特点</w:t>
      </w:r>
      <w:r>
        <w:rPr>
          <w:rFonts w:ascii="新宋体" w:eastAsia="新宋体" w:hAnsi="新宋体" w:hint="eastAsia"/>
          <w:sz w:val="32"/>
          <w:szCs w:val="32"/>
        </w:rPr>
        <w:t>…………………………………………</w:t>
      </w:r>
      <w:r>
        <w:rPr>
          <w:rFonts w:ascii="新宋体" w:eastAsia="新宋体" w:hAnsi="新宋体" w:hint="eastAsia"/>
          <w:sz w:val="32"/>
          <w:szCs w:val="32"/>
        </w:rPr>
        <w:t>3</w:t>
      </w:r>
    </w:p>
    <w:p>
      <w:pPr>
        <w:rPr>
          <w:rFonts w:ascii="新宋体" w:eastAsia="新宋体" w:hAnsi="新宋体" w:hint="eastAsia"/>
          <w:sz w:val="32"/>
          <w:szCs w:val="32"/>
        </w:rPr>
      </w:pPr>
      <w:r>
        <w:rPr>
          <w:rFonts w:ascii="新宋体" w:eastAsia="新宋体" w:hAnsi="新宋体" w:hint="eastAsia"/>
          <w:sz w:val="32"/>
          <w:szCs w:val="32"/>
        </w:rPr>
        <w:t>二、 施工准备</w:t>
      </w:r>
      <w:r>
        <w:rPr>
          <w:rFonts w:ascii="新宋体" w:eastAsia="新宋体" w:hAnsi="新宋体" w:hint="eastAsia"/>
          <w:sz w:val="32"/>
          <w:szCs w:val="32"/>
        </w:rPr>
        <w:t>…………………………………………………</w:t>
      </w:r>
      <w:r>
        <w:rPr>
          <w:rFonts w:ascii="新宋体" w:eastAsia="新宋体" w:hAnsi="新宋体" w:hint="eastAsia"/>
          <w:sz w:val="32"/>
          <w:szCs w:val="32"/>
        </w:rPr>
        <w:t>3</w:t>
      </w:r>
    </w:p>
    <w:p>
      <w:pPr>
        <w:rPr>
          <w:rFonts w:ascii="新宋体" w:eastAsia="新宋体" w:hAnsi="新宋体" w:hint="eastAsia"/>
          <w:sz w:val="32"/>
          <w:szCs w:val="32"/>
        </w:rPr>
      </w:pPr>
      <w:r>
        <w:rPr>
          <w:rFonts w:ascii="新宋体" w:eastAsia="新宋体" w:hAnsi="新宋体" w:hint="eastAsia"/>
          <w:sz w:val="32"/>
          <w:szCs w:val="32"/>
        </w:rPr>
        <w:t>三、 施工总体安排</w:t>
      </w:r>
      <w:r>
        <w:rPr>
          <w:rFonts w:ascii="新宋体" w:eastAsia="新宋体" w:hAnsi="新宋体" w:hint="eastAsia"/>
          <w:sz w:val="32"/>
          <w:szCs w:val="32"/>
        </w:rPr>
        <w:t>……………………………………………</w:t>
      </w:r>
      <w:r>
        <w:rPr>
          <w:rFonts w:ascii="新宋体" w:eastAsia="新宋体" w:hAnsi="新宋体" w:hint="eastAsia"/>
          <w:sz w:val="32"/>
          <w:szCs w:val="32"/>
        </w:rPr>
        <w:t>5</w:t>
      </w:r>
    </w:p>
    <w:p>
      <w:pPr>
        <w:rPr>
          <w:rFonts w:ascii="新宋体" w:eastAsia="新宋体" w:hAnsi="新宋体" w:hint="eastAsia"/>
          <w:sz w:val="32"/>
          <w:szCs w:val="32"/>
        </w:rPr>
      </w:pPr>
      <w:r>
        <w:rPr>
          <w:rFonts w:ascii="新宋体" w:eastAsia="新宋体" w:hAnsi="新宋体" w:hint="eastAsia"/>
          <w:sz w:val="32"/>
          <w:szCs w:val="32"/>
        </w:rPr>
        <w:t>四、 主要工序的施工方法</w:t>
      </w:r>
      <w:r>
        <w:rPr>
          <w:rFonts w:ascii="新宋体" w:eastAsia="新宋体" w:hAnsi="新宋体" w:hint="eastAsia"/>
          <w:sz w:val="32"/>
          <w:szCs w:val="32"/>
        </w:rPr>
        <w:t>……………………………………</w:t>
      </w:r>
      <w:r>
        <w:rPr>
          <w:rFonts w:ascii="新宋体" w:eastAsia="新宋体" w:hAnsi="新宋体" w:hint="eastAsia"/>
          <w:sz w:val="32"/>
          <w:szCs w:val="32"/>
        </w:rPr>
        <w:t>5</w:t>
      </w:r>
    </w:p>
    <w:p>
      <w:pPr>
        <w:rPr>
          <w:rFonts w:ascii="新宋体" w:eastAsia="新宋体" w:hAnsi="新宋体" w:hint="eastAsia"/>
          <w:sz w:val="32"/>
          <w:szCs w:val="32"/>
        </w:rPr>
      </w:pPr>
      <w:r>
        <w:rPr>
          <w:rFonts w:ascii="新宋体" w:eastAsia="新宋体" w:hAnsi="新宋体" w:hint="eastAsia"/>
          <w:sz w:val="32"/>
          <w:szCs w:val="32"/>
        </w:rPr>
        <w:t>五、 各项施工资源计划</w:t>
      </w:r>
      <w:r>
        <w:rPr>
          <w:rFonts w:ascii="新宋体" w:eastAsia="新宋体" w:hAnsi="新宋体" w:hint="eastAsia"/>
          <w:sz w:val="32"/>
          <w:szCs w:val="32"/>
        </w:rPr>
        <w:t>………………………………………</w:t>
      </w:r>
      <w:r>
        <w:rPr>
          <w:rFonts w:ascii="新宋体" w:eastAsia="新宋体" w:hAnsi="新宋体" w:hint="eastAsia"/>
          <w:sz w:val="32"/>
          <w:szCs w:val="32"/>
        </w:rPr>
        <w:t>11</w:t>
      </w:r>
    </w:p>
    <w:p>
      <w:pPr>
        <w:rPr>
          <w:rFonts w:ascii="新宋体" w:eastAsia="新宋体" w:hAnsi="新宋体" w:hint="eastAsia"/>
          <w:sz w:val="32"/>
          <w:szCs w:val="32"/>
        </w:rPr>
      </w:pPr>
      <w:r>
        <w:rPr>
          <w:rFonts w:ascii="新宋体" w:eastAsia="新宋体" w:hAnsi="新宋体" w:hint="eastAsia"/>
          <w:sz w:val="32"/>
          <w:szCs w:val="32"/>
        </w:rPr>
        <w:t>六、 施工质量保证措施</w:t>
      </w:r>
      <w:r>
        <w:rPr>
          <w:rFonts w:ascii="新宋体" w:eastAsia="新宋体" w:hAnsi="新宋体" w:hint="eastAsia"/>
          <w:sz w:val="32"/>
          <w:szCs w:val="32"/>
        </w:rPr>
        <w:t>………………………………………</w:t>
      </w:r>
      <w:r>
        <w:rPr>
          <w:rFonts w:ascii="新宋体" w:eastAsia="新宋体" w:hAnsi="新宋体" w:hint="eastAsia"/>
          <w:sz w:val="32"/>
          <w:szCs w:val="32"/>
        </w:rPr>
        <w:t>11</w:t>
      </w:r>
    </w:p>
    <w:p>
      <w:pPr>
        <w:rPr>
          <w:rFonts w:ascii="新宋体" w:eastAsia="新宋体" w:hAnsi="新宋体" w:hint="eastAsia"/>
          <w:sz w:val="32"/>
          <w:szCs w:val="32"/>
        </w:rPr>
      </w:pPr>
      <w:r>
        <w:rPr>
          <w:rFonts w:ascii="新宋体" w:eastAsia="新宋体" w:hAnsi="新宋体" w:hint="eastAsia"/>
          <w:sz w:val="32"/>
          <w:szCs w:val="32"/>
        </w:rPr>
        <w:t>七、 消除质量通病的具体措施</w:t>
      </w:r>
      <w:r>
        <w:rPr>
          <w:rFonts w:ascii="新宋体" w:eastAsia="新宋体" w:hAnsi="新宋体" w:hint="eastAsia"/>
          <w:sz w:val="32"/>
          <w:szCs w:val="32"/>
        </w:rPr>
        <w:t>………………………………</w:t>
      </w:r>
      <w:r>
        <w:rPr>
          <w:rFonts w:ascii="新宋体" w:eastAsia="新宋体" w:hAnsi="新宋体" w:hint="eastAsia"/>
          <w:sz w:val="32"/>
          <w:szCs w:val="32"/>
        </w:rPr>
        <w:t>13</w:t>
      </w:r>
    </w:p>
    <w:p>
      <w:pPr>
        <w:rPr>
          <w:rFonts w:ascii="新宋体" w:eastAsia="新宋体" w:hAnsi="新宋体" w:hint="eastAsia"/>
          <w:sz w:val="32"/>
          <w:szCs w:val="32"/>
        </w:rPr>
      </w:pPr>
      <w:r>
        <w:rPr>
          <w:rFonts w:ascii="新宋体" w:eastAsia="新宋体" w:hAnsi="新宋体" w:hint="eastAsia"/>
          <w:sz w:val="32"/>
          <w:szCs w:val="32"/>
        </w:rPr>
        <w:t>八、 施工安全措施</w:t>
      </w:r>
      <w:r>
        <w:rPr>
          <w:rFonts w:ascii="新宋体" w:eastAsia="新宋体" w:hAnsi="新宋体" w:hint="eastAsia"/>
          <w:sz w:val="32"/>
          <w:szCs w:val="32"/>
        </w:rPr>
        <w:t>……………………………………………</w:t>
      </w:r>
      <w:r>
        <w:rPr>
          <w:rFonts w:ascii="新宋体" w:eastAsia="新宋体" w:hAnsi="新宋体" w:hint="eastAsia"/>
          <w:sz w:val="32"/>
          <w:szCs w:val="32"/>
        </w:rPr>
        <w:t>14</w:t>
      </w:r>
    </w:p>
    <w:p>
      <w:pPr>
        <w:pStyle w:val="BodyText"/>
        <w:rPr>
          <w:rFonts w:hint="eastAsia"/>
        </w:rPr>
      </w:pPr>
      <w:bookmarkStart w:id="0" w:name="_Toc96961377"/>
    </w:p>
    <w:p>
      <w:pPr>
        <w:pStyle w:val="BodyText"/>
        <w:rPr>
          <w:rFonts w:hint="eastAsia"/>
        </w:rPr>
      </w:pPr>
    </w:p>
    <w:p>
      <w:pPr>
        <w:pStyle w:val="BodyText"/>
        <w:rPr>
          <w:rFonts w:hint="eastAsia"/>
        </w:rPr>
      </w:pPr>
    </w:p>
    <w:p>
      <w:pPr>
        <w:pStyle w:val="BodyText"/>
        <w:rPr>
          <w:rFonts w:hint="eastAsia"/>
        </w:rPr>
      </w:pPr>
    </w:p>
    <w:p>
      <w:pPr>
        <w:pStyle w:val="BodyText"/>
        <w:rPr>
          <w:rFonts w:hint="eastAsia"/>
        </w:rPr>
      </w:pPr>
    </w:p>
    <w:p>
      <w:pPr>
        <w:pStyle w:val="BodyText"/>
        <w:rPr>
          <w:rFonts w:hint="eastAsia"/>
        </w:rPr>
      </w:pPr>
    </w:p>
    <w:p>
      <w:pPr>
        <w:pStyle w:val="BodyText"/>
        <w:rPr>
          <w:rFonts w:hint="eastAsia"/>
        </w:rPr>
      </w:pPr>
    </w:p>
    <w:p>
      <w:pPr>
        <w:pStyle w:val="BodyText"/>
        <w:rPr>
          <w:rFonts w:hint="eastAsia"/>
        </w:rPr>
      </w:pPr>
    </w:p>
    <w:p>
      <w:pPr>
        <w:pStyle w:val="BodyText"/>
        <w:rPr>
          <w:rFonts w:hint="eastAsia"/>
        </w:rPr>
      </w:pPr>
    </w:p>
    <w:p>
      <w:pPr>
        <w:pStyle w:val="BodyText"/>
        <w:rPr>
          <w:rFonts w:hint="eastAsia"/>
        </w:rPr>
      </w:pPr>
    </w:p>
    <w:p>
      <w:pPr>
        <w:pStyle w:val="BodyText"/>
        <w:rPr>
          <w:rFonts w:hint="eastAsia"/>
        </w:rPr>
      </w:pPr>
    </w:p>
    <w:p>
      <w:pPr>
        <w:pStyle w:val="BodyText"/>
        <w:rPr>
          <w:rFonts w:hint="eastAsia"/>
        </w:rPr>
      </w:pPr>
    </w:p>
    <w:p>
      <w:pPr>
        <w:pStyle w:val="BodyText"/>
        <w:rPr>
          <w:rFonts w:hint="eastAsia"/>
        </w:rPr>
        <w:sectPr>
          <w:headerReference w:type="default" r:id="rId6"/>
          <w:footerReference w:type="default" r:id="rId7"/>
          <w:pgSz w:w="11906" w:h="16838"/>
          <w:pgMar w:top="312" w:right="1418" w:bottom="623" w:left="1531" w:header="964" w:footer="992" w:gutter="0"/>
          <w:pgNumType w:start="2"/>
          <w:cols w:space="708"/>
          <w:docGrid w:type="lines" w:linePitch="312"/>
        </w:sectPr>
      </w:pPr>
    </w:p>
    <w:p>
      <w:pPr>
        <w:pStyle w:val="BodyText"/>
        <w:rPr>
          <w:rFonts w:hint="eastAsia"/>
          <w:b/>
          <w:sz w:val="36"/>
          <w:szCs w:val="36"/>
        </w:rPr>
      </w:pPr>
      <w:r>
        <w:rPr>
          <w:rFonts w:hint="eastAsia"/>
          <w:b/>
          <w:sz w:val="36"/>
          <w:szCs w:val="36"/>
        </w:rPr>
        <w:t>一、工程概况及特点</w:t>
      </w:r>
    </w:p>
    <w:p>
      <w:pPr>
        <w:spacing w:line="360" w:lineRule="auto"/>
        <w:rPr>
          <w:rFonts w:ascii="宋体" w:hAnsi="宋体" w:hint="eastAsia"/>
          <w:b/>
          <w:sz w:val="28"/>
        </w:rPr>
      </w:pPr>
      <w:r>
        <w:rPr>
          <w:rFonts w:ascii="宋体" w:hAnsi="宋体" w:hint="eastAsia"/>
          <w:b/>
          <w:sz w:val="28"/>
        </w:rPr>
        <w:t>1</w:t>
      </w:r>
      <w:r>
        <w:rPr>
          <w:rFonts w:ascii="宋体" w:hAnsi="宋体"/>
          <w:b/>
          <w:sz w:val="28"/>
        </w:rPr>
        <w:t xml:space="preserve">.1 </w:t>
      </w:r>
      <w:r>
        <w:rPr>
          <w:rFonts w:ascii="宋体" w:hAnsi="宋体" w:hint="eastAsia"/>
          <w:b/>
          <w:sz w:val="28"/>
        </w:rPr>
        <w:t>工程概况</w:t>
      </w:r>
      <w:bookmarkEnd w:id="0"/>
    </w:p>
    <w:p>
      <w:pPr>
        <w:ind w:firstLine="561"/>
        <w:rPr>
          <w:rFonts w:hint="eastAsia"/>
        </w:rPr>
      </w:pPr>
      <w:r>
        <w:rPr>
          <w:rFonts w:hint="eastAsia"/>
          <w:sz w:val="28"/>
        </w:rPr>
        <w:t>本工程地基与基础工程主要包括如下项目：避雷器支架及基础1组、电容式电压互感器支架及基础3个、隔离开关支架及基础3组、电流互感器基础1组、断路器基础1座、110kV中间构架及基础1组、旁路母线构架及基础2组、端子箱基础1个、#3主变压器基础1个、#3主变构架及基础1组、中性点支架及基础1个、母线桥支架及基础4个、#3主变防火墙1道；户外电容器基础6组、配电室1间、400*400电缆沟65m、800*800电缆沟60m、2*1</w:t>
      </w:r>
      <w:r>
        <w:rPr>
          <w:rFonts w:hint="eastAsia"/>
          <w:sz w:val="28"/>
          <w:lang w:eastAsia="zh-CN"/>
        </w:rPr>
        <w:t>201</w:t>
      </w:r>
      <w:r>
        <w:rPr>
          <w:rFonts w:hint="eastAsia"/>
          <w:sz w:val="28"/>
        </w:rPr>
        <w:t>*1000电缆沟75m及部分</w:t>
      </w:r>
      <w:r>
        <w:rPr>
          <w:rFonts w:hint="eastAsia"/>
          <w:sz w:val="28"/>
          <w:lang w:eastAsia="zh-CN"/>
        </w:rPr>
        <w:t>201</w:t>
      </w:r>
      <w:r>
        <w:rPr>
          <w:rFonts w:hint="eastAsia"/>
          <w:sz w:val="28"/>
        </w:rPr>
        <w:t>*</w:t>
      </w:r>
      <w:r>
        <w:rPr>
          <w:rFonts w:hint="eastAsia"/>
          <w:sz w:val="28"/>
          <w:lang w:eastAsia="zh-CN"/>
        </w:rPr>
        <w:t>201</w:t>
      </w:r>
      <w:r>
        <w:rPr>
          <w:rFonts w:hint="eastAsia"/>
          <w:sz w:val="28"/>
        </w:rPr>
        <w:t>电缆沟等。</w:t>
      </w:r>
    </w:p>
    <w:p>
      <w:pPr>
        <w:spacing w:line="360" w:lineRule="auto"/>
        <w:rPr>
          <w:rFonts w:ascii="宋体" w:hAnsi="宋体" w:hint="eastAsia"/>
          <w:b/>
          <w:sz w:val="28"/>
        </w:rPr>
      </w:pPr>
      <w:bookmarkStart w:id="1" w:name="_Toc96961378"/>
      <w:r>
        <w:rPr>
          <w:rFonts w:ascii="宋体" w:hAnsi="宋体"/>
          <w:b/>
          <w:sz w:val="28"/>
        </w:rPr>
        <w:t>1.2</w:t>
      </w:r>
      <w:r>
        <w:rPr>
          <w:rFonts w:ascii="宋体" w:hAnsi="宋体" w:hint="eastAsia"/>
          <w:b/>
          <w:sz w:val="28"/>
        </w:rPr>
        <w:t>工程特点</w:t>
      </w:r>
      <w:bookmarkEnd w:id="1"/>
    </w:p>
    <w:p>
      <w:pPr>
        <w:ind w:firstLine="561"/>
        <w:rPr>
          <w:rFonts w:hint="eastAsia"/>
          <w:sz w:val="28"/>
        </w:rPr>
      </w:pPr>
      <w:r>
        <w:rPr>
          <w:rFonts w:hint="eastAsia"/>
          <w:sz w:val="28"/>
        </w:rPr>
        <w:t>本期扩建工程均近距离带电设备，施工时应在确保安全的情况下进行施工。</w:t>
      </w:r>
    </w:p>
    <w:p>
      <w:pPr>
        <w:pStyle w:val="PlainText"/>
        <w:ind w:firstLine="600"/>
        <w:rPr>
          <w:rFonts w:ascii="Times New Roman" w:hAnsi="Times New Roman" w:hint="eastAsia"/>
          <w:bCs/>
          <w:sz w:val="30"/>
        </w:rPr>
      </w:pPr>
      <w:bookmarkStart w:id="2" w:name="_Toc96961379"/>
      <w:bookmarkStart w:id="3" w:name="_Toc67396823"/>
      <w:r>
        <w:rPr>
          <w:rFonts w:ascii="Times New Roman" w:hAnsi="Times New Roman" w:hint="eastAsia"/>
          <w:bCs/>
          <w:sz w:val="30"/>
        </w:rPr>
        <w:t>工程10千伏配电室、主变基础构架及电容器设备基础采用</w:t>
      </w:r>
      <w:r>
        <w:rPr>
          <w:rFonts w:ascii="Times New Roman" w:hAnsi="Times New Roman" w:hint="eastAsia"/>
          <w:bCs/>
          <w:sz w:val="30"/>
        </w:rPr>
        <w:t>φ</w:t>
      </w:r>
      <w:r>
        <w:rPr>
          <w:rFonts w:ascii="Times New Roman" w:hAnsi="Times New Roman" w:hint="eastAsia"/>
          <w:bCs/>
          <w:sz w:val="30"/>
        </w:rPr>
        <w:t>500水泥搅拌桩对地基进行处理加固，其余设备基础采取换土处理，换填3：7砂石1米厚；2*1</w:t>
      </w:r>
      <w:r>
        <w:rPr>
          <w:rFonts w:ascii="Times New Roman" w:hAnsi="Times New Roman" w:hint="eastAsia"/>
          <w:bCs/>
          <w:sz w:val="30"/>
          <w:lang w:eastAsia="zh-CN"/>
        </w:rPr>
        <w:t>201</w:t>
      </w:r>
      <w:r>
        <w:rPr>
          <w:rFonts w:ascii="Times New Roman" w:hAnsi="Times New Roman" w:hint="eastAsia"/>
          <w:bCs/>
          <w:sz w:val="30"/>
        </w:rPr>
        <w:t>*1000电缆沟底换填块石基础500厚；400*400电缆沟、800*800电缆沟沟底换填3：7砂石500厚。水泥搅拌桩使用的固化剂为普通硅酸盐水泥，强度等级为32.5R，掺入量为15%。具体施工方法另详水泥搅拌桩专项施工方案。</w:t>
      </w:r>
    </w:p>
    <w:p>
      <w:pPr>
        <w:pStyle w:val="BodyText"/>
        <w:rPr>
          <w:rFonts w:hint="eastAsia"/>
          <w:b/>
          <w:sz w:val="36"/>
          <w:szCs w:val="36"/>
        </w:rPr>
      </w:pPr>
      <w:r>
        <w:rPr>
          <w:rFonts w:hint="eastAsia"/>
          <w:b/>
          <w:sz w:val="36"/>
          <w:szCs w:val="36"/>
        </w:rPr>
        <w:t>二、施工</w:t>
      </w:r>
      <w:bookmarkEnd w:id="2"/>
      <w:bookmarkEnd w:id="3"/>
      <w:r>
        <w:rPr>
          <w:rFonts w:hint="eastAsia"/>
          <w:b/>
          <w:sz w:val="36"/>
          <w:szCs w:val="36"/>
        </w:rPr>
        <w:t>准备</w:t>
      </w:r>
    </w:p>
    <w:p>
      <w:pPr>
        <w:spacing w:line="360" w:lineRule="auto"/>
        <w:rPr>
          <w:rFonts w:ascii="宋体" w:hAnsi="宋体" w:hint="eastAsia"/>
          <w:b/>
          <w:sz w:val="28"/>
        </w:rPr>
      </w:pPr>
      <w:bookmarkStart w:id="4" w:name="_Toc103517218"/>
      <w:bookmarkStart w:id="5" w:name="_Toc96961380"/>
      <w:bookmarkStart w:id="6" w:name="_Toc67396824"/>
      <w:r>
        <w:rPr>
          <w:rFonts w:ascii="宋体" w:hAnsi="宋体" w:hint="eastAsia"/>
          <w:b/>
          <w:sz w:val="28"/>
        </w:rPr>
        <w:t>2.1 技术准备</w:t>
      </w:r>
      <w:bookmarkEnd w:id="4"/>
    </w:p>
    <w:p>
      <w:pPr>
        <w:spacing w:line="360" w:lineRule="auto"/>
        <w:ind w:left="420" w:hanging="420" w:hangingChars="150"/>
        <w:rPr>
          <w:rFonts w:ascii="宋体" w:hAnsi="宋体" w:hint="eastAsia"/>
          <w:sz w:val="28"/>
        </w:rPr>
      </w:pPr>
      <w:r>
        <w:rPr>
          <w:rFonts w:ascii="宋体" w:hAnsi="宋体" w:hint="eastAsia"/>
          <w:sz w:val="28"/>
        </w:rPr>
        <w:t>1、组织施工技术人员熟悉图纸、施工工艺及有关技术规范，了解设计要求达到的技术标准、明确工艺流程。</w:t>
      </w:r>
    </w:p>
    <w:p>
      <w:pPr>
        <w:spacing w:line="380" w:lineRule="exact"/>
        <w:ind w:left="560" w:hanging="560" w:hangingChars="200"/>
        <w:jc w:val="left"/>
        <w:rPr>
          <w:rFonts w:hint="eastAsia"/>
          <w:sz w:val="28"/>
          <w:szCs w:val="28"/>
        </w:rPr>
        <w:sectPr>
          <w:headerReference w:type="default" r:id="rId8"/>
          <w:footerReference w:type="default" r:id="rId9"/>
          <w:type w:val="nextPage"/>
          <w:pgSz w:w="11906" w:h="16838"/>
          <w:pgMar w:top="312" w:right="1418" w:bottom="623" w:left="1531" w:header="964" w:footer="992" w:gutter="0"/>
          <w:pgNumType w:start="3"/>
          <w:cols w:space="708"/>
          <w:titlePg w:val="0"/>
          <w:docGrid w:type="lines" w:linePitch="312"/>
        </w:sectPr>
      </w:pPr>
      <w:r>
        <w:rPr>
          <w:rFonts w:ascii="宋体" w:hAnsi="宋体" w:hint="eastAsia"/>
          <w:sz w:val="28"/>
        </w:rPr>
        <w:t>2、</w:t>
      </w:r>
    </w:p>
    <w:p>
      <w:pPr>
        <w:spacing w:line="380" w:lineRule="exact"/>
        <w:ind w:left="560" w:hanging="560" w:hangingChars="200"/>
        <w:jc w:val="left"/>
        <w:rPr>
          <w:rFonts w:hint="eastAsia"/>
          <w:sz w:val="28"/>
          <w:szCs w:val="28"/>
        </w:rPr>
      </w:pPr>
      <w:r>
        <w:rPr>
          <w:rFonts w:hint="eastAsia"/>
          <w:sz w:val="28"/>
          <w:szCs w:val="28"/>
        </w:rPr>
        <w:t>将编制好且通过审批的《施工方案》作为作业指导书，与施工人员进行技术交底、组织人员学习。</w:t>
      </w:r>
    </w:p>
    <w:p>
      <w:pPr>
        <w:spacing w:line="360" w:lineRule="auto"/>
        <w:rPr>
          <w:rFonts w:ascii="宋体" w:hAnsi="宋体" w:hint="eastAsia"/>
          <w:sz w:val="28"/>
        </w:rPr>
      </w:pPr>
      <w:r>
        <w:rPr>
          <w:rFonts w:ascii="宋体" w:hAnsi="宋体" w:hint="eastAsia"/>
          <w:sz w:val="28"/>
        </w:rPr>
        <w:t>3、对施工人员进行安全技术交底，做好充分的安全技术准备工作。</w:t>
      </w:r>
    </w:p>
    <w:p>
      <w:pPr>
        <w:spacing w:line="360" w:lineRule="auto"/>
        <w:ind w:left="560" w:hanging="560" w:hangingChars="200"/>
        <w:rPr>
          <w:rFonts w:ascii="宋体" w:hAnsi="宋体" w:hint="eastAsia"/>
          <w:sz w:val="28"/>
        </w:rPr>
      </w:pPr>
      <w:r>
        <w:rPr>
          <w:rFonts w:ascii="宋体" w:hAnsi="宋体" w:hint="eastAsia"/>
          <w:sz w:val="28"/>
        </w:rPr>
        <w:t>4、了解施工现场的现状，对地下原有管线、电缆进行拆迁或保护措施及对原有设备进行保护。</w:t>
      </w:r>
    </w:p>
    <w:p>
      <w:pPr>
        <w:spacing w:line="360" w:lineRule="auto"/>
        <w:rPr>
          <w:rFonts w:ascii="宋体" w:hAnsi="宋体" w:hint="eastAsia"/>
          <w:sz w:val="28"/>
        </w:rPr>
      </w:pPr>
      <w:r>
        <w:rPr>
          <w:rFonts w:ascii="宋体" w:hAnsi="宋体" w:hint="eastAsia"/>
          <w:sz w:val="28"/>
        </w:rPr>
        <w:t>5、根据要求放线，并经过检查复线，办好放线签证手续。</w:t>
      </w:r>
    </w:p>
    <w:p>
      <w:pPr>
        <w:pStyle w:val="Heading2"/>
        <w:spacing w:before="120" w:after="120" w:line="500" w:lineRule="exact"/>
        <w:rPr>
          <w:rFonts w:ascii="宋体" w:eastAsia="宋体" w:hAnsi="宋体" w:hint="eastAsia"/>
          <w:sz w:val="28"/>
          <w:szCs w:val="24"/>
        </w:rPr>
      </w:pPr>
      <w:bookmarkStart w:id="7" w:name="_Toc103517219"/>
      <w:r>
        <w:rPr>
          <w:rFonts w:ascii="宋体" w:eastAsia="宋体" w:hAnsi="宋体" w:hint="eastAsia"/>
          <w:bCs w:val="0"/>
          <w:sz w:val="28"/>
          <w:szCs w:val="24"/>
        </w:rPr>
        <w:t>2.2、施工材料准备</w:t>
      </w:r>
      <w:bookmarkEnd w:id="7"/>
    </w:p>
    <w:p>
      <w:pPr>
        <w:ind w:left="280" w:hanging="280" w:hangingChars="100"/>
        <w:rPr>
          <w:rFonts w:ascii="宋体" w:hAnsi="宋体" w:hint="eastAsia"/>
          <w:sz w:val="28"/>
        </w:rPr>
      </w:pPr>
      <w:r>
        <w:rPr>
          <w:rFonts w:ascii="宋体" w:hAnsi="宋体" w:hint="eastAsia"/>
          <w:sz w:val="28"/>
        </w:rPr>
        <w:t>1、根据实际情况，对扩建的设备基础中所需要的各种物资资源的生产和供应情况、价格、质量品种及运输路线等进行详细调查。</w:t>
      </w:r>
    </w:p>
    <w:p>
      <w:pPr>
        <w:ind w:left="420" w:hanging="420" w:hangingChars="150"/>
        <w:rPr>
          <w:rFonts w:ascii="宋体" w:hAnsi="宋体" w:hint="eastAsia"/>
          <w:sz w:val="28"/>
        </w:rPr>
      </w:pPr>
      <w:r>
        <w:rPr>
          <w:rFonts w:ascii="宋体" w:hAnsi="宋体" w:hint="eastAsia"/>
          <w:sz w:val="28"/>
        </w:rPr>
        <w:t>2、根据施工预算中的工料分析，编制工程所需要的材料用量计划及进场计划，作为备料、供料工作和确定堆场面积及运输依据。</w:t>
      </w:r>
    </w:p>
    <w:p>
      <w:pPr>
        <w:ind w:left="420" w:hanging="420" w:hangingChars="150"/>
        <w:rPr>
          <w:rFonts w:ascii="宋体" w:hAnsi="宋体" w:hint="eastAsia"/>
          <w:sz w:val="28"/>
        </w:rPr>
      </w:pPr>
      <w:r>
        <w:rPr>
          <w:rFonts w:ascii="宋体" w:hAnsi="宋体" w:hint="eastAsia"/>
          <w:sz w:val="28"/>
        </w:rPr>
        <w:t>3、根据材料需用量计划，做好材料的申请、订货和采购工作，使计划得到落实。</w:t>
      </w:r>
    </w:p>
    <w:p>
      <w:pPr>
        <w:ind w:left="420" w:hanging="420" w:hangingChars="150"/>
        <w:rPr>
          <w:rFonts w:ascii="宋体" w:hAnsi="宋体" w:hint="eastAsia"/>
          <w:sz w:val="28"/>
        </w:rPr>
      </w:pPr>
      <w:r>
        <w:rPr>
          <w:rFonts w:ascii="宋体" w:hAnsi="宋体" w:hint="eastAsia"/>
          <w:sz w:val="28"/>
        </w:rPr>
        <w:t>4、根据材料需用量计划做好构配件及材料的加工工作，并按现场的实际情况做好堆放和保管工作。</w:t>
      </w:r>
    </w:p>
    <w:p>
      <w:pPr>
        <w:pStyle w:val="Heading2"/>
        <w:spacing w:before="120" w:after="120" w:line="500" w:lineRule="exact"/>
        <w:rPr>
          <w:rFonts w:ascii="宋体" w:eastAsia="宋体" w:hAnsi="宋体" w:hint="eastAsia"/>
          <w:sz w:val="30"/>
        </w:rPr>
      </w:pPr>
      <w:r>
        <w:rPr>
          <w:rFonts w:ascii="宋体" w:eastAsia="宋体" w:hAnsi="宋体" w:hint="eastAsia"/>
          <w:sz w:val="30"/>
        </w:rPr>
        <w:t>2.3、</w:t>
      </w:r>
      <w:r>
        <w:rPr>
          <w:rFonts w:ascii="宋体" w:eastAsia="宋体" w:hAnsi="宋体" w:hint="eastAsia"/>
          <w:bCs w:val="0"/>
          <w:sz w:val="28"/>
          <w:szCs w:val="24"/>
        </w:rPr>
        <w:t>安全技术准备</w:t>
      </w:r>
    </w:p>
    <w:p>
      <w:pPr>
        <w:ind w:left="420" w:hanging="420" w:hangingChars="150"/>
        <w:rPr>
          <w:rFonts w:ascii="宋体" w:hAnsi="宋体" w:hint="eastAsia"/>
          <w:sz w:val="28"/>
        </w:rPr>
      </w:pPr>
      <w:r>
        <w:rPr>
          <w:rFonts w:ascii="宋体" w:hAnsi="宋体" w:hint="eastAsia"/>
          <w:sz w:val="28"/>
        </w:rPr>
        <w:t>1、因设备基础部分与高压设备相对较近，工程施工时应将安全作为一项重点的工作来抓，在施工现场范围内，按安全及文明施工的有关规定搭设施工临时安全围栏、挂设安全警示牌。</w:t>
      </w:r>
    </w:p>
    <w:p>
      <w:pPr>
        <w:ind w:left="420" w:hanging="420" w:hangingChars="150"/>
        <w:rPr>
          <w:rFonts w:ascii="宋体" w:hAnsi="宋体" w:hint="eastAsia"/>
          <w:sz w:val="28"/>
        </w:rPr>
      </w:pPr>
      <w:r>
        <w:rPr>
          <w:rFonts w:ascii="宋体" w:hAnsi="宋体" w:hint="eastAsia"/>
          <w:sz w:val="28"/>
        </w:rPr>
        <w:t>2、对施工人员进行安全技术交底，明确在电站内施工的安全规定，了解有关带电设备的安全距离。</w:t>
      </w:r>
      <w:bookmarkEnd w:id="5"/>
      <w:bookmarkEnd w:id="6"/>
    </w:p>
    <w:p>
      <w:pPr>
        <w:pStyle w:val="BodyText3"/>
        <w:rPr>
          <w:rFonts w:hint="eastAsia"/>
          <w:b/>
          <w:sz w:val="32"/>
          <w:szCs w:val="32"/>
        </w:rPr>
      </w:pPr>
    </w:p>
    <w:p>
      <w:pPr>
        <w:pStyle w:val="BodyText3"/>
        <w:rPr>
          <w:rFonts w:hint="eastAsia"/>
          <w:b/>
          <w:sz w:val="32"/>
          <w:szCs w:val="32"/>
        </w:rPr>
      </w:pPr>
    </w:p>
    <w:p>
      <w:pPr>
        <w:pStyle w:val="BodyText3"/>
        <w:rPr>
          <w:rFonts w:hint="eastAsia"/>
          <w:b/>
          <w:sz w:val="32"/>
          <w:szCs w:val="32"/>
        </w:rPr>
        <w:sectPr>
          <w:headerReference w:type="default" r:id="rId10"/>
          <w:footerReference w:type="default" r:id="rId11"/>
          <w:type w:val="nextPage"/>
          <w:pgSz w:w="11906" w:h="16838"/>
          <w:pgMar w:top="312" w:right="1418" w:bottom="623" w:left="1531" w:header="964" w:footer="992" w:gutter="0"/>
          <w:pgNumType w:start="4"/>
          <w:cols w:space="708"/>
          <w:titlePg w:val="0"/>
          <w:docGrid w:type="lines" w:linePitch="312"/>
        </w:sectPr>
      </w:pPr>
    </w:p>
    <w:p>
      <w:pPr>
        <w:pStyle w:val="BodyText3"/>
        <w:rPr>
          <w:rFonts w:hint="eastAsia"/>
          <w:b/>
          <w:sz w:val="32"/>
          <w:szCs w:val="32"/>
        </w:rPr>
      </w:pPr>
      <w:r>
        <w:rPr>
          <w:rFonts w:hint="eastAsia"/>
          <w:b/>
          <w:sz w:val="32"/>
          <w:szCs w:val="32"/>
        </w:rPr>
        <w:t>三、施工总体安排</w:t>
      </w:r>
    </w:p>
    <w:p>
      <w:pPr>
        <w:pStyle w:val="Heading2"/>
        <w:spacing w:before="120" w:after="120" w:line="500" w:lineRule="exact"/>
        <w:ind w:firstLine="420" w:firstLineChars="150"/>
        <w:rPr>
          <w:rFonts w:ascii="宋体" w:eastAsia="宋体" w:hAnsi="宋体" w:hint="eastAsia"/>
          <w:sz w:val="28"/>
          <w:szCs w:val="24"/>
        </w:rPr>
      </w:pPr>
      <w:r>
        <w:rPr>
          <w:rFonts w:ascii="宋体" w:eastAsia="宋体" w:hAnsi="宋体" w:hint="eastAsia"/>
          <w:bCs w:val="0"/>
          <w:sz w:val="28"/>
          <w:szCs w:val="24"/>
        </w:rPr>
        <w:t>3.1施工顺序</w:t>
      </w:r>
    </w:p>
    <w:p>
      <w:pPr>
        <w:ind w:firstLine="560" w:firstLineChars="200"/>
        <w:rPr>
          <w:rFonts w:hint="eastAsia"/>
          <w:sz w:val="28"/>
          <w:szCs w:val="28"/>
        </w:rPr>
      </w:pPr>
      <w:r>
        <w:rPr>
          <w:rFonts w:hint="eastAsia"/>
          <w:sz w:val="28"/>
          <w:szCs w:val="28"/>
        </w:rPr>
        <w:t>见土建施工方案</w:t>
      </w:r>
    </w:p>
    <w:p>
      <w:pPr>
        <w:pStyle w:val="Heading2"/>
        <w:spacing w:before="120" w:after="120" w:line="500" w:lineRule="exact"/>
        <w:ind w:firstLine="420" w:firstLineChars="150"/>
        <w:rPr>
          <w:rFonts w:ascii="宋体" w:eastAsia="宋体" w:hAnsi="宋体" w:hint="eastAsia"/>
          <w:sz w:val="28"/>
          <w:szCs w:val="24"/>
        </w:rPr>
      </w:pPr>
      <w:bookmarkStart w:id="8" w:name="_Toc67396826"/>
      <w:bookmarkStart w:id="9" w:name="_Toc96961381"/>
      <w:r>
        <w:rPr>
          <w:rFonts w:ascii="宋体" w:eastAsia="宋体" w:hAnsi="宋体"/>
          <w:bCs w:val="0"/>
          <w:sz w:val="28"/>
          <w:szCs w:val="24"/>
        </w:rPr>
        <w:t>3</w:t>
      </w:r>
      <w:r>
        <w:rPr>
          <w:rFonts w:ascii="宋体" w:eastAsia="宋体" w:hAnsi="宋体" w:hint="eastAsia"/>
          <w:bCs w:val="0"/>
          <w:sz w:val="28"/>
          <w:szCs w:val="24"/>
        </w:rPr>
        <w:t>.2施工进度计划</w:t>
      </w:r>
    </w:p>
    <w:p>
      <w:pPr>
        <w:ind w:firstLine="560" w:firstLineChars="200"/>
        <w:rPr>
          <w:rFonts w:hint="eastAsia"/>
          <w:sz w:val="28"/>
          <w:szCs w:val="28"/>
        </w:rPr>
      </w:pPr>
      <w:r>
        <w:rPr>
          <w:rFonts w:hint="eastAsia"/>
          <w:sz w:val="28"/>
          <w:szCs w:val="28"/>
        </w:rPr>
        <w:t>见土建施工方案。</w:t>
      </w:r>
    </w:p>
    <w:p>
      <w:pPr>
        <w:pStyle w:val="BodyText3"/>
        <w:rPr>
          <w:rFonts w:hint="eastAsia"/>
          <w:b/>
          <w:sz w:val="32"/>
          <w:szCs w:val="32"/>
        </w:rPr>
      </w:pPr>
      <w:r>
        <w:rPr>
          <w:rFonts w:hint="eastAsia"/>
          <w:b/>
          <w:sz w:val="32"/>
          <w:szCs w:val="32"/>
        </w:rPr>
        <w:t>四、</w:t>
      </w:r>
      <w:r>
        <w:rPr>
          <w:b/>
          <w:sz w:val="32"/>
          <w:szCs w:val="32"/>
        </w:rPr>
        <w:t xml:space="preserve"> </w:t>
      </w:r>
      <w:r>
        <w:rPr>
          <w:rFonts w:hint="eastAsia"/>
          <w:b/>
          <w:sz w:val="32"/>
          <w:szCs w:val="32"/>
        </w:rPr>
        <w:t>主要工序的施工方</w:t>
      </w:r>
      <w:bookmarkEnd w:id="8"/>
      <w:bookmarkEnd w:id="9"/>
      <w:r>
        <w:rPr>
          <w:rFonts w:hint="eastAsia"/>
          <w:b/>
          <w:sz w:val="32"/>
          <w:szCs w:val="32"/>
        </w:rPr>
        <w:t>法</w:t>
      </w:r>
    </w:p>
    <w:p>
      <w:pPr>
        <w:pStyle w:val="Heading2"/>
        <w:spacing w:before="120" w:after="120" w:line="500" w:lineRule="exact"/>
        <w:ind w:firstLine="420" w:firstLineChars="150"/>
        <w:rPr>
          <w:rFonts w:ascii="宋体" w:eastAsia="宋体" w:hAnsi="宋体" w:hint="eastAsia"/>
          <w:sz w:val="28"/>
          <w:szCs w:val="24"/>
        </w:rPr>
      </w:pPr>
      <w:bookmarkStart w:id="10" w:name="_Toc96961382"/>
      <w:r>
        <w:rPr>
          <w:rFonts w:ascii="宋体" w:eastAsia="宋体" w:hAnsi="宋体" w:hint="eastAsia"/>
          <w:bCs w:val="0"/>
          <w:sz w:val="28"/>
          <w:szCs w:val="24"/>
        </w:rPr>
        <w:t>4.1土方工程</w:t>
      </w:r>
      <w:bookmarkEnd w:id="10"/>
    </w:p>
    <w:p>
      <w:pPr>
        <w:pStyle w:val="PlainText"/>
        <w:ind w:firstLine="600"/>
        <w:rPr>
          <w:rFonts w:ascii="Times New Roman" w:hAnsi="Times New Roman" w:hint="eastAsia"/>
          <w:sz w:val="30"/>
        </w:rPr>
      </w:pPr>
      <w:r>
        <w:rPr>
          <w:rFonts w:ascii="Times New Roman" w:hAnsi="Times New Roman" w:hint="eastAsia"/>
          <w:sz w:val="30"/>
        </w:rPr>
        <w:t>本工程主要有条形基础、电缆沟、户外构支架基础、设备基础、户外排油管道及检查井等地下构件需进行土方开挖；场地设备基础以原场地标高为</w:t>
      </w:r>
      <w:r>
        <w:rPr>
          <w:rFonts w:ascii="Times New Roman" w:hAnsi="Times New Roman" w:hint="eastAsia"/>
          <w:sz w:val="30"/>
        </w:rPr>
        <w:t>±</w:t>
      </w:r>
      <w:r>
        <w:rPr>
          <w:rFonts w:ascii="Times New Roman" w:hAnsi="Times New Roman" w:hint="eastAsia"/>
          <w:sz w:val="30"/>
        </w:rPr>
        <w:t>0.00；10千伏配电室以原#2高压室地面为</w:t>
      </w:r>
      <w:r>
        <w:rPr>
          <w:rFonts w:ascii="Times New Roman" w:hAnsi="Times New Roman" w:hint="eastAsia"/>
          <w:sz w:val="30"/>
        </w:rPr>
        <w:t>±</w:t>
      </w:r>
      <w:r>
        <w:rPr>
          <w:rFonts w:ascii="Times New Roman" w:hAnsi="Times New Roman" w:hint="eastAsia"/>
          <w:sz w:val="30"/>
        </w:rPr>
        <w:t>0.00；条形基础的底标高为-1.9米，基础梁面标高为-1.0。</w:t>
      </w:r>
    </w:p>
    <w:p>
      <w:pPr>
        <w:pStyle w:val="PlainText"/>
        <w:ind w:firstLine="600"/>
        <w:rPr>
          <w:rFonts w:hAnsi="Times New Roman" w:hint="eastAsia"/>
          <w:sz w:val="30"/>
        </w:rPr>
      </w:pPr>
      <w:r>
        <w:rPr>
          <w:rFonts w:ascii="Times New Roman" w:hAnsi="Times New Roman" w:hint="eastAsia"/>
          <w:sz w:val="30"/>
        </w:rPr>
        <w:t>1、土方开挖方法</w:t>
      </w:r>
    </w:p>
    <w:p>
      <w:pPr>
        <w:pStyle w:val="PlainText"/>
        <w:rPr>
          <w:rFonts w:hAnsi="Times New Roman" w:hint="eastAsia"/>
          <w:sz w:val="30"/>
          <w:shd w:val="pct10" w:color="auto" w:fill="FFFFFF"/>
        </w:rPr>
      </w:pPr>
      <w:r>
        <w:rPr>
          <w:rFonts w:hAnsi="Times New Roman" w:hint="eastAsia"/>
          <w:sz w:val="30"/>
        </w:rPr>
        <w:t xml:space="preserve">    </w:t>
      </w:r>
      <w:r>
        <w:rPr>
          <w:rFonts w:hAnsi="Times New Roman" w:hint="eastAsia"/>
          <w:sz w:val="30"/>
        </w:rPr>
        <w:t>⑴</w:t>
      </w:r>
      <w:r>
        <w:rPr>
          <w:rFonts w:hAnsi="Times New Roman" w:hint="eastAsia"/>
          <w:sz w:val="30"/>
        </w:rPr>
        <w:t>基坑开挖前应先进行对土质的取样，并根据土质的情况做好基坑开挖的具体方案，以保证基坑作业顺利进行。</w:t>
      </w:r>
    </w:p>
    <w:p>
      <w:pPr>
        <w:pStyle w:val="PlainText"/>
        <w:ind w:firstLine="600"/>
        <w:rPr>
          <w:rFonts w:hAnsi="Times New Roman" w:hint="eastAsia"/>
          <w:sz w:val="30"/>
        </w:rPr>
      </w:pPr>
      <w:r>
        <w:rPr>
          <w:rFonts w:hAnsi="Times New Roman" w:hint="eastAsia"/>
          <w:sz w:val="30"/>
        </w:rPr>
        <w:t>⑵</w:t>
      </w:r>
      <w:r>
        <w:rPr>
          <w:rFonts w:hAnsi="Times New Roman" w:hint="eastAsia"/>
          <w:sz w:val="30"/>
        </w:rPr>
        <w:t>开挖基坑土方时宜先深后浅。按业主提供的现有场地，暂时考虑在围墙内场地中规划出一块作为临时堆土弃土位置，并计划好回填土的数量，将余土直接外运。本工程基础坑开挖拟采用人工挖土。</w:t>
      </w:r>
    </w:p>
    <w:p>
      <w:pPr>
        <w:pStyle w:val="PlainText"/>
        <w:ind w:firstLine="600"/>
        <w:rPr>
          <w:rFonts w:hAnsi="Times New Roman" w:hint="eastAsia"/>
          <w:sz w:val="30"/>
        </w:rPr>
      </w:pPr>
      <w:r>
        <w:rPr>
          <w:rFonts w:hAnsi="Times New Roman" w:hint="eastAsia"/>
          <w:sz w:val="30"/>
        </w:rPr>
        <w:t>⑶</w:t>
      </w:r>
      <w:r>
        <w:rPr>
          <w:rFonts w:hAnsi="Times New Roman" w:hint="eastAsia"/>
          <w:sz w:val="30"/>
        </w:rPr>
        <w:t>在开挖土方前，应先由业主方联系其它单位，确定地下是否有障碍物和地下管道,如有应提前进行处理或迁移。</w:t>
      </w:r>
    </w:p>
    <w:p>
      <w:pPr>
        <w:pStyle w:val="PlainText"/>
        <w:ind w:firstLine="600"/>
        <w:rPr>
          <w:rFonts w:hAnsi="Times New Roman" w:hint="eastAsia"/>
          <w:sz w:val="30"/>
        </w:rPr>
        <w:sectPr>
          <w:headerReference w:type="default" r:id="rId12"/>
          <w:footerReference w:type="default" r:id="rId13"/>
          <w:type w:val="nextPage"/>
          <w:pgSz w:w="11906" w:h="16838"/>
          <w:pgMar w:top="312" w:right="1418" w:bottom="623" w:left="1531" w:header="964" w:footer="992" w:gutter="0"/>
          <w:pgNumType w:start="5"/>
          <w:cols w:space="708"/>
          <w:titlePg w:val="0"/>
          <w:docGrid w:type="lines" w:linePitch="312"/>
        </w:sectPr>
      </w:pPr>
      <w:r>
        <w:rPr>
          <w:rFonts w:hAnsi="Times New Roman" w:hint="eastAsia"/>
          <w:sz w:val="30"/>
        </w:rPr>
        <w:t>⑷</w:t>
      </w:r>
      <w:r>
        <w:rPr>
          <w:rFonts w:hAnsi="Times New Roman" w:hint="eastAsia"/>
          <w:sz w:val="30"/>
        </w:rPr>
        <w:t>准备泥浆泵及潜水泵若干台，以便进行基坑的排水工作；另外准备木桩、槽钢桩及挡土板，视地下土质情况，以便及时进行基坑的支护工作。</w:t>
      </w:r>
    </w:p>
    <w:p>
      <w:pPr>
        <w:pStyle w:val="PlainText"/>
        <w:ind w:firstLine="600"/>
        <w:rPr>
          <w:rFonts w:ascii="Times New Roman" w:hAnsi="Times New Roman" w:hint="eastAsia"/>
          <w:sz w:val="30"/>
        </w:rPr>
      </w:pPr>
      <w:r>
        <w:rPr>
          <w:rFonts w:ascii="Times New Roman" w:hAnsi="Times New Roman" w:hint="eastAsia"/>
          <w:sz w:val="30"/>
        </w:rPr>
        <w:t>2、 施工工艺</w:t>
      </w:r>
    </w:p>
    <w:p>
      <w:pPr>
        <w:pStyle w:val="PlainText"/>
        <w:ind w:firstLine="600"/>
        <w:rPr>
          <w:rFonts w:ascii="Times New Roman" w:hAnsi="Times New Roman" w:hint="eastAsia"/>
          <w:sz w:val="30"/>
        </w:rPr>
      </w:pPr>
      <w:r>
        <w:rPr>
          <w:rFonts w:hAnsi="Times New Roman" w:hint="eastAsia"/>
          <w:sz w:val="30"/>
        </w:rPr>
        <w:t>⑴</w:t>
      </w:r>
      <w:r>
        <w:rPr>
          <w:rFonts w:ascii="Times New Roman" w:hAnsi="Times New Roman" w:hint="eastAsia"/>
          <w:sz w:val="30"/>
        </w:rPr>
        <w:t>根据土质情况、及地下水位标高，确定</w:t>
      </w:r>
      <w:r>
        <w:rPr>
          <w:rFonts w:hAnsi="Times New Roman" w:hint="eastAsia"/>
          <w:sz w:val="30"/>
        </w:rPr>
        <w:t>人工挖土的放坡系数，一般按1：0.67放坡。</w:t>
      </w:r>
    </w:p>
    <w:p>
      <w:pPr>
        <w:pStyle w:val="PlainText"/>
        <w:ind w:firstLine="600"/>
        <w:rPr>
          <w:rFonts w:ascii="Times New Roman" w:hAnsi="Times New Roman" w:hint="eastAsia"/>
          <w:sz w:val="30"/>
        </w:rPr>
      </w:pPr>
      <w:r>
        <w:rPr>
          <w:rFonts w:ascii="Times New Roman" w:hAnsi="Times New Roman" w:hint="eastAsia"/>
          <w:sz w:val="30"/>
        </w:rPr>
        <w:t>⑵</w:t>
      </w:r>
      <w:r>
        <w:rPr>
          <w:rFonts w:ascii="Times New Roman" w:hAnsi="Times New Roman" w:hint="eastAsia"/>
          <w:sz w:val="30"/>
        </w:rPr>
        <w:t>基坑（槽）底部开挖宽度应根据基础或结构的形式决定。混凝土基础或垫层需支模者，每边增加工作面0.3m。</w:t>
      </w:r>
    </w:p>
    <w:p>
      <w:pPr>
        <w:pStyle w:val="PlainText"/>
        <w:spacing w:after="240"/>
        <w:ind w:firstLine="601"/>
        <w:rPr>
          <w:rFonts w:ascii="Times New Roman" w:hAnsi="Times New Roman" w:hint="eastAsia"/>
          <w:sz w:val="30"/>
        </w:rPr>
      </w:pPr>
      <w:r>
        <w:rPr>
          <w:rFonts w:ascii="Times New Roman" w:hAnsi="Times New Roman" w:hint="eastAsia"/>
          <w:sz w:val="30"/>
        </w:rPr>
        <w:t>⑶</w:t>
      </w:r>
      <w:r>
        <w:rPr>
          <w:rFonts w:ascii="Times New Roman" w:hAnsi="Times New Roman" w:hint="eastAsia"/>
          <w:sz w:val="30"/>
        </w:rPr>
        <w:t>管沟底部开挖宽度，除管沟结构宽度外，每侧增加工作面宽，可参照下表采用。</w:t>
      </w:r>
    </w:p>
    <w:tbl>
      <w:tblPr>
        <w:tblStyle w:val="TableNormal"/>
        <w:tblW w:w="0" w:type="auto"/>
        <w:tblInd w:w="7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1755"/>
        <w:gridCol w:w="2655"/>
        <w:gridCol w:w="3075"/>
      </w:tblGrid>
      <w:tr>
        <w:tblPrEx>
          <w:tblW w:w="0" w:type="auto"/>
          <w:tblInd w:w="7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cantSplit/>
          <w:trHeight w:val="300"/>
        </w:trPr>
        <w:tc>
          <w:tcPr>
            <w:tcW w:w="1755" w:type="dxa"/>
            <w:vMerge w:val="restart"/>
            <w:tcBorders>
              <w:top w:val="single" w:sz="12" w:space="0" w:color="auto"/>
              <w:left w:val="nil"/>
            </w:tcBorders>
            <w:vAlign w:val="center"/>
          </w:tcPr>
          <w:p>
            <w:pPr>
              <w:pStyle w:val="PlainText"/>
              <w:ind w:left="-754" w:firstLine="601"/>
              <w:jc w:val="center"/>
              <w:rPr>
                <w:rFonts w:ascii="Times New Roman" w:hAnsi="Times New Roman" w:hint="eastAsia"/>
              </w:rPr>
            </w:pPr>
            <w:r>
              <w:rPr>
                <w:rFonts w:ascii="Times New Roman" w:hAnsi="Times New Roman" w:hint="eastAsia"/>
              </w:rPr>
              <w:t>管沟结构宽度</w:t>
            </w:r>
          </w:p>
          <w:p>
            <w:pPr>
              <w:pStyle w:val="PlainText"/>
              <w:ind w:left="-754" w:firstLine="601"/>
              <w:jc w:val="center"/>
              <w:rPr>
                <w:rFonts w:ascii="Times New Roman" w:hAnsi="Times New Roman" w:hint="eastAsia"/>
              </w:rPr>
            </w:pPr>
            <w:r>
              <w:rPr>
                <w:rFonts w:ascii="Times New Roman" w:hAnsi="Times New Roman" w:hint="eastAsia"/>
              </w:rPr>
              <w:t>（mm）</w:t>
            </w:r>
          </w:p>
        </w:tc>
        <w:tc>
          <w:tcPr>
            <w:tcW w:w="5730" w:type="dxa"/>
            <w:gridSpan w:val="2"/>
            <w:tcBorders>
              <w:top w:val="single" w:sz="12" w:space="0" w:color="auto"/>
              <w:right w:val="nil"/>
            </w:tcBorders>
            <w:vAlign w:val="center"/>
          </w:tcPr>
          <w:p>
            <w:pPr>
              <w:pStyle w:val="PlainText"/>
              <w:ind w:left="-754" w:firstLine="601"/>
              <w:jc w:val="center"/>
              <w:rPr>
                <w:rFonts w:ascii="Times New Roman" w:hAnsi="Times New Roman" w:hint="eastAsia"/>
              </w:rPr>
            </w:pPr>
            <w:r>
              <w:rPr>
                <w:rFonts w:ascii="Times New Roman" w:hAnsi="Times New Roman" w:hint="eastAsia"/>
              </w:rPr>
              <w:t>每侧工作面宽度（mm）</w:t>
            </w:r>
          </w:p>
        </w:tc>
      </w:tr>
      <w:tr>
        <w:tblPrEx>
          <w:tblW w:w="0" w:type="auto"/>
          <w:tblInd w:w="755" w:type="dxa"/>
          <w:tblLayout w:type="fixed"/>
          <w:tblCellMar>
            <w:top w:w="0" w:type="dxa"/>
            <w:left w:w="108" w:type="dxa"/>
            <w:bottom w:w="0" w:type="dxa"/>
            <w:right w:w="108" w:type="dxa"/>
          </w:tblCellMar>
          <w:tblLook w:val="0000"/>
        </w:tblPrEx>
        <w:trPr>
          <w:cantSplit/>
          <w:trHeight w:val="300"/>
        </w:trPr>
        <w:tc>
          <w:tcPr>
            <w:tcW w:w="1755" w:type="dxa"/>
            <w:vMerge/>
            <w:tcBorders>
              <w:left w:val="nil"/>
              <w:bottom w:val="nil"/>
            </w:tcBorders>
            <w:vAlign w:val="center"/>
          </w:tcPr>
          <w:p>
            <w:pPr>
              <w:pStyle w:val="PlainText"/>
              <w:ind w:left="-754" w:firstLine="601"/>
              <w:jc w:val="center"/>
              <w:rPr>
                <w:rFonts w:ascii="Times New Roman" w:hAnsi="Times New Roman" w:hint="eastAsia"/>
              </w:rPr>
            </w:pPr>
          </w:p>
        </w:tc>
        <w:tc>
          <w:tcPr>
            <w:tcW w:w="2655" w:type="dxa"/>
            <w:tcBorders>
              <w:bottom w:val="nil"/>
            </w:tcBorders>
            <w:vAlign w:val="center"/>
          </w:tcPr>
          <w:p>
            <w:pPr>
              <w:pStyle w:val="PlainText"/>
              <w:ind w:left="-754" w:firstLine="601"/>
              <w:jc w:val="center"/>
              <w:rPr>
                <w:rFonts w:ascii="Times New Roman" w:hAnsi="Times New Roman" w:hint="eastAsia"/>
              </w:rPr>
            </w:pPr>
            <w:r>
              <w:rPr>
                <w:rFonts w:ascii="Times New Roman" w:hAnsi="Times New Roman" w:hint="eastAsia"/>
              </w:rPr>
              <w:t>非金属管道</w:t>
            </w:r>
          </w:p>
        </w:tc>
        <w:tc>
          <w:tcPr>
            <w:tcW w:w="3075" w:type="dxa"/>
            <w:tcBorders>
              <w:bottom w:val="nil"/>
              <w:right w:val="nil"/>
            </w:tcBorders>
            <w:vAlign w:val="center"/>
          </w:tcPr>
          <w:p>
            <w:pPr>
              <w:pStyle w:val="PlainText"/>
              <w:ind w:left="-754" w:firstLine="601"/>
              <w:jc w:val="center"/>
              <w:rPr>
                <w:rFonts w:ascii="Times New Roman" w:hAnsi="Times New Roman" w:hint="eastAsia"/>
              </w:rPr>
            </w:pPr>
            <w:r>
              <w:rPr>
                <w:rFonts w:ascii="Times New Roman" w:hAnsi="Times New Roman" w:hint="eastAsia"/>
              </w:rPr>
              <w:t>金属管道或砖沟</w:t>
            </w:r>
          </w:p>
        </w:tc>
      </w:tr>
      <w:tr>
        <w:tblPrEx>
          <w:tblW w:w="0" w:type="auto"/>
          <w:tblInd w:w="755" w:type="dxa"/>
          <w:tblLayout w:type="fixed"/>
          <w:tblCellMar>
            <w:top w:w="0" w:type="dxa"/>
            <w:left w:w="108" w:type="dxa"/>
            <w:bottom w:w="0" w:type="dxa"/>
            <w:right w:w="108" w:type="dxa"/>
          </w:tblCellMar>
          <w:tblLook w:val="0000"/>
        </w:tblPrEx>
        <w:trPr>
          <w:trHeight w:val="300"/>
        </w:trPr>
        <w:tc>
          <w:tcPr>
            <w:tcW w:w="1755" w:type="dxa"/>
            <w:tcBorders>
              <w:top w:val="single" w:sz="12" w:space="0" w:color="auto"/>
              <w:left w:val="nil"/>
            </w:tcBorders>
            <w:vAlign w:val="center"/>
          </w:tcPr>
          <w:p>
            <w:pPr>
              <w:pStyle w:val="PlainText"/>
              <w:ind w:left="-754" w:firstLine="601"/>
              <w:jc w:val="center"/>
              <w:rPr>
                <w:rFonts w:ascii="Times New Roman" w:hAnsi="Times New Roman" w:hint="eastAsia"/>
              </w:rPr>
            </w:pPr>
            <w:r>
              <w:rPr>
                <w:rFonts w:ascii="Times New Roman" w:hAnsi="Times New Roman" w:hint="eastAsia"/>
                <w:lang w:eastAsia="zh-CN"/>
              </w:rPr>
              <w:t>201</w:t>
            </w:r>
            <w:r>
              <w:rPr>
                <w:rFonts w:ascii="Times New Roman" w:hAnsi="Times New Roman" w:hint="eastAsia"/>
              </w:rPr>
              <w:t>~500</w:t>
            </w:r>
          </w:p>
        </w:tc>
        <w:tc>
          <w:tcPr>
            <w:tcW w:w="2655" w:type="dxa"/>
            <w:tcBorders>
              <w:top w:val="single" w:sz="12" w:space="0" w:color="auto"/>
            </w:tcBorders>
            <w:vAlign w:val="center"/>
          </w:tcPr>
          <w:p>
            <w:pPr>
              <w:pStyle w:val="PlainText"/>
              <w:ind w:left="-754" w:firstLine="601"/>
              <w:jc w:val="center"/>
              <w:rPr>
                <w:rFonts w:ascii="Times New Roman" w:hAnsi="Times New Roman" w:hint="eastAsia"/>
              </w:rPr>
            </w:pPr>
            <w:r>
              <w:rPr>
                <w:rFonts w:ascii="Times New Roman" w:hAnsi="Times New Roman" w:hint="eastAsia"/>
              </w:rPr>
              <w:t>400</w:t>
            </w:r>
          </w:p>
        </w:tc>
        <w:tc>
          <w:tcPr>
            <w:tcW w:w="3075" w:type="dxa"/>
            <w:tcBorders>
              <w:top w:val="single" w:sz="12" w:space="0" w:color="auto"/>
              <w:right w:val="nil"/>
            </w:tcBorders>
            <w:vAlign w:val="center"/>
          </w:tcPr>
          <w:p>
            <w:pPr>
              <w:pStyle w:val="PlainText"/>
              <w:ind w:left="-754" w:firstLine="601"/>
              <w:jc w:val="center"/>
              <w:rPr>
                <w:rFonts w:ascii="Times New Roman" w:hAnsi="Times New Roman" w:hint="eastAsia"/>
              </w:rPr>
            </w:pPr>
            <w:r>
              <w:rPr>
                <w:rFonts w:ascii="Times New Roman" w:hAnsi="Times New Roman" w:hint="eastAsia"/>
              </w:rPr>
              <w:t>300</w:t>
            </w:r>
          </w:p>
        </w:tc>
      </w:tr>
      <w:tr>
        <w:tblPrEx>
          <w:tblW w:w="0" w:type="auto"/>
          <w:tblInd w:w="755" w:type="dxa"/>
          <w:tblLayout w:type="fixed"/>
          <w:tblCellMar>
            <w:top w:w="0" w:type="dxa"/>
            <w:left w:w="108" w:type="dxa"/>
            <w:bottom w:w="0" w:type="dxa"/>
            <w:right w:w="108" w:type="dxa"/>
          </w:tblCellMar>
          <w:tblLook w:val="0000"/>
        </w:tblPrEx>
        <w:trPr>
          <w:trHeight w:val="300"/>
        </w:trPr>
        <w:tc>
          <w:tcPr>
            <w:tcW w:w="1755" w:type="dxa"/>
            <w:tcBorders>
              <w:left w:val="nil"/>
            </w:tcBorders>
            <w:vAlign w:val="center"/>
          </w:tcPr>
          <w:p>
            <w:pPr>
              <w:pStyle w:val="PlainText"/>
              <w:ind w:left="-754" w:firstLine="601"/>
              <w:jc w:val="center"/>
              <w:rPr>
                <w:rFonts w:ascii="Times New Roman" w:hAnsi="Times New Roman" w:hint="eastAsia"/>
              </w:rPr>
            </w:pPr>
            <w:r>
              <w:rPr>
                <w:rFonts w:ascii="Times New Roman" w:hAnsi="Times New Roman" w:hint="eastAsia"/>
              </w:rPr>
              <w:t>600~1000</w:t>
            </w:r>
          </w:p>
        </w:tc>
        <w:tc>
          <w:tcPr>
            <w:tcW w:w="2655" w:type="dxa"/>
            <w:vAlign w:val="center"/>
          </w:tcPr>
          <w:p>
            <w:pPr>
              <w:pStyle w:val="PlainText"/>
              <w:ind w:left="-754" w:firstLine="601"/>
              <w:jc w:val="center"/>
              <w:rPr>
                <w:rFonts w:ascii="Times New Roman" w:hAnsi="Times New Roman" w:hint="eastAsia"/>
              </w:rPr>
            </w:pPr>
            <w:r>
              <w:rPr>
                <w:rFonts w:ascii="Times New Roman" w:hAnsi="Times New Roman" w:hint="eastAsia"/>
              </w:rPr>
              <w:t>500</w:t>
            </w:r>
          </w:p>
        </w:tc>
        <w:tc>
          <w:tcPr>
            <w:tcW w:w="3075" w:type="dxa"/>
            <w:tcBorders>
              <w:right w:val="nil"/>
            </w:tcBorders>
            <w:vAlign w:val="center"/>
          </w:tcPr>
          <w:p>
            <w:pPr>
              <w:pStyle w:val="PlainText"/>
              <w:ind w:left="-754" w:firstLine="601"/>
              <w:jc w:val="center"/>
              <w:rPr>
                <w:rFonts w:ascii="Times New Roman" w:hAnsi="Times New Roman" w:hint="eastAsia"/>
              </w:rPr>
            </w:pPr>
            <w:r>
              <w:rPr>
                <w:rFonts w:ascii="Times New Roman" w:hAnsi="Times New Roman" w:hint="eastAsia"/>
              </w:rPr>
              <w:t>400</w:t>
            </w:r>
          </w:p>
        </w:tc>
      </w:tr>
      <w:tr>
        <w:tblPrEx>
          <w:tblW w:w="0" w:type="auto"/>
          <w:tblInd w:w="755" w:type="dxa"/>
          <w:tblLayout w:type="fixed"/>
          <w:tblCellMar>
            <w:top w:w="0" w:type="dxa"/>
            <w:left w:w="108" w:type="dxa"/>
            <w:bottom w:w="0" w:type="dxa"/>
            <w:right w:w="108" w:type="dxa"/>
          </w:tblCellMar>
          <w:tblLook w:val="0000"/>
        </w:tblPrEx>
        <w:trPr>
          <w:trHeight w:val="300"/>
        </w:trPr>
        <w:tc>
          <w:tcPr>
            <w:tcW w:w="1755" w:type="dxa"/>
            <w:tcBorders>
              <w:left w:val="nil"/>
            </w:tcBorders>
            <w:vAlign w:val="center"/>
          </w:tcPr>
          <w:p>
            <w:pPr>
              <w:pStyle w:val="PlainText"/>
              <w:ind w:left="-754" w:firstLine="601"/>
              <w:jc w:val="center"/>
              <w:rPr>
                <w:rFonts w:ascii="Times New Roman" w:hAnsi="Times New Roman" w:hint="eastAsia"/>
              </w:rPr>
            </w:pPr>
            <w:r>
              <w:rPr>
                <w:rFonts w:ascii="Times New Roman" w:hAnsi="Times New Roman" w:hint="eastAsia"/>
              </w:rPr>
              <w:t>1100~1500</w:t>
            </w:r>
          </w:p>
        </w:tc>
        <w:tc>
          <w:tcPr>
            <w:tcW w:w="2655" w:type="dxa"/>
            <w:vAlign w:val="center"/>
          </w:tcPr>
          <w:p>
            <w:pPr>
              <w:pStyle w:val="PlainText"/>
              <w:ind w:left="-754" w:firstLine="601"/>
              <w:jc w:val="center"/>
              <w:rPr>
                <w:rFonts w:ascii="Times New Roman" w:hAnsi="Times New Roman" w:hint="eastAsia"/>
              </w:rPr>
            </w:pPr>
            <w:r>
              <w:rPr>
                <w:rFonts w:ascii="Times New Roman" w:hAnsi="Times New Roman" w:hint="eastAsia"/>
              </w:rPr>
              <w:t>600</w:t>
            </w:r>
          </w:p>
        </w:tc>
        <w:tc>
          <w:tcPr>
            <w:tcW w:w="3075" w:type="dxa"/>
            <w:tcBorders>
              <w:right w:val="nil"/>
            </w:tcBorders>
            <w:vAlign w:val="center"/>
          </w:tcPr>
          <w:p>
            <w:pPr>
              <w:pStyle w:val="PlainText"/>
              <w:ind w:left="-754" w:firstLine="601"/>
              <w:jc w:val="center"/>
              <w:rPr>
                <w:rFonts w:ascii="Times New Roman" w:hAnsi="Times New Roman" w:hint="eastAsia"/>
              </w:rPr>
            </w:pPr>
            <w:r>
              <w:rPr>
                <w:rFonts w:ascii="Times New Roman" w:hAnsi="Times New Roman" w:hint="eastAsia"/>
              </w:rPr>
              <w:t>600</w:t>
            </w:r>
          </w:p>
        </w:tc>
      </w:tr>
      <w:tr>
        <w:tblPrEx>
          <w:tblW w:w="0" w:type="auto"/>
          <w:tblInd w:w="755" w:type="dxa"/>
          <w:tblLayout w:type="fixed"/>
          <w:tblCellMar>
            <w:top w:w="0" w:type="dxa"/>
            <w:left w:w="108" w:type="dxa"/>
            <w:bottom w:w="0" w:type="dxa"/>
            <w:right w:w="108" w:type="dxa"/>
          </w:tblCellMar>
          <w:tblLook w:val="0000"/>
        </w:tblPrEx>
        <w:trPr>
          <w:trHeight w:val="300"/>
        </w:trPr>
        <w:tc>
          <w:tcPr>
            <w:tcW w:w="1755" w:type="dxa"/>
            <w:tcBorders>
              <w:left w:val="nil"/>
              <w:bottom w:val="single" w:sz="12" w:space="0" w:color="auto"/>
            </w:tcBorders>
            <w:vAlign w:val="center"/>
          </w:tcPr>
          <w:p>
            <w:pPr>
              <w:pStyle w:val="PlainText"/>
              <w:ind w:left="-754" w:firstLine="601"/>
              <w:jc w:val="center"/>
              <w:rPr>
                <w:rFonts w:ascii="Times New Roman" w:hAnsi="Times New Roman" w:hint="eastAsia"/>
              </w:rPr>
            </w:pPr>
            <w:r>
              <w:rPr>
                <w:rFonts w:ascii="Times New Roman" w:hAnsi="Times New Roman" w:hint="eastAsia"/>
              </w:rPr>
              <w:t>1600~2500</w:t>
            </w:r>
          </w:p>
        </w:tc>
        <w:tc>
          <w:tcPr>
            <w:tcW w:w="2655" w:type="dxa"/>
            <w:tcBorders>
              <w:bottom w:val="single" w:sz="12" w:space="0" w:color="auto"/>
            </w:tcBorders>
            <w:vAlign w:val="center"/>
          </w:tcPr>
          <w:p>
            <w:pPr>
              <w:pStyle w:val="PlainText"/>
              <w:ind w:left="-754" w:firstLine="601"/>
              <w:jc w:val="center"/>
              <w:rPr>
                <w:rFonts w:ascii="Times New Roman" w:hAnsi="Times New Roman" w:hint="eastAsia"/>
              </w:rPr>
            </w:pPr>
            <w:r>
              <w:rPr>
                <w:rFonts w:ascii="Times New Roman" w:hAnsi="Times New Roman" w:hint="eastAsia"/>
              </w:rPr>
              <w:t>800</w:t>
            </w:r>
          </w:p>
        </w:tc>
        <w:tc>
          <w:tcPr>
            <w:tcW w:w="3075" w:type="dxa"/>
            <w:tcBorders>
              <w:bottom w:val="single" w:sz="12" w:space="0" w:color="auto"/>
              <w:right w:val="nil"/>
            </w:tcBorders>
            <w:vAlign w:val="center"/>
          </w:tcPr>
          <w:p>
            <w:pPr>
              <w:pStyle w:val="PlainText"/>
              <w:ind w:left="-754" w:firstLine="601"/>
              <w:jc w:val="center"/>
              <w:rPr>
                <w:rFonts w:ascii="Times New Roman" w:hAnsi="Times New Roman" w:hint="eastAsia"/>
              </w:rPr>
            </w:pPr>
            <w:r>
              <w:rPr>
                <w:rFonts w:ascii="Times New Roman" w:hAnsi="Times New Roman" w:hint="eastAsia"/>
              </w:rPr>
              <w:t>800</w:t>
            </w:r>
          </w:p>
        </w:tc>
      </w:tr>
    </w:tbl>
    <w:p>
      <w:pPr>
        <w:pStyle w:val="PlainText"/>
        <w:spacing w:line="280" w:lineRule="exact"/>
        <w:ind w:firstLine="601"/>
        <w:rPr>
          <w:rFonts w:ascii="Times New Roman" w:hAnsi="Times New Roman" w:hint="eastAsia"/>
        </w:rPr>
      </w:pPr>
      <w:r>
        <w:rPr>
          <w:rFonts w:ascii="Times New Roman" w:hAnsi="Times New Roman" w:hint="eastAsia"/>
          <w:sz w:val="18"/>
        </w:rPr>
        <w:t xml:space="preserve">     </w:t>
      </w:r>
      <w:r>
        <w:rPr>
          <w:rFonts w:ascii="Times New Roman" w:hAnsi="Times New Roman" w:hint="eastAsia"/>
        </w:rPr>
        <w:t>注：1、管道结构宽度：无管座按管身外皮计；有管座按管座外皮计；</w:t>
      </w:r>
    </w:p>
    <w:p>
      <w:pPr>
        <w:pStyle w:val="PlainText"/>
        <w:spacing w:line="280" w:lineRule="exact"/>
        <w:ind w:firstLine="601"/>
        <w:rPr>
          <w:rFonts w:ascii="Times New Roman" w:hAnsi="Times New Roman" w:hint="eastAsia"/>
        </w:rPr>
      </w:pPr>
      <w:r>
        <w:rPr>
          <w:rFonts w:ascii="Times New Roman" w:hAnsi="Times New Roman" w:hint="eastAsia"/>
        </w:rPr>
        <w:t xml:space="preserve">           砖砌或混凝土管按管沟外皮计。</w:t>
      </w:r>
    </w:p>
    <w:p>
      <w:pPr>
        <w:pStyle w:val="PlainText"/>
        <w:spacing w:line="280" w:lineRule="exact"/>
        <w:ind w:firstLine="601"/>
        <w:rPr>
          <w:rFonts w:ascii="Times New Roman" w:hAnsi="Times New Roman" w:hint="eastAsia"/>
        </w:rPr>
      </w:pPr>
      <w:r>
        <w:rPr>
          <w:rFonts w:ascii="Times New Roman" w:hAnsi="Times New Roman" w:hint="eastAsia"/>
        </w:rPr>
        <w:t xml:space="preserve">        2、沟底需增设排水沟时，工作面宽度可适当增加。</w:t>
      </w:r>
    </w:p>
    <w:p>
      <w:pPr>
        <w:pStyle w:val="PlainText"/>
        <w:spacing w:before="120"/>
        <w:rPr>
          <w:rFonts w:ascii="Times New Roman" w:hAnsi="Times New Roman" w:hint="eastAsia"/>
          <w:sz w:val="30"/>
        </w:rPr>
      </w:pPr>
      <w:r>
        <w:rPr>
          <w:rFonts w:ascii="Times New Roman" w:hAnsi="Times New Roman" w:hint="eastAsia"/>
          <w:sz w:val="30"/>
        </w:rPr>
        <w:t xml:space="preserve">   </w:t>
      </w:r>
      <w:r>
        <w:rPr>
          <w:rFonts w:ascii="Times New Roman" w:hAnsi="Times New Roman" w:hint="eastAsia"/>
          <w:sz w:val="30"/>
        </w:rPr>
        <w:t>⑷</w:t>
      </w:r>
      <w:r>
        <w:rPr>
          <w:rFonts w:ascii="Times New Roman" w:hAnsi="Times New Roman" w:hint="eastAsia"/>
          <w:sz w:val="30"/>
        </w:rPr>
        <w:t>基坑（槽）和管沟的土方完成后应排干积水和清底，及时进行下一工序的施工。</w:t>
      </w:r>
    </w:p>
    <w:p>
      <w:pPr>
        <w:pStyle w:val="PlainText"/>
        <w:ind w:firstLine="600"/>
        <w:rPr>
          <w:rFonts w:ascii="Times New Roman" w:hAnsi="Times New Roman" w:hint="eastAsia"/>
          <w:sz w:val="30"/>
        </w:rPr>
      </w:pPr>
      <w:r>
        <w:rPr>
          <w:rFonts w:ascii="Times New Roman" w:hAnsi="Times New Roman" w:hint="eastAsia"/>
          <w:sz w:val="30"/>
        </w:rPr>
        <w:t>⑸</w:t>
      </w:r>
      <w:r>
        <w:rPr>
          <w:rFonts w:ascii="Times New Roman" w:hAnsi="Times New Roman" w:hint="eastAsia"/>
          <w:sz w:val="30"/>
        </w:rPr>
        <w:t>基坑（槽）或管沟挖土深度不得超过设计基底标高。如个别地方超挖，应用砂、碎石填补夯实。在天然地基或重要部位超挖时，应采用经设计单位同意的补填方法填补。</w:t>
      </w:r>
    </w:p>
    <w:p>
      <w:pPr>
        <w:pStyle w:val="PlainText"/>
        <w:ind w:firstLine="600"/>
        <w:rPr>
          <w:rFonts w:ascii="Times New Roman" w:hAnsi="Times New Roman" w:hint="eastAsia"/>
          <w:sz w:val="30"/>
        </w:rPr>
      </w:pPr>
      <w:r>
        <w:rPr>
          <w:rFonts w:ascii="Times New Roman" w:hAnsi="Times New Roman" w:hint="eastAsia"/>
          <w:sz w:val="30"/>
        </w:rPr>
        <w:t>⑹</w:t>
      </w:r>
      <w:r>
        <w:rPr>
          <w:rFonts w:ascii="Times New Roman" w:hAnsi="Times New Roman" w:hint="eastAsia"/>
          <w:sz w:val="30"/>
        </w:rPr>
        <w:t>挖土的弃土或放土，应保证挖方边坡的稳定与排水。当土质良好时，应距槽沟边缘0.8m以外堆放，且高度不宜超过1.5m。在软土地区，不得在挖方上侧放土。</w:t>
      </w:r>
    </w:p>
    <w:p>
      <w:pPr>
        <w:pStyle w:val="PlainText"/>
        <w:ind w:firstLine="600"/>
        <w:rPr>
          <w:rFonts w:ascii="Times New Roman" w:hAnsi="Times New Roman" w:hint="eastAsia"/>
          <w:sz w:val="30"/>
        </w:rPr>
        <w:sectPr>
          <w:headerReference w:type="default" r:id="rId14"/>
          <w:footerReference w:type="default" r:id="rId15"/>
          <w:type w:val="nextPage"/>
          <w:pgSz w:w="11906" w:h="16838"/>
          <w:pgMar w:top="312" w:right="1418" w:bottom="623" w:left="1531" w:header="964" w:footer="992" w:gutter="0"/>
          <w:pgNumType w:start="6"/>
          <w:cols w:space="708"/>
          <w:titlePg w:val="0"/>
          <w:docGrid w:type="lines" w:linePitch="312"/>
        </w:sectPr>
      </w:pPr>
      <w:r>
        <w:rPr>
          <w:rFonts w:ascii="Times New Roman" w:hAnsi="Times New Roman" w:hint="eastAsia"/>
          <w:sz w:val="30"/>
        </w:rPr>
        <w:t>⑺</w:t>
      </w:r>
      <w:r>
        <w:rPr>
          <w:rFonts w:ascii="Times New Roman" w:hAnsi="Times New Roman" w:hint="eastAsia"/>
          <w:sz w:val="30"/>
        </w:rPr>
        <w:t>土方工程一般不宜在雨天进行，在雨季施工时，工作面不宜过大。应逐段、逐片地完成，并应切实制订、贯彻执行雨季施工的安全技术措施。</w:t>
      </w:r>
    </w:p>
    <w:p>
      <w:pPr>
        <w:pStyle w:val="PlainText"/>
        <w:ind w:firstLine="600"/>
        <w:rPr>
          <w:rFonts w:ascii="Times New Roman" w:hAnsi="Times New Roman" w:hint="eastAsia"/>
          <w:sz w:val="30"/>
        </w:rPr>
      </w:pPr>
      <w:r>
        <w:rPr>
          <w:rFonts w:ascii="Times New Roman" w:hAnsi="Times New Roman" w:hint="eastAsia"/>
          <w:sz w:val="30"/>
        </w:rPr>
        <w:t>⑻</w:t>
      </w:r>
      <w:r>
        <w:rPr>
          <w:rFonts w:ascii="Times New Roman" w:hAnsi="Times New Roman" w:hint="eastAsia"/>
          <w:sz w:val="30"/>
        </w:rPr>
        <w:t>土方边坡的加固（包括填方、排水沟和截水沟等边坡），应按土质、地下水位情况，结合施工周期和季节制定保护方案，确保安全施工。</w:t>
      </w:r>
    </w:p>
    <w:p>
      <w:pPr>
        <w:rPr>
          <w:rFonts w:hint="eastAsia"/>
          <w:sz w:val="28"/>
        </w:rPr>
      </w:pPr>
      <w:r>
        <w:rPr>
          <w:rFonts w:hint="eastAsia"/>
          <w:sz w:val="28"/>
        </w:rPr>
        <w:t>3、 土方回填</w:t>
      </w:r>
    </w:p>
    <w:p>
      <w:pPr>
        <w:ind w:left="420" w:hanging="420" w:hangingChars="150"/>
        <w:rPr>
          <w:rFonts w:hint="eastAsia"/>
          <w:sz w:val="28"/>
        </w:rPr>
      </w:pPr>
      <w:r>
        <w:rPr>
          <w:rFonts w:hint="eastAsia"/>
          <w:sz w:val="28"/>
        </w:rPr>
        <w:t xml:space="preserve"> 1）回填的土料应优先选用基槽中挖出来的优质土。回填土内不得含有有机杂土，粒径不应大于50mm，含水量应该符合压实要求。</w:t>
      </w:r>
    </w:p>
    <w:p>
      <w:pPr>
        <w:ind w:left="421" w:hanging="280" w:leftChars="67" w:hangingChars="100"/>
        <w:rPr>
          <w:rFonts w:hint="eastAsia"/>
          <w:sz w:val="28"/>
        </w:rPr>
      </w:pPr>
      <w:r>
        <w:rPr>
          <w:rFonts w:hint="eastAsia"/>
          <w:sz w:val="28"/>
        </w:rPr>
        <w:t>2）回填施工开始时必须在混凝土或砂浆达到设计强度后才能进行，防止建筑物倾复。</w:t>
      </w:r>
    </w:p>
    <w:p>
      <w:pPr>
        <w:ind w:left="421" w:hanging="280" w:leftChars="67" w:hangingChars="100"/>
        <w:rPr>
          <w:rFonts w:hint="eastAsia"/>
          <w:sz w:val="28"/>
        </w:rPr>
      </w:pPr>
      <w:r>
        <w:rPr>
          <w:rFonts w:hint="eastAsia"/>
          <w:sz w:val="28"/>
        </w:rPr>
        <w:t>3）回填应分层分段，交接处应填成阶梯形，每层互相搭接，其搭接长度不少于每层填土厚度的两倍，上下错缝距离不少于1.0m。</w:t>
      </w:r>
    </w:p>
    <w:p>
      <w:pPr>
        <w:ind w:left="421" w:hanging="280" w:leftChars="67" w:hangingChars="100"/>
        <w:rPr>
          <w:rFonts w:hint="eastAsia"/>
          <w:sz w:val="28"/>
        </w:rPr>
      </w:pPr>
      <w:r>
        <w:rPr>
          <w:rFonts w:hint="eastAsia"/>
          <w:sz w:val="28"/>
        </w:rPr>
        <w:t>4）本工程中设备基础部分采用人工填土，每层厚度为150mm，采用打夯机打夯</w:t>
      </w:r>
      <w:r>
        <w:rPr>
          <w:rFonts w:hint="eastAsia"/>
          <w:sz w:val="28"/>
        </w:rPr>
        <w:t>“</w:t>
      </w:r>
      <w:r>
        <w:rPr>
          <w:rFonts w:hint="eastAsia"/>
          <w:sz w:val="28"/>
        </w:rPr>
        <w:t>一夯压半夯，夯排三次</w:t>
      </w:r>
      <w:r>
        <w:rPr>
          <w:rFonts w:hint="eastAsia"/>
          <w:sz w:val="28"/>
        </w:rPr>
        <w:t>”</w:t>
      </w:r>
      <w:r>
        <w:rPr>
          <w:rFonts w:hint="eastAsia"/>
          <w:sz w:val="28"/>
        </w:rPr>
        <w:t>。</w:t>
      </w:r>
    </w:p>
    <w:p>
      <w:pPr>
        <w:pStyle w:val="Heading2"/>
        <w:spacing w:before="120" w:after="120" w:line="500" w:lineRule="exact"/>
        <w:ind w:firstLine="420" w:firstLineChars="150"/>
        <w:rPr>
          <w:rFonts w:ascii="宋体" w:eastAsia="宋体" w:hAnsi="宋体" w:hint="eastAsia"/>
          <w:sz w:val="28"/>
          <w:szCs w:val="24"/>
        </w:rPr>
      </w:pPr>
      <w:bookmarkStart w:id="11" w:name="_Toc96961383"/>
      <w:r>
        <w:rPr>
          <w:rFonts w:ascii="宋体" w:eastAsia="宋体" w:hAnsi="宋体" w:hint="eastAsia"/>
          <w:bCs w:val="0"/>
          <w:sz w:val="28"/>
          <w:szCs w:val="24"/>
        </w:rPr>
        <w:t>4.2模板工程</w:t>
      </w:r>
      <w:bookmarkEnd w:id="11"/>
    </w:p>
    <w:p>
      <w:pPr>
        <w:ind w:firstLine="561"/>
        <w:rPr>
          <w:rFonts w:hint="eastAsia"/>
          <w:sz w:val="28"/>
        </w:rPr>
      </w:pPr>
      <w:r>
        <w:rPr>
          <w:rFonts w:hint="eastAsia"/>
          <w:sz w:val="28"/>
        </w:rPr>
        <w:t xml:space="preserve"> </w:t>
      </w:r>
      <w:r>
        <w:rPr>
          <w:rFonts w:hint="eastAsia"/>
          <w:sz w:val="28"/>
        </w:rPr>
        <w:t>⑴</w:t>
      </w:r>
      <w:r>
        <w:rPr>
          <w:rFonts w:hint="eastAsia"/>
          <w:sz w:val="28"/>
        </w:rPr>
        <w:t xml:space="preserve"> 材料的选用</w:t>
      </w:r>
    </w:p>
    <w:p>
      <w:pPr>
        <w:ind w:firstLine="561"/>
        <w:rPr>
          <w:rFonts w:hint="eastAsia"/>
          <w:sz w:val="28"/>
        </w:rPr>
      </w:pPr>
      <w:r>
        <w:rPr>
          <w:rFonts w:hint="eastAsia"/>
          <w:sz w:val="28"/>
        </w:rPr>
        <w:t>本工程选用18厚的九层胶合板作为设备基础的模板；龙骨背枋采用80*100</w:t>
      </w:r>
      <w:r>
        <w:rPr>
          <w:sz w:val="28"/>
        </w:rPr>
        <w:t>mm</w:t>
      </w:r>
      <w:r>
        <w:rPr>
          <w:rFonts w:hint="eastAsia"/>
          <w:sz w:val="28"/>
        </w:rPr>
        <w:t>及80*80</w:t>
      </w:r>
      <w:r>
        <w:rPr>
          <w:sz w:val="28"/>
        </w:rPr>
        <w:t>mm</w:t>
      </w:r>
      <w:r>
        <w:rPr>
          <w:rFonts w:hint="eastAsia"/>
          <w:sz w:val="28"/>
        </w:rPr>
        <w:t>两种规格方木。</w:t>
      </w:r>
    </w:p>
    <w:p>
      <w:pPr>
        <w:ind w:firstLine="561"/>
        <w:rPr>
          <w:rFonts w:hint="eastAsia"/>
          <w:sz w:val="28"/>
        </w:rPr>
      </w:pPr>
      <w:r>
        <w:rPr>
          <w:rFonts w:hint="eastAsia"/>
          <w:sz w:val="28"/>
        </w:rPr>
        <w:t>⑵</w:t>
      </w:r>
      <w:r>
        <w:rPr>
          <w:rFonts w:hint="eastAsia"/>
          <w:sz w:val="28"/>
        </w:rPr>
        <w:t xml:space="preserve"> 施工工艺</w:t>
      </w:r>
    </w:p>
    <w:p>
      <w:pPr>
        <w:ind w:firstLine="561"/>
        <w:rPr>
          <w:rFonts w:hint="eastAsia"/>
          <w:sz w:val="28"/>
        </w:rPr>
        <w:sectPr>
          <w:headerReference w:type="default" r:id="rId16"/>
          <w:footerReference w:type="default" r:id="rId17"/>
          <w:type w:val="nextPage"/>
          <w:pgSz w:w="11906" w:h="16838"/>
          <w:pgMar w:top="312" w:right="1418" w:bottom="623" w:left="1531" w:header="964" w:footer="992" w:gutter="0"/>
          <w:pgNumType w:start="7"/>
          <w:cols w:space="708"/>
          <w:titlePg w:val="0"/>
          <w:docGrid w:type="lines" w:linePitch="312"/>
        </w:sectPr>
      </w:pPr>
      <w:r>
        <w:rPr>
          <w:rFonts w:hint="eastAsia"/>
          <w:sz w:val="28"/>
        </w:rPr>
        <w:t>设备基础模板由侧板和端头板制成后，应先在基槽底弹出基础边线和中心线，再把侧板和端头板对准边线和中心线，用水平尺校正侧板顶面水平，经检测无误差后，用斜撑、水平撑及拉撑钉牢。当设备基础高超过750mm时，应在基础中沿长度方向每900mm 加设</w:t>
      </w:r>
      <w:r>
        <w:rPr>
          <w:rFonts w:hint="eastAsia"/>
          <w:sz w:val="28"/>
        </w:rPr>
        <w:t>Φ</w:t>
      </w:r>
    </w:p>
    <w:p>
      <w:pPr>
        <w:ind w:firstLine="561"/>
        <w:rPr>
          <w:rFonts w:hint="eastAsia"/>
          <w:sz w:val="28"/>
        </w:rPr>
      </w:pPr>
      <w:r>
        <w:rPr>
          <w:rFonts w:hint="eastAsia"/>
          <w:sz w:val="28"/>
        </w:rPr>
        <w:t>16螺栓，中间加塑料套管进行拉固。同时要注意防止沿基础通长方向，模板上口不直，宽度不够，下口陷入混凝土内，拆模时上段混凝土缺损，底部钉模不牢的现象。</w:t>
      </w:r>
    </w:p>
    <w:p>
      <w:pPr>
        <w:pStyle w:val="Heading2"/>
        <w:spacing w:before="120" w:after="120" w:line="500" w:lineRule="exact"/>
        <w:ind w:firstLine="420" w:firstLineChars="150"/>
        <w:rPr>
          <w:rFonts w:ascii="宋体" w:eastAsia="宋体" w:hAnsi="宋体" w:hint="eastAsia"/>
          <w:sz w:val="28"/>
          <w:szCs w:val="24"/>
        </w:rPr>
      </w:pPr>
      <w:bookmarkStart w:id="12" w:name="_Toc96961384"/>
      <w:r>
        <w:rPr>
          <w:rFonts w:ascii="宋体" w:eastAsia="宋体" w:hAnsi="宋体" w:hint="eastAsia"/>
          <w:bCs w:val="0"/>
          <w:sz w:val="28"/>
          <w:szCs w:val="24"/>
        </w:rPr>
        <w:t>4.3钢筋工程</w:t>
      </w:r>
      <w:bookmarkEnd w:id="12"/>
    </w:p>
    <w:p>
      <w:pPr>
        <w:rPr>
          <w:rFonts w:hint="eastAsia"/>
          <w:sz w:val="28"/>
        </w:rPr>
      </w:pPr>
      <w:r>
        <w:rPr>
          <w:rFonts w:hint="eastAsia"/>
          <w:sz w:val="28"/>
        </w:rPr>
        <w:t>⑴</w:t>
      </w:r>
      <w:r>
        <w:rPr>
          <w:rFonts w:hint="eastAsia"/>
          <w:sz w:val="28"/>
        </w:rPr>
        <w:t xml:space="preserve"> 钢筋制作</w:t>
      </w:r>
    </w:p>
    <w:p>
      <w:pPr>
        <w:ind w:firstLine="280" w:firstLineChars="100"/>
        <w:rPr>
          <w:rFonts w:hint="eastAsia"/>
          <w:sz w:val="28"/>
        </w:rPr>
      </w:pPr>
      <w:r>
        <w:rPr>
          <w:rFonts w:hint="eastAsia"/>
          <w:sz w:val="28"/>
        </w:rPr>
        <w:t>本工程钢筋除了要求有钢材质量出厂合格证外，还需抽样到检测部门做抗拉强度、冷弯及延伸率等力学性能的检测，符合要求后方可使用。</w:t>
      </w:r>
    </w:p>
    <w:p>
      <w:pPr>
        <w:ind w:firstLine="280" w:firstLineChars="100"/>
        <w:rPr>
          <w:rFonts w:hint="eastAsia"/>
          <w:sz w:val="28"/>
        </w:rPr>
      </w:pPr>
      <w:r>
        <w:rPr>
          <w:rFonts w:hint="eastAsia"/>
          <w:sz w:val="28"/>
        </w:rPr>
        <w:t>钢筋下料长度应根据构件尺寸、砼保护层厚度，钢筋弯曲高调整值和弯钩增加长度等规定综合考虑。</w:t>
      </w:r>
    </w:p>
    <w:p>
      <w:pPr>
        <w:ind w:firstLine="280" w:firstLineChars="100"/>
        <w:rPr>
          <w:rFonts w:hint="eastAsia"/>
          <w:sz w:val="28"/>
        </w:rPr>
      </w:pPr>
      <w:r>
        <w:rPr>
          <w:rFonts w:hint="eastAsia"/>
          <w:sz w:val="28"/>
        </w:rPr>
        <w:t>钢筋在工地加工成型，凡制作好的各种规格钢筋应挂牌。钢筋加工的形状、尺寸必须符合设计要求，钢筋表面应洁净、无损伤，油渍及铁锈。</w:t>
      </w:r>
    </w:p>
    <w:p>
      <w:pPr>
        <w:rPr>
          <w:rFonts w:hint="eastAsia"/>
          <w:sz w:val="28"/>
        </w:rPr>
      </w:pPr>
      <w:r>
        <w:rPr>
          <w:rFonts w:hint="eastAsia"/>
          <w:sz w:val="28"/>
        </w:rPr>
        <w:t>⑵</w:t>
      </w:r>
      <w:r>
        <w:rPr>
          <w:rFonts w:hint="eastAsia"/>
          <w:sz w:val="28"/>
        </w:rPr>
        <w:t xml:space="preserve"> 钢筋绑扎与安装</w:t>
      </w:r>
    </w:p>
    <w:p>
      <w:pPr>
        <w:ind w:firstLine="280" w:firstLineChars="100"/>
        <w:rPr>
          <w:rFonts w:hint="eastAsia"/>
          <w:sz w:val="28"/>
        </w:rPr>
      </w:pPr>
      <w:r>
        <w:rPr>
          <w:rFonts w:hint="eastAsia"/>
          <w:sz w:val="28"/>
        </w:rPr>
        <w:t>设备基础的钢筋网绑扎，四周两行钢筋交叉点应每点扎牢，中间部分每隔一根相互成梅花式扎牢，双向主筋的钢筋，必须将全部钢筋相互交点扎牢，注意相邻绑扎点的铁线扣要成八字形绑扎。有180弯钩的钢筋弯钩应向上，不要倒向一边；但双层钢筋网的上层钢筋弯钩应朝向下。</w:t>
      </w:r>
    </w:p>
    <w:p>
      <w:pPr>
        <w:ind w:firstLine="280" w:firstLineChars="100"/>
        <w:rPr>
          <w:rFonts w:hint="eastAsia"/>
          <w:sz w:val="28"/>
        </w:rPr>
      </w:pPr>
      <w:r>
        <w:rPr>
          <w:rFonts w:hint="eastAsia"/>
          <w:sz w:val="28"/>
        </w:rPr>
        <w:t>钢筋安装绑扎完后，要会同甲方代表及有关部门办理好隐蔽验收，方可进行混凝土浇筑。在浇筑砼过程中，应派专人负责现场钢筋的修正工作。</w:t>
      </w:r>
    </w:p>
    <w:p>
      <w:pPr>
        <w:pStyle w:val="Heading2"/>
        <w:spacing w:before="120" w:after="120" w:line="500" w:lineRule="exact"/>
        <w:ind w:firstLine="420" w:firstLineChars="150"/>
        <w:rPr>
          <w:rFonts w:ascii="宋体" w:eastAsia="宋体" w:hAnsi="宋体" w:hint="eastAsia"/>
          <w:sz w:val="28"/>
          <w:szCs w:val="24"/>
        </w:rPr>
      </w:pPr>
      <w:bookmarkStart w:id="13" w:name="_Toc96961385"/>
      <w:r>
        <w:rPr>
          <w:rFonts w:ascii="宋体" w:eastAsia="宋体" w:hAnsi="宋体" w:hint="eastAsia"/>
          <w:bCs w:val="0"/>
          <w:sz w:val="28"/>
          <w:szCs w:val="24"/>
        </w:rPr>
        <w:t>4.4砼工程</w:t>
      </w:r>
      <w:bookmarkEnd w:id="13"/>
    </w:p>
    <w:p>
      <w:pPr>
        <w:rPr>
          <w:rFonts w:hint="eastAsia"/>
          <w:sz w:val="28"/>
        </w:rPr>
      </w:pPr>
      <w:r>
        <w:rPr>
          <w:rFonts w:hint="eastAsia"/>
          <w:sz w:val="28"/>
        </w:rPr>
        <w:t>⑴</w:t>
      </w:r>
      <w:r>
        <w:rPr>
          <w:rFonts w:hint="eastAsia"/>
          <w:sz w:val="28"/>
        </w:rPr>
        <w:t>砼的选取</w:t>
      </w:r>
    </w:p>
    <w:p>
      <w:pPr>
        <w:ind w:firstLine="280" w:firstLineChars="100"/>
        <w:rPr>
          <w:rFonts w:hint="eastAsia"/>
          <w:sz w:val="28"/>
        </w:rPr>
      </w:pPr>
      <w:r>
        <w:rPr>
          <w:rFonts w:hint="eastAsia"/>
          <w:sz w:val="28"/>
        </w:rPr>
        <w:t>为保证施工质量和施工进度，本工程将采用商品砼。</w:t>
      </w:r>
    </w:p>
    <w:p>
      <w:pPr>
        <w:ind w:firstLine="280" w:firstLineChars="100"/>
        <w:rPr>
          <w:rFonts w:hint="eastAsia"/>
          <w:sz w:val="28"/>
        </w:rPr>
        <w:sectPr>
          <w:headerReference w:type="default" r:id="rId18"/>
          <w:footerReference w:type="default" r:id="rId19"/>
          <w:type w:val="nextPage"/>
          <w:pgSz w:w="11906" w:h="16838"/>
          <w:pgMar w:top="312" w:right="1418" w:bottom="623" w:left="1531" w:header="964" w:footer="992" w:gutter="0"/>
          <w:pgNumType w:start="8"/>
          <w:cols w:space="708"/>
          <w:titlePg w:val="0"/>
          <w:docGrid w:type="lines" w:linePitch="312"/>
        </w:sectPr>
      </w:pPr>
      <w:r>
        <w:rPr>
          <w:rFonts w:hint="eastAsia"/>
          <w:sz w:val="28"/>
        </w:rPr>
        <w:t>在正式施工前，商品砼供应商的试验室应先按设计图纸要求的砼强度等级进行配合比设计，并按规定做好砼及水泥的试件，经有关部门审核符合要求后，才能正式在工程施工中使用。</w:t>
      </w:r>
    </w:p>
    <w:p>
      <w:pPr>
        <w:rPr>
          <w:rFonts w:hint="eastAsia"/>
          <w:sz w:val="28"/>
        </w:rPr>
      </w:pPr>
      <w:r>
        <w:rPr>
          <w:rFonts w:hint="eastAsia"/>
          <w:sz w:val="28"/>
        </w:rPr>
        <w:t>⑵</w:t>
      </w:r>
      <w:r>
        <w:rPr>
          <w:rFonts w:hint="eastAsia"/>
          <w:sz w:val="28"/>
        </w:rPr>
        <w:t>砼的运输</w:t>
      </w:r>
    </w:p>
    <w:p>
      <w:pPr>
        <w:ind w:firstLine="280" w:firstLineChars="100"/>
        <w:rPr>
          <w:rFonts w:hint="eastAsia"/>
          <w:sz w:val="28"/>
        </w:rPr>
      </w:pPr>
      <w:r>
        <w:rPr>
          <w:rFonts w:hint="eastAsia"/>
          <w:sz w:val="28"/>
        </w:rPr>
        <w:t>砼供应商采用搅拌车将工程所需的砼由搅拌站运送至现场，再用斗车运输至浇捣地点作业。</w:t>
      </w:r>
    </w:p>
    <w:p>
      <w:pPr>
        <w:rPr>
          <w:rFonts w:hint="eastAsia"/>
          <w:sz w:val="28"/>
        </w:rPr>
      </w:pPr>
      <w:r>
        <w:rPr>
          <w:rFonts w:hint="eastAsia"/>
          <w:sz w:val="28"/>
        </w:rPr>
        <w:t>⑶</w:t>
      </w:r>
      <w:r>
        <w:rPr>
          <w:rFonts w:hint="eastAsia"/>
          <w:sz w:val="28"/>
        </w:rPr>
        <w:t xml:space="preserve"> 砼浇捣施工工艺</w:t>
      </w:r>
    </w:p>
    <w:p>
      <w:pPr>
        <w:ind w:firstLine="280" w:firstLineChars="100"/>
        <w:rPr>
          <w:rFonts w:hint="eastAsia"/>
          <w:sz w:val="28"/>
        </w:rPr>
      </w:pPr>
      <w:r>
        <w:rPr>
          <w:rFonts w:hint="eastAsia"/>
          <w:sz w:val="28"/>
        </w:rPr>
        <w:t>砼浇捣前应对模板浇水湿润，对模板内的杂物和钢筋上的油污等应清理干净。</w:t>
      </w:r>
    </w:p>
    <w:p>
      <w:pPr>
        <w:ind w:firstLine="280" w:firstLineChars="100"/>
        <w:rPr>
          <w:rFonts w:hint="eastAsia"/>
          <w:sz w:val="28"/>
        </w:rPr>
      </w:pPr>
      <w:r>
        <w:rPr>
          <w:rFonts w:hint="eastAsia"/>
          <w:sz w:val="28"/>
        </w:rPr>
        <w:t>在本工程中，每组设备基础混凝土务必一次性完成浇筑，不宜留设施工缝。浇筑混凝土时，一般分层高度为插入式振动器作用部分长度的1.25倍，最大不超过500</w:t>
      </w:r>
      <w:r>
        <w:rPr>
          <w:sz w:val="28"/>
        </w:rPr>
        <w:t>mm</w:t>
      </w:r>
      <w:r>
        <w:rPr>
          <w:rFonts w:hint="eastAsia"/>
          <w:sz w:val="28"/>
        </w:rPr>
        <w:t>。路面浇筑时平板振动器的分层厚度为</w:t>
      </w:r>
      <w:r>
        <w:rPr>
          <w:rFonts w:hint="eastAsia"/>
          <w:sz w:val="28"/>
          <w:lang w:eastAsia="zh-CN"/>
        </w:rPr>
        <w:t>201</w:t>
      </w:r>
      <w:r>
        <w:rPr>
          <w:sz w:val="28"/>
        </w:rPr>
        <w:t>mm</w:t>
      </w:r>
      <w:r>
        <w:rPr>
          <w:rFonts w:hint="eastAsia"/>
          <w:sz w:val="28"/>
        </w:rPr>
        <w:t>。</w:t>
      </w:r>
    </w:p>
    <w:p>
      <w:pPr>
        <w:ind w:firstLine="561"/>
        <w:rPr>
          <w:rFonts w:hint="eastAsia"/>
          <w:sz w:val="28"/>
        </w:rPr>
      </w:pPr>
      <w:r>
        <w:rPr>
          <w:rFonts w:hint="eastAsia"/>
          <w:sz w:val="28"/>
        </w:rPr>
        <w:t>砼终凝后，应派专人对砼表面进行浇水养护。在炎热季节应采取覆盖（采用铺麻袋等）砼表面减少水分蒸发，确保砼表面润湿。砼浇捣时，应按有关规定留置砼试件，分别进行同条件养护及28d的标准养护。</w:t>
      </w:r>
    </w:p>
    <w:p>
      <w:pPr>
        <w:pStyle w:val="Heading2"/>
        <w:spacing w:before="120" w:after="120" w:line="500" w:lineRule="exact"/>
        <w:ind w:firstLine="420" w:firstLineChars="150"/>
        <w:rPr>
          <w:rFonts w:ascii="宋体" w:eastAsia="宋体" w:hAnsi="宋体" w:hint="eastAsia"/>
          <w:sz w:val="28"/>
          <w:szCs w:val="24"/>
        </w:rPr>
      </w:pPr>
      <w:r>
        <w:rPr>
          <w:rFonts w:ascii="宋体" w:eastAsia="宋体" w:hAnsi="宋体" w:hint="eastAsia"/>
          <w:bCs w:val="0"/>
          <w:sz w:val="28"/>
          <w:szCs w:val="24"/>
        </w:rPr>
        <w:t>4.5 砖砌体工程</w:t>
      </w:r>
    </w:p>
    <w:p>
      <w:pPr>
        <w:ind w:firstLine="561"/>
        <w:rPr>
          <w:rFonts w:hint="eastAsia"/>
          <w:sz w:val="28"/>
        </w:rPr>
      </w:pPr>
      <w:r>
        <w:rPr>
          <w:rFonts w:hint="eastAsia"/>
          <w:sz w:val="28"/>
        </w:rPr>
        <w:t>1、砌体施工前一天要淋足水，并弹好砌体的砌筑控制边线，经检查合格，方可施工。</w:t>
      </w:r>
    </w:p>
    <w:p>
      <w:pPr>
        <w:ind w:firstLine="561"/>
        <w:rPr>
          <w:rFonts w:hint="eastAsia"/>
          <w:sz w:val="28"/>
        </w:rPr>
      </w:pPr>
      <w:r>
        <w:rPr>
          <w:rFonts w:hint="eastAsia"/>
          <w:sz w:val="28"/>
        </w:rPr>
        <w:t>2、砂浆搅拌要按配合比过称配料，砂浆搅拌要均匀一致，搅拌时间不少于1.5分钟。砂浆应随搅随用，拌成后3～4小时内用完。</w:t>
      </w:r>
    </w:p>
    <w:p>
      <w:pPr>
        <w:ind w:firstLine="561"/>
        <w:rPr>
          <w:rFonts w:hint="eastAsia"/>
          <w:sz w:val="28"/>
        </w:rPr>
      </w:pPr>
      <w:r>
        <w:rPr>
          <w:rFonts w:hint="eastAsia"/>
          <w:sz w:val="28"/>
        </w:rPr>
        <w:t>3、砌砖时要拉通线及垂直线，较对轴线保证墙体平整垂直。</w:t>
      </w:r>
    </w:p>
    <w:p>
      <w:pPr>
        <w:ind w:firstLine="561"/>
        <w:rPr>
          <w:rFonts w:hint="eastAsia"/>
          <w:sz w:val="28"/>
        </w:rPr>
      </w:pPr>
      <w:r>
        <w:rPr>
          <w:rFonts w:hint="eastAsia"/>
          <w:sz w:val="28"/>
        </w:rPr>
        <w:t>4、基层须清洗干净，砌砖砂浆饱满度</w:t>
      </w:r>
      <w:r>
        <w:rPr>
          <w:rFonts w:hint="eastAsia"/>
          <w:sz w:val="28"/>
        </w:rPr>
        <w:t>≥</w:t>
      </w:r>
      <w:r>
        <w:rPr>
          <w:rFonts w:hint="eastAsia"/>
          <w:sz w:val="28"/>
        </w:rPr>
        <w:t>80%，转角和交接处留槎要砌成梯级斜槎或按规定施工。</w:t>
      </w:r>
    </w:p>
    <w:p>
      <w:pPr>
        <w:ind w:firstLine="561"/>
        <w:rPr>
          <w:rFonts w:hint="eastAsia"/>
          <w:sz w:val="28"/>
        </w:rPr>
      </w:pPr>
      <w:r>
        <w:rPr>
          <w:rFonts w:hint="eastAsia"/>
          <w:sz w:val="28"/>
        </w:rPr>
        <w:t>5、砖墙砌筑应内外搭砌，上下错缝，灰缝要平直，灰缝厚度一般为8㎜～12㎜之间。</w:t>
      </w:r>
      <w:r>
        <w:rPr>
          <w:rFonts w:hint="eastAsia"/>
          <w:sz w:val="28"/>
        </w:rPr>
        <w:br/>
      </w:r>
      <w:r>
        <w:rPr>
          <w:rFonts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20" w:history="1">
        <w:r>
          <w:rPr>
            <w:rFonts w:ascii="SimSun" w:eastAsia="SimSun" w:hAnsi="SimSun" w:cs="SimSun"/>
            <w:b/>
            <w:bCs/>
            <w:color w:val="0000EE"/>
            <w:kern w:val="0"/>
            <w:sz w:val="30"/>
            <w:szCs w:val="30"/>
            <w:u w:val="single" w:color="0000EE"/>
          </w:rPr>
          <w:t>https://d.book118.com/747163060134006030</w:t>
        </w:r>
      </w:hyperlink>
    </w:p>
    <w:p>
      <w:pPr>
        <w:ind w:firstLine="561"/>
        <w:rPr>
          <w:rFonts w:hint="eastAsia"/>
          <w:sz w:val="28"/>
        </w:rPr>
      </w:pPr>
    </w:p>
    <w:sectPr>
      <w:headerReference w:type="default" r:id="rId21"/>
      <w:footerReference w:type="default" r:id="rId22"/>
      <w:type w:val="nextPage"/>
      <w:pgSz w:w="11906" w:h="16838"/>
      <w:pgMar w:top="312" w:right="1418" w:bottom="623" w:left="1531" w:header="964" w:footer="992" w:gutter="0"/>
      <w:pgNumType w:start="9"/>
      <w:cols w:space="708"/>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0"/>
    <w:family w:val="modern"/>
    <w:pitch w:val="default"/>
    <w:sig w:usb0="E0002EFF" w:usb1="C0007843" w:usb2="00000009" w:usb3="00000000" w:csb0="400001FF" w:csb1="FFFF0000"/>
  </w:font>
  <w:font w:name="楷体_GB2312">
    <w:altName w:val="楷体"/>
    <w:panose1 w:val="02010609030101010101"/>
    <w:charset w:val="86"/>
    <w:family w:val="modern"/>
    <w:pitch w:val="default"/>
    <w:sig w:usb0="00000001" w:usb1="080E0000" w:usb2="00000010" w:usb3="00000000" w:csb0="00040000" w:csb1="00000000"/>
  </w:font>
  <w:font w:name="华文新魏">
    <w:panose1 w:val="02010800040101010101"/>
    <w:charset w:val="86"/>
    <w:family w:val="auto"/>
    <w:pitch w:val="default"/>
    <w:sig w:usb0="00000001" w:usb1="080F0000" w:usb2="00000000" w:usb3="00000000" w:csb0="00040000" w:csb1="00000000"/>
  </w:font>
  <w:font w:name="方正魏碑简体">
    <w:altName w:val="宋体"/>
    <w:panose1 w:val="02010601030101010101"/>
    <w:charset w:val="86"/>
    <w:family w:val="auto"/>
    <w:pitch w:val="default"/>
    <w:sig w:usb0="00000001" w:usb1="080E0000" w:usb2="00000010" w:usb3="00000000" w:csb0="00040000" w:csb1="00000000"/>
  </w:font>
  <w:font w:name="新宋体">
    <w:panose1 w:val="02010609030101010101"/>
    <w:charset w:val="86"/>
    <w:family w:val="modern"/>
    <w:pitch w:val="default"/>
    <w:sig w:usb0="00000283" w:usb1="288F0000" w:usb2="00000006" w:usb3="00000000" w:csb0="00040001" w:csb1="00000000"/>
  </w:font>
  <w:font w:name="Symbol">
    <w:panose1 w:val="05050102010706020507"/>
    <w:charset w:val="02"/>
    <w:family w:val="roman"/>
    <w:pitch w:val="default"/>
    <w:sig w:usb0="00000000" w:usb1="00000000" w:usb2="00000000" w:usb3="00000000" w:csb0="80000000" w:csb1="00000000"/>
  </w:font>
  <w:font w:name="汉仪书宋二简">
    <w:panose1 w:val="02010600000101010101"/>
    <w:charset w:val="86"/>
    <w:family w:val="auto"/>
    <w:pitch w:val="default"/>
    <w:sig w:usb0="00000001" w:usb1="080E0800" w:usb2="00000002" w:usb3="00000000" w:csb0="00040000" w:csb1="00000000"/>
  </w:font>
  <w:font w:name="Tahoma">
    <w:panose1 w:val="020B0604030504040204"/>
    <w:charset w:val="00"/>
    <w:family w:val="swiss"/>
    <w:pitch w:val="default"/>
    <w:sig w:usb0="E1002EFF" w:usb1="C000605B" w:usb2="00000029" w:usb3="00000000" w:csb0="200101FF" w:csb1="2028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page" w:x="10162" w:y="-27"/>
      <w:tabs>
        <w:tab w:val="center" w:pos="4153"/>
        <w:tab w:val="right" w:pos="8306"/>
      </w:tabs>
      <w:rPr>
        <w:rStyle w:val="PageNumber"/>
        <w:rFonts w:hint="eastAsia"/>
      </w:rPr>
    </w:pPr>
  </w:p>
  <w:p>
    <w:pPr>
      <w:pStyle w:val="Footer"/>
      <w:tabs>
        <w:tab w:val="center" w:pos="4153"/>
        <w:tab w:val="right" w:pos="8306"/>
      </w:tabs>
      <w:ind w:right="360"/>
      <w:rPr>
        <w:rFonts w:hint="eastAsia"/>
      </w:rPr>
    </w:pPr>
    <w:r>
      <w:rPr>
        <w:rFonts w:hint="eastAsia"/>
      </w:rPr>
      <w:t xml:space="preserve">                                               </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ind w:firstLine="4500"/>
      <w:rPr>
        <w:rFonts w:hint="eastAsia"/>
        <w:b/>
        <w:sz w:val="24"/>
      </w:rPr>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r>
      <w:rPr>
        <w:rFonts w:hint="eastAsia"/>
        <w:sz w:val="24"/>
      </w:rPr>
      <w:t xml:space="preserve">                                    </w:t>
    </w:r>
    <w:r>
      <w:rPr>
        <w:rFonts w:hint="eastAsia"/>
        <w:b/>
        <w:sz w:val="24"/>
      </w:rPr>
      <w:t xml:space="preserve">  </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ind w:firstLine="4500"/>
      <w:rPr>
        <w:rFonts w:hint="eastAsia"/>
        <w:b/>
        <w:sz w:val="24"/>
      </w:rPr>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r>
      <w:rPr>
        <w:rFonts w:hint="eastAsia"/>
        <w:sz w:val="24"/>
      </w:rPr>
      <w:t xml:space="preserve">                                    </w:t>
    </w:r>
    <w:r>
      <w:rPr>
        <w:rFonts w:hint="eastAsia"/>
        <w:b/>
        <w:sz w:val="24"/>
      </w:rPr>
      <w:t xml:space="preserve">  </w:t>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ind w:firstLine="4500"/>
      <w:rPr>
        <w:rFonts w:hint="eastAsia"/>
        <w:b/>
        <w:sz w:val="24"/>
      </w:rPr>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r>
      <w:rPr>
        <w:rFonts w:hint="eastAsia"/>
        <w:sz w:val="24"/>
      </w:rPr>
      <w:t xml:space="preserve">                                    </w:t>
    </w:r>
    <w:r>
      <w:rPr>
        <w:rFonts w:hint="eastAsia"/>
        <w:b/>
        <w:sz w:val="24"/>
      </w:rPr>
      <w:t xml:space="preserve">  </w:t>
    </w: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ind w:firstLine="4500"/>
      <w:rPr>
        <w:rFonts w:hint="eastAsia"/>
        <w:b/>
        <w:sz w:val="24"/>
      </w:rPr>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r>
      <w:rPr>
        <w:rFonts w:hint="eastAsia"/>
        <w:sz w:val="24"/>
      </w:rPr>
      <w:t xml:space="preserve">                                    </w:t>
    </w:r>
    <w:r>
      <w:rPr>
        <w:rFonts w:hint="eastAsia"/>
        <w:b/>
        <w:sz w:val="24"/>
      </w:rPr>
      <w:t xml:space="preserve">  </w:t>
    </w: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ind w:firstLine="4500"/>
      <w:rPr>
        <w:rFonts w:hint="eastAsia"/>
        <w:b/>
        <w:sz w:val="24"/>
      </w:rPr>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r>
      <w:rPr>
        <w:rFonts w:hint="eastAsia"/>
        <w:sz w:val="24"/>
      </w:rPr>
      <w:t xml:space="preserve">                                    </w:t>
    </w:r>
    <w:r>
      <w:rPr>
        <w:rFonts w:hint="eastAsia"/>
        <w:b/>
        <w:sz w:val="24"/>
      </w:rPr>
      <w:t xml:space="preserve">  </w:t>
    </w: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ind w:firstLine="4500"/>
      <w:rPr>
        <w:rFonts w:hint="eastAsia"/>
        <w:b/>
        <w:sz w:val="24"/>
      </w:rPr>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r>
      <w:rPr>
        <w:rFonts w:hint="eastAsia"/>
        <w:sz w:val="24"/>
      </w:rPr>
      <w:t xml:space="preserve">                                    </w:t>
    </w:r>
    <w:r>
      <w:rPr>
        <w:rFonts w:hint="eastAsia"/>
        <w:b/>
        <w:sz w:val="24"/>
      </w:rPr>
      <w:t xml:space="preserve">  </w:t>
    </w: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ind w:firstLine="4500"/>
      <w:rPr>
        <w:rFonts w:hint="eastAsia"/>
        <w:b/>
        <w:sz w:val="24"/>
      </w:rPr>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r>
      <w:rPr>
        <w:rFonts w:hint="eastAsia"/>
        <w:sz w:val="24"/>
      </w:rPr>
      <w:t xml:space="preserve">                                    </w:t>
    </w:r>
    <w:r>
      <w:rPr>
        <w:rFonts w:hint="eastAsia"/>
        <w:b/>
        <w:sz w:val="24"/>
      </w:rPr>
      <w:t xml:space="preserve">  </w:t>
    </w: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ind w:firstLine="4500"/>
      <w:rPr>
        <w:rFonts w:hint="eastAsia"/>
        <w:b/>
        <w:sz w:val="24"/>
      </w:rPr>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r>
      <w:rPr>
        <w:rFonts w:hint="eastAsia"/>
        <w:sz w:val="24"/>
      </w:rPr>
      <w:t xml:space="preserve">                                    </w:t>
    </w:r>
    <w:r>
      <w:rPr>
        <w:rFonts w:hint="eastAsia"/>
        <w:b/>
        <w:sz w:val="24"/>
      </w:rPr>
      <w:t xml:space="preserve">  </w:t>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rPr>
        <w:rFonts w:ascii="华文新魏" w:eastAsia="华文新魏" w:hint="eastAsia"/>
        <w:spacing w:val="-10"/>
        <w:sz w:val="21"/>
      </w:rPr>
    </w:pPr>
    <w:r>
      <w:rPr>
        <w:rFonts w:hint="eastAsia"/>
      </w:rPr>
      <w:t xml:space="preserve">  </w:t>
    </w:r>
    <w:r>
      <w:rPr>
        <w:rFonts w:ascii="华文新魏" w:eastAsia="华文新魏" w:hint="eastAsia"/>
        <w:spacing w:val="-10"/>
        <w:sz w:val="21"/>
      </w:rPr>
      <w:t xml:space="preserve">                           </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rPr>
        <w:rFonts w:ascii="华文新魏" w:eastAsia="华文新魏" w:hint="eastAsia"/>
        <w:spacing w:val="-10"/>
        <w:sz w:val="21"/>
      </w:rPr>
    </w:pPr>
    <w:r>
      <w:rPr>
        <w:rFonts w:hint="eastAsia"/>
      </w:rPr>
      <w:t xml:space="preserve">  </w:t>
    </w:r>
    <w:r>
      <w:rPr>
        <w:rFonts w:hint="eastAsia"/>
        <w:sz w:val="21"/>
      </w:rPr>
      <w:t xml:space="preserve"> </w:t>
    </w:r>
    <w:r>
      <w:rPr>
        <w:rFonts w:ascii="华文新魏" w:eastAsia="华文新魏" w:hint="eastAsia"/>
        <w:spacing w:val="-10"/>
        <w:sz w:val="21"/>
      </w:rPr>
      <w:t xml:space="preserve">                          </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rPr>
        <w:rFonts w:ascii="华文新魏" w:eastAsia="华文新魏" w:hint="eastAsia"/>
        <w:spacing w:val="-10"/>
        <w:sz w:val="21"/>
      </w:rPr>
    </w:pPr>
    <w:r>
      <w:rPr>
        <w:rFonts w:hint="eastAsia"/>
      </w:rPr>
      <w:t xml:space="preserve">  </w:t>
    </w:r>
    <w:r>
      <w:rPr>
        <w:rFonts w:hint="eastAsia"/>
        <w:sz w:val="21"/>
      </w:rPr>
      <w:t xml:space="preserve"> </w:t>
    </w:r>
    <w:r>
      <w:rPr>
        <w:rFonts w:ascii="华文新魏" w:eastAsia="华文新魏" w:hint="eastAsia"/>
        <w:spacing w:val="-10"/>
        <w:sz w:val="21"/>
      </w:rPr>
      <w:t xml:space="preserve">                          </w: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rPr>
        <w:rFonts w:ascii="华文新魏" w:eastAsia="华文新魏" w:hint="eastAsia"/>
        <w:spacing w:val="-10"/>
        <w:sz w:val="21"/>
      </w:rPr>
    </w:pPr>
    <w:r>
      <w:rPr>
        <w:rFonts w:hint="eastAsia"/>
      </w:rPr>
      <w:t xml:space="preserve">  </w:t>
    </w:r>
    <w:r>
      <w:rPr>
        <w:rFonts w:hint="eastAsia"/>
        <w:sz w:val="21"/>
      </w:rPr>
      <w:t xml:space="preserve"> </w:t>
    </w:r>
    <w:r>
      <w:rPr>
        <w:rFonts w:ascii="华文新魏" w:eastAsia="华文新魏" w:hint="eastAsia"/>
        <w:spacing w:val="-10"/>
        <w:sz w:val="21"/>
      </w:rPr>
      <w:t xml:space="preserve">                          </w:t>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rPr>
        <w:rFonts w:ascii="华文新魏" w:eastAsia="华文新魏" w:hint="eastAsia"/>
        <w:spacing w:val="-10"/>
        <w:sz w:val="21"/>
      </w:rPr>
    </w:pPr>
    <w:r>
      <w:rPr>
        <w:rFonts w:hint="eastAsia"/>
      </w:rPr>
      <w:t xml:space="preserve">  </w:t>
    </w:r>
    <w:r>
      <w:rPr>
        <w:rFonts w:hint="eastAsia"/>
        <w:sz w:val="21"/>
      </w:rPr>
      <w:t xml:space="preserve"> </w:t>
    </w:r>
    <w:r>
      <w:rPr>
        <w:rFonts w:ascii="华文新魏" w:eastAsia="华文新魏" w:hint="eastAsia"/>
        <w:spacing w:val="-10"/>
        <w:sz w:val="21"/>
      </w:rPr>
      <w:t xml:space="preserve">                          </w:t>
    </w: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rPr>
        <w:rFonts w:ascii="华文新魏" w:eastAsia="华文新魏" w:hint="eastAsia"/>
        <w:spacing w:val="-10"/>
        <w:sz w:val="21"/>
      </w:rPr>
    </w:pPr>
    <w:r>
      <w:rPr>
        <w:rFonts w:hint="eastAsia"/>
      </w:rPr>
      <w:t xml:space="preserve">  </w:t>
    </w:r>
    <w:r>
      <w:rPr>
        <w:rFonts w:hint="eastAsia"/>
        <w:sz w:val="21"/>
      </w:rPr>
      <w:t xml:space="preserve"> </w:t>
    </w:r>
    <w:r>
      <w:rPr>
        <w:rFonts w:ascii="华文新魏" w:eastAsia="华文新魏" w:hint="eastAsia"/>
        <w:spacing w:val="-10"/>
        <w:sz w:val="21"/>
      </w:rPr>
      <w:t xml:space="preserve">                          </w:t>
    </w: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rPr>
        <w:rFonts w:ascii="华文新魏" w:eastAsia="华文新魏" w:hint="eastAsia"/>
        <w:spacing w:val="-10"/>
        <w:sz w:val="21"/>
      </w:rPr>
    </w:pPr>
    <w:r>
      <w:rPr>
        <w:rFonts w:hint="eastAsia"/>
      </w:rPr>
      <w:t xml:space="preserve">  </w:t>
    </w:r>
    <w:r>
      <w:rPr>
        <w:rFonts w:hint="eastAsia"/>
        <w:sz w:val="21"/>
      </w:rPr>
      <w:t xml:space="preserve"> </w:t>
    </w:r>
    <w:r>
      <w:rPr>
        <w:rFonts w:ascii="华文新魏" w:eastAsia="华文新魏" w:hint="eastAsia"/>
        <w:spacing w:val="-10"/>
        <w:sz w:val="21"/>
      </w:rPr>
      <w:t xml:space="preserve">                          </w:t>
    </w: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rPr>
        <w:rFonts w:ascii="华文新魏" w:eastAsia="华文新魏" w:hint="eastAsia"/>
        <w:spacing w:val="-10"/>
        <w:sz w:val="21"/>
      </w:rPr>
    </w:pPr>
    <w:r>
      <w:rPr>
        <w:rFonts w:hint="eastAsia"/>
      </w:rPr>
      <w:t xml:space="preserve">  </w:t>
    </w:r>
    <w:r>
      <w:rPr>
        <w:rFonts w:hint="eastAsia"/>
        <w:sz w:val="21"/>
      </w:rPr>
      <w:t xml:space="preserve"> </w:t>
    </w:r>
    <w:r>
      <w:rPr>
        <w:rFonts w:ascii="华文新魏" w:eastAsia="华文新魏" w:hint="eastAsia"/>
        <w:spacing w:val="-10"/>
        <w:sz w:val="21"/>
      </w:rPr>
      <w:t xml:space="preserve">                          </w:t>
    </w: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rPr>
        <w:rFonts w:ascii="华文新魏" w:eastAsia="华文新魏" w:hint="eastAsia"/>
        <w:spacing w:val="-10"/>
        <w:sz w:val="21"/>
      </w:rPr>
    </w:pPr>
    <w:r>
      <w:rPr>
        <w:rFonts w:hint="eastAsia"/>
      </w:rPr>
      <w:t xml:space="preserve">  </w:t>
    </w:r>
    <w:r>
      <w:rPr>
        <w:rFonts w:hint="eastAsia"/>
        <w:sz w:val="21"/>
      </w:rPr>
      <w:t xml:space="preserve"> </w:t>
    </w:r>
    <w:r>
      <w:rPr>
        <w:rFonts w:ascii="华文新魏" w:eastAsia="华文新魏" w:hint="eastAsia"/>
        <w:spacing w:val="-10"/>
        <w:sz w:val="21"/>
      </w:rPr>
      <w:t xml:space="preserve">                          </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C644445"/>
    <w:multiLevelType w:val="multilevel"/>
    <w:tmpl w:val="2C644445"/>
    <w:lvl w:ilvl="0">
      <w:start w:val="1"/>
      <w:numFmt w:val="decimal"/>
      <w:lvlText w:val="%1."/>
      <w:lvlJc w:val="left"/>
      <w:pPr>
        <w:tabs>
          <w:tab w:val="num" w:pos="570"/>
        </w:tabs>
        <w:ind w:left="570" w:hanging="420"/>
      </w:pPr>
    </w:lvl>
    <w:lvl w:ilvl="1">
      <w:start w:val="1"/>
      <w:numFmt w:val="lowerLetter"/>
      <w:lvlText w:val="%2)"/>
      <w:lvlJc w:val="left"/>
      <w:pPr>
        <w:tabs>
          <w:tab w:val="num" w:pos="990"/>
        </w:tabs>
        <w:ind w:left="990" w:hanging="420"/>
      </w:pPr>
    </w:lvl>
    <w:lvl w:ilvl="2">
      <w:start w:val="1"/>
      <w:numFmt w:val="lowerRoman"/>
      <w:lvlText w:val="%3."/>
      <w:lvlJc w:val="right"/>
      <w:pPr>
        <w:tabs>
          <w:tab w:val="num" w:pos="1410"/>
        </w:tabs>
        <w:ind w:left="1410" w:hanging="420"/>
      </w:pPr>
    </w:lvl>
    <w:lvl w:ilvl="3">
      <w:start w:val="1"/>
      <w:numFmt w:val="decimal"/>
      <w:lvlText w:val="%4."/>
      <w:lvlJc w:val="left"/>
      <w:pPr>
        <w:tabs>
          <w:tab w:val="num" w:pos="1830"/>
        </w:tabs>
        <w:ind w:left="1830" w:hanging="420"/>
      </w:pPr>
    </w:lvl>
    <w:lvl w:ilvl="4">
      <w:start w:val="1"/>
      <w:numFmt w:val="lowerLetter"/>
      <w:lvlText w:val="%5)"/>
      <w:lvlJc w:val="left"/>
      <w:pPr>
        <w:tabs>
          <w:tab w:val="num" w:pos="2250"/>
        </w:tabs>
        <w:ind w:left="2250" w:hanging="420"/>
      </w:pPr>
    </w:lvl>
    <w:lvl w:ilvl="5">
      <w:start w:val="1"/>
      <w:numFmt w:val="lowerRoman"/>
      <w:lvlText w:val="%6."/>
      <w:lvlJc w:val="right"/>
      <w:pPr>
        <w:tabs>
          <w:tab w:val="num" w:pos="2670"/>
        </w:tabs>
        <w:ind w:left="2670" w:hanging="420"/>
      </w:pPr>
    </w:lvl>
    <w:lvl w:ilvl="6">
      <w:start w:val="1"/>
      <w:numFmt w:val="decimal"/>
      <w:lvlText w:val="%7."/>
      <w:lvlJc w:val="left"/>
      <w:pPr>
        <w:tabs>
          <w:tab w:val="num" w:pos="3090"/>
        </w:tabs>
        <w:ind w:left="3090" w:hanging="420"/>
      </w:pPr>
    </w:lvl>
    <w:lvl w:ilvl="7">
      <w:start w:val="1"/>
      <w:numFmt w:val="lowerLetter"/>
      <w:lvlText w:val="%8)"/>
      <w:lvlJc w:val="left"/>
      <w:pPr>
        <w:tabs>
          <w:tab w:val="num" w:pos="3510"/>
        </w:tabs>
        <w:ind w:left="3510" w:hanging="420"/>
      </w:pPr>
    </w:lvl>
    <w:lvl w:ilvl="8">
      <w:start w:val="1"/>
      <w:numFmt w:val="lowerRoman"/>
      <w:lvlText w:val="%9."/>
      <w:lvlJc w:val="right"/>
      <w:pPr>
        <w:tabs>
          <w:tab w:val="num" w:pos="3930"/>
        </w:tabs>
        <w:ind w:left="3930" w:hanging="420"/>
      </w:pPr>
    </w:lvl>
  </w:abstractNum>
  <w:abstractNum w:abstractNumId="1">
    <w:nsid w:val="3FDA3C7F"/>
    <w:multiLevelType w:val="multilevel"/>
    <w:tmpl w:val="3FDA3C7F"/>
    <w:lvl w:ilvl="0">
      <w:start w:val="1"/>
      <w:numFmt w:val="decimal"/>
      <w:lvlText w:val="%1."/>
      <w:lvlJc w:val="left"/>
      <w:pPr>
        <w:tabs>
          <w:tab w:val="num" w:pos="570"/>
        </w:tabs>
        <w:ind w:left="570" w:hanging="420"/>
      </w:pPr>
    </w:lvl>
    <w:lvl w:ilvl="1">
      <w:start w:val="1"/>
      <w:numFmt w:val="lowerLetter"/>
      <w:lvlText w:val="%2)"/>
      <w:lvlJc w:val="left"/>
      <w:pPr>
        <w:tabs>
          <w:tab w:val="num" w:pos="990"/>
        </w:tabs>
        <w:ind w:left="990" w:hanging="420"/>
      </w:pPr>
    </w:lvl>
    <w:lvl w:ilvl="2">
      <w:start w:val="1"/>
      <w:numFmt w:val="lowerRoman"/>
      <w:lvlText w:val="%3."/>
      <w:lvlJc w:val="right"/>
      <w:pPr>
        <w:tabs>
          <w:tab w:val="num" w:pos="1410"/>
        </w:tabs>
        <w:ind w:left="1410" w:hanging="420"/>
      </w:pPr>
    </w:lvl>
    <w:lvl w:ilvl="3">
      <w:start w:val="1"/>
      <w:numFmt w:val="decimal"/>
      <w:lvlText w:val="%4."/>
      <w:lvlJc w:val="left"/>
      <w:pPr>
        <w:tabs>
          <w:tab w:val="num" w:pos="1830"/>
        </w:tabs>
        <w:ind w:left="1830" w:hanging="420"/>
      </w:pPr>
    </w:lvl>
    <w:lvl w:ilvl="4">
      <w:start w:val="1"/>
      <w:numFmt w:val="lowerLetter"/>
      <w:lvlText w:val="%5)"/>
      <w:lvlJc w:val="left"/>
      <w:pPr>
        <w:tabs>
          <w:tab w:val="num" w:pos="2250"/>
        </w:tabs>
        <w:ind w:left="2250" w:hanging="420"/>
      </w:pPr>
    </w:lvl>
    <w:lvl w:ilvl="5">
      <w:start w:val="1"/>
      <w:numFmt w:val="lowerRoman"/>
      <w:lvlText w:val="%6."/>
      <w:lvlJc w:val="right"/>
      <w:pPr>
        <w:tabs>
          <w:tab w:val="num" w:pos="2670"/>
        </w:tabs>
        <w:ind w:left="2670" w:hanging="420"/>
      </w:pPr>
    </w:lvl>
    <w:lvl w:ilvl="6">
      <w:start w:val="1"/>
      <w:numFmt w:val="decimal"/>
      <w:lvlText w:val="%7."/>
      <w:lvlJc w:val="left"/>
      <w:pPr>
        <w:tabs>
          <w:tab w:val="num" w:pos="3090"/>
        </w:tabs>
        <w:ind w:left="3090" w:hanging="420"/>
      </w:pPr>
    </w:lvl>
    <w:lvl w:ilvl="7">
      <w:start w:val="1"/>
      <w:numFmt w:val="lowerLetter"/>
      <w:lvlText w:val="%8)"/>
      <w:lvlJc w:val="left"/>
      <w:pPr>
        <w:tabs>
          <w:tab w:val="num" w:pos="3510"/>
        </w:tabs>
        <w:ind w:left="3510" w:hanging="420"/>
      </w:pPr>
    </w:lvl>
    <w:lvl w:ilvl="8">
      <w:start w:val="1"/>
      <w:numFmt w:val="lowerRoman"/>
      <w:lvlText w:val="%9."/>
      <w:lvlJc w:val="right"/>
      <w:pPr>
        <w:tabs>
          <w:tab w:val="num" w:pos="3930"/>
        </w:tabs>
        <w:ind w:left="3930" w:hanging="420"/>
      </w:p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1"/>
  <w:bordersDoNotSurroundHeader/>
  <w:bordersDoNotSurroundFooter/>
  <w:stylePaneFormatFilter w:val="3F01"/>
  <w:defaultTabStop w:val="420"/>
  <w:drawingGridVerticalSpacing w:val="156"/>
  <w:displayHorizontalDrawingGridEvery w:val="0"/>
  <w:displayVerticalDrawingGridEvery w:val="2"/>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F53D7B"/>
    <w:rsid w:val="000101DB"/>
    <w:rsid w:val="0001707E"/>
    <w:rsid w:val="000245F6"/>
    <w:rsid w:val="00025E5A"/>
    <w:rsid w:val="00026126"/>
    <w:rsid w:val="00026DF3"/>
    <w:rsid w:val="000331DA"/>
    <w:rsid w:val="00034578"/>
    <w:rsid w:val="00054108"/>
    <w:rsid w:val="00071C95"/>
    <w:rsid w:val="0007472F"/>
    <w:rsid w:val="00085146"/>
    <w:rsid w:val="00092310"/>
    <w:rsid w:val="000941AF"/>
    <w:rsid w:val="000A7BB4"/>
    <w:rsid w:val="000B0EE0"/>
    <w:rsid w:val="000B297A"/>
    <w:rsid w:val="000C604F"/>
    <w:rsid w:val="000C710D"/>
    <w:rsid w:val="000D251F"/>
    <w:rsid w:val="000F51F1"/>
    <w:rsid w:val="00111AD9"/>
    <w:rsid w:val="00113E79"/>
    <w:rsid w:val="00116F69"/>
    <w:rsid w:val="00134623"/>
    <w:rsid w:val="00146CB2"/>
    <w:rsid w:val="00150699"/>
    <w:rsid w:val="00154055"/>
    <w:rsid w:val="00154E59"/>
    <w:rsid w:val="0016743B"/>
    <w:rsid w:val="001746A1"/>
    <w:rsid w:val="00174F79"/>
    <w:rsid w:val="00180611"/>
    <w:rsid w:val="001A1544"/>
    <w:rsid w:val="001A4FC8"/>
    <w:rsid w:val="001B0F90"/>
    <w:rsid w:val="001B16D6"/>
    <w:rsid w:val="001C243E"/>
    <w:rsid w:val="00205BB7"/>
    <w:rsid w:val="0021735A"/>
    <w:rsid w:val="00232064"/>
    <w:rsid w:val="0023370D"/>
    <w:rsid w:val="00234541"/>
    <w:rsid w:val="0024144C"/>
    <w:rsid w:val="00246310"/>
    <w:rsid w:val="00251D71"/>
    <w:rsid w:val="0026089B"/>
    <w:rsid w:val="00264716"/>
    <w:rsid w:val="002660CC"/>
    <w:rsid w:val="002733A0"/>
    <w:rsid w:val="00276351"/>
    <w:rsid w:val="00282E13"/>
    <w:rsid w:val="00296E89"/>
    <w:rsid w:val="002B0116"/>
    <w:rsid w:val="002B58CE"/>
    <w:rsid w:val="002C5323"/>
    <w:rsid w:val="002D30AC"/>
    <w:rsid w:val="002E19E8"/>
    <w:rsid w:val="002F5596"/>
    <w:rsid w:val="003061DC"/>
    <w:rsid w:val="003074D6"/>
    <w:rsid w:val="00311975"/>
    <w:rsid w:val="003278F5"/>
    <w:rsid w:val="003348E4"/>
    <w:rsid w:val="00334ACF"/>
    <w:rsid w:val="00340FBB"/>
    <w:rsid w:val="00341769"/>
    <w:rsid w:val="0034359E"/>
    <w:rsid w:val="003523BD"/>
    <w:rsid w:val="00354AA8"/>
    <w:rsid w:val="00354C78"/>
    <w:rsid w:val="00362AA3"/>
    <w:rsid w:val="00371A7C"/>
    <w:rsid w:val="003742AD"/>
    <w:rsid w:val="00381A4A"/>
    <w:rsid w:val="003854A9"/>
    <w:rsid w:val="003872E7"/>
    <w:rsid w:val="0039451D"/>
    <w:rsid w:val="0039562B"/>
    <w:rsid w:val="003A198D"/>
    <w:rsid w:val="003A6433"/>
    <w:rsid w:val="003B15D2"/>
    <w:rsid w:val="003D419E"/>
    <w:rsid w:val="003D7384"/>
    <w:rsid w:val="003E7702"/>
    <w:rsid w:val="003F0C0B"/>
    <w:rsid w:val="004258A3"/>
    <w:rsid w:val="0043640A"/>
    <w:rsid w:val="00460595"/>
    <w:rsid w:val="00464B24"/>
    <w:rsid w:val="00472621"/>
    <w:rsid w:val="004976DD"/>
    <w:rsid w:val="004A1BE7"/>
    <w:rsid w:val="004A732D"/>
    <w:rsid w:val="004B6A04"/>
    <w:rsid w:val="004C2542"/>
    <w:rsid w:val="004C7F63"/>
    <w:rsid w:val="004E6333"/>
    <w:rsid w:val="004E6C7F"/>
    <w:rsid w:val="004E7137"/>
    <w:rsid w:val="004F35AE"/>
    <w:rsid w:val="004F5389"/>
    <w:rsid w:val="00500165"/>
    <w:rsid w:val="005140C9"/>
    <w:rsid w:val="00522F9B"/>
    <w:rsid w:val="005413E7"/>
    <w:rsid w:val="005465B7"/>
    <w:rsid w:val="005529E7"/>
    <w:rsid w:val="00552B7A"/>
    <w:rsid w:val="00552F1E"/>
    <w:rsid w:val="00554327"/>
    <w:rsid w:val="00554DC0"/>
    <w:rsid w:val="005558ED"/>
    <w:rsid w:val="00566A61"/>
    <w:rsid w:val="0058704E"/>
    <w:rsid w:val="005958C7"/>
    <w:rsid w:val="005A39B3"/>
    <w:rsid w:val="005A3FB7"/>
    <w:rsid w:val="005A4495"/>
    <w:rsid w:val="005A5512"/>
    <w:rsid w:val="005B5199"/>
    <w:rsid w:val="005C0D1A"/>
    <w:rsid w:val="005C1F7E"/>
    <w:rsid w:val="005C44B7"/>
    <w:rsid w:val="005E3454"/>
    <w:rsid w:val="005F1F87"/>
    <w:rsid w:val="005F4D97"/>
    <w:rsid w:val="0060615F"/>
    <w:rsid w:val="00607CFB"/>
    <w:rsid w:val="00611226"/>
    <w:rsid w:val="00616468"/>
    <w:rsid w:val="00622877"/>
    <w:rsid w:val="006247DE"/>
    <w:rsid w:val="0062489A"/>
    <w:rsid w:val="00637C84"/>
    <w:rsid w:val="006452BA"/>
    <w:rsid w:val="00647C93"/>
    <w:rsid w:val="00655C95"/>
    <w:rsid w:val="00667E98"/>
    <w:rsid w:val="00670472"/>
    <w:rsid w:val="00670920"/>
    <w:rsid w:val="00670C53"/>
    <w:rsid w:val="00675A0B"/>
    <w:rsid w:val="0068609D"/>
    <w:rsid w:val="006875F8"/>
    <w:rsid w:val="00694CA0"/>
    <w:rsid w:val="006A07F8"/>
    <w:rsid w:val="006C0617"/>
    <w:rsid w:val="006C0946"/>
    <w:rsid w:val="006E32E6"/>
    <w:rsid w:val="006E3393"/>
    <w:rsid w:val="006F11F1"/>
    <w:rsid w:val="00702765"/>
    <w:rsid w:val="00715A48"/>
    <w:rsid w:val="00731145"/>
    <w:rsid w:val="00732029"/>
    <w:rsid w:val="00737E91"/>
    <w:rsid w:val="00750901"/>
    <w:rsid w:val="0075504A"/>
    <w:rsid w:val="00760685"/>
    <w:rsid w:val="00761806"/>
    <w:rsid w:val="007620AF"/>
    <w:rsid w:val="00765195"/>
    <w:rsid w:val="00765248"/>
    <w:rsid w:val="00775DC8"/>
    <w:rsid w:val="00782C25"/>
    <w:rsid w:val="00784809"/>
    <w:rsid w:val="00793A6F"/>
    <w:rsid w:val="00795473"/>
    <w:rsid w:val="00795F37"/>
    <w:rsid w:val="007C4EEA"/>
    <w:rsid w:val="007D29BF"/>
    <w:rsid w:val="007E5AD9"/>
    <w:rsid w:val="00800047"/>
    <w:rsid w:val="00800EB4"/>
    <w:rsid w:val="00806EDA"/>
    <w:rsid w:val="008500B3"/>
    <w:rsid w:val="00853CC7"/>
    <w:rsid w:val="008611AA"/>
    <w:rsid w:val="00867F2C"/>
    <w:rsid w:val="0087078F"/>
    <w:rsid w:val="00871685"/>
    <w:rsid w:val="00871C04"/>
    <w:rsid w:val="00873912"/>
    <w:rsid w:val="008749F7"/>
    <w:rsid w:val="008752FB"/>
    <w:rsid w:val="00876F10"/>
    <w:rsid w:val="00881F8E"/>
    <w:rsid w:val="00882481"/>
    <w:rsid w:val="0088350C"/>
    <w:rsid w:val="00884B38"/>
    <w:rsid w:val="00891CFE"/>
    <w:rsid w:val="008A4A60"/>
    <w:rsid w:val="008A669E"/>
    <w:rsid w:val="008A6848"/>
    <w:rsid w:val="008C71A7"/>
    <w:rsid w:val="008D5724"/>
    <w:rsid w:val="008D6CA4"/>
    <w:rsid w:val="008F158C"/>
    <w:rsid w:val="00903D8C"/>
    <w:rsid w:val="00910B2E"/>
    <w:rsid w:val="00920643"/>
    <w:rsid w:val="00920ABE"/>
    <w:rsid w:val="00924A46"/>
    <w:rsid w:val="0092572D"/>
    <w:rsid w:val="009257D3"/>
    <w:rsid w:val="0093079D"/>
    <w:rsid w:val="009319F9"/>
    <w:rsid w:val="0095195A"/>
    <w:rsid w:val="00972539"/>
    <w:rsid w:val="00973A7E"/>
    <w:rsid w:val="009772B4"/>
    <w:rsid w:val="00986076"/>
    <w:rsid w:val="0099195E"/>
    <w:rsid w:val="009A2905"/>
    <w:rsid w:val="009B54C8"/>
    <w:rsid w:val="009C5E3B"/>
    <w:rsid w:val="009C7EDB"/>
    <w:rsid w:val="009D3056"/>
    <w:rsid w:val="009D4B42"/>
    <w:rsid w:val="009E0D13"/>
    <w:rsid w:val="009E160C"/>
    <w:rsid w:val="009E278B"/>
    <w:rsid w:val="009F1FA3"/>
    <w:rsid w:val="009F477C"/>
    <w:rsid w:val="009F5581"/>
    <w:rsid w:val="009F633D"/>
    <w:rsid w:val="00A0066F"/>
    <w:rsid w:val="00A03DA4"/>
    <w:rsid w:val="00A05F80"/>
    <w:rsid w:val="00A120AB"/>
    <w:rsid w:val="00A134BA"/>
    <w:rsid w:val="00A314FD"/>
    <w:rsid w:val="00A372E8"/>
    <w:rsid w:val="00A60D8A"/>
    <w:rsid w:val="00A63B0E"/>
    <w:rsid w:val="00A67863"/>
    <w:rsid w:val="00A72AFB"/>
    <w:rsid w:val="00A86975"/>
    <w:rsid w:val="00A87C45"/>
    <w:rsid w:val="00A93118"/>
    <w:rsid w:val="00A960EB"/>
    <w:rsid w:val="00AA4B92"/>
    <w:rsid w:val="00AC116F"/>
    <w:rsid w:val="00AC22AD"/>
    <w:rsid w:val="00AC4061"/>
    <w:rsid w:val="00AD5B9F"/>
    <w:rsid w:val="00AD69DB"/>
    <w:rsid w:val="00AD6AC7"/>
    <w:rsid w:val="00AF2AEB"/>
    <w:rsid w:val="00AF7761"/>
    <w:rsid w:val="00B05A23"/>
    <w:rsid w:val="00B0765F"/>
    <w:rsid w:val="00B11733"/>
    <w:rsid w:val="00B129F5"/>
    <w:rsid w:val="00B147B7"/>
    <w:rsid w:val="00B24732"/>
    <w:rsid w:val="00B31487"/>
    <w:rsid w:val="00B32A8D"/>
    <w:rsid w:val="00B35598"/>
    <w:rsid w:val="00B37330"/>
    <w:rsid w:val="00B440F0"/>
    <w:rsid w:val="00B5368D"/>
    <w:rsid w:val="00B579F6"/>
    <w:rsid w:val="00B57D45"/>
    <w:rsid w:val="00B75318"/>
    <w:rsid w:val="00B76500"/>
    <w:rsid w:val="00B850EE"/>
    <w:rsid w:val="00B85D10"/>
    <w:rsid w:val="00B95B8B"/>
    <w:rsid w:val="00B96309"/>
    <w:rsid w:val="00BC1C64"/>
    <w:rsid w:val="00BC5A69"/>
    <w:rsid w:val="00BD119C"/>
    <w:rsid w:val="00BF4A4C"/>
    <w:rsid w:val="00BF651F"/>
    <w:rsid w:val="00C11A54"/>
    <w:rsid w:val="00C3243E"/>
    <w:rsid w:val="00C35C30"/>
    <w:rsid w:val="00C471D0"/>
    <w:rsid w:val="00C5103E"/>
    <w:rsid w:val="00C54C4D"/>
    <w:rsid w:val="00C652A5"/>
    <w:rsid w:val="00C80E86"/>
    <w:rsid w:val="00C87E8F"/>
    <w:rsid w:val="00CA06D2"/>
    <w:rsid w:val="00CA1B2D"/>
    <w:rsid w:val="00CA2F7D"/>
    <w:rsid w:val="00CA3B0C"/>
    <w:rsid w:val="00CA536B"/>
    <w:rsid w:val="00CB1B83"/>
    <w:rsid w:val="00CB1EE0"/>
    <w:rsid w:val="00CC444D"/>
    <w:rsid w:val="00CC4E64"/>
    <w:rsid w:val="00CD6780"/>
    <w:rsid w:val="00CE178B"/>
    <w:rsid w:val="00CF2941"/>
    <w:rsid w:val="00D036BF"/>
    <w:rsid w:val="00D17231"/>
    <w:rsid w:val="00D278DD"/>
    <w:rsid w:val="00D31451"/>
    <w:rsid w:val="00D46576"/>
    <w:rsid w:val="00D53440"/>
    <w:rsid w:val="00D55A09"/>
    <w:rsid w:val="00D71A4A"/>
    <w:rsid w:val="00D74320"/>
    <w:rsid w:val="00D772E9"/>
    <w:rsid w:val="00D80D03"/>
    <w:rsid w:val="00DA397F"/>
    <w:rsid w:val="00DB6E0B"/>
    <w:rsid w:val="00DC6272"/>
    <w:rsid w:val="00DC7889"/>
    <w:rsid w:val="00DD26D5"/>
    <w:rsid w:val="00E07AEA"/>
    <w:rsid w:val="00E2338E"/>
    <w:rsid w:val="00E363A6"/>
    <w:rsid w:val="00E42760"/>
    <w:rsid w:val="00E60FDE"/>
    <w:rsid w:val="00E6279E"/>
    <w:rsid w:val="00E63F2E"/>
    <w:rsid w:val="00E669EE"/>
    <w:rsid w:val="00E66B2C"/>
    <w:rsid w:val="00E93460"/>
    <w:rsid w:val="00E96C94"/>
    <w:rsid w:val="00E97F1E"/>
    <w:rsid w:val="00EA20D6"/>
    <w:rsid w:val="00EA5F5A"/>
    <w:rsid w:val="00EB3FC3"/>
    <w:rsid w:val="00EB406C"/>
    <w:rsid w:val="00EB43B7"/>
    <w:rsid w:val="00EE5590"/>
    <w:rsid w:val="00EE62F1"/>
    <w:rsid w:val="00EF473D"/>
    <w:rsid w:val="00EF7E34"/>
    <w:rsid w:val="00F0641F"/>
    <w:rsid w:val="00F10232"/>
    <w:rsid w:val="00F22035"/>
    <w:rsid w:val="00F23BB2"/>
    <w:rsid w:val="00F24193"/>
    <w:rsid w:val="00F2750C"/>
    <w:rsid w:val="00F31EB5"/>
    <w:rsid w:val="00F4113F"/>
    <w:rsid w:val="00F44406"/>
    <w:rsid w:val="00F44818"/>
    <w:rsid w:val="00F46532"/>
    <w:rsid w:val="00F50A5B"/>
    <w:rsid w:val="00F51176"/>
    <w:rsid w:val="00F539EC"/>
    <w:rsid w:val="00F53D7B"/>
    <w:rsid w:val="00F67CD2"/>
    <w:rsid w:val="00F87E56"/>
    <w:rsid w:val="00F92EBA"/>
    <w:rsid w:val="00F959A8"/>
    <w:rsid w:val="00F96F5F"/>
    <w:rsid w:val="00FA5E91"/>
    <w:rsid w:val="00FB28A4"/>
    <w:rsid w:val="00FB3310"/>
    <w:rsid w:val="00FB6E38"/>
    <w:rsid w:val="00FD1969"/>
    <w:rsid w:val="00FD57E4"/>
    <w:rsid w:val="00FE4607"/>
    <w:rsid w:val="00FE4CED"/>
    <w:rsid w:val="00FF0AC3"/>
    <w:rsid w:val="0D4B280C"/>
    <w:rsid w:val="0E330C5D"/>
    <w:rsid w:val="15BE1AC7"/>
    <w:rsid w:val="18DB2CF7"/>
    <w:rsid w:val="1B1D2E24"/>
    <w:rsid w:val="25BE71D5"/>
    <w:rsid w:val="29417969"/>
    <w:rsid w:val="2B7038A0"/>
    <w:rsid w:val="31243230"/>
    <w:rsid w:val="3F70041E"/>
    <w:rsid w:val="3FD84540"/>
    <w:rsid w:val="47ED3310"/>
    <w:rsid w:val="5F9630BC"/>
    <w:rsid w:val="636E262F"/>
    <w:rsid w:val="6F584D8D"/>
    <w:rsid w:val="708A08EB"/>
    <w:rsid w:val="74D80B53"/>
    <w:rsid w:val="7A79703A"/>
    <w:rsid w:val="7C9712F4"/>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iPriority="0" w:unhideWhenUsed="0"/>
    <w:lsdException w:name="heading 2" w:semiHidden="0" w:uiPriority="0" w:unhideWhenUsed="0"/>
    <w:lsdException w:name="heading 3" w:semiHidden="0" w:uiPriority="0" w:unhideWhenUsed="0"/>
    <w:lsdException w:name="heading 4" w:semiHidden="0" w:uiPriority="0" w:unhideWhenUsed="0"/>
    <w:lsdException w:name="heading 5" w:semiHidden="0" w:uiPriority="0" w:unhideWhenUsed="0"/>
    <w:lsdException w:name="heading 6" w:semiHidden="0" w:uiPriority="0" w:unhideWhenUsed="0"/>
    <w:lsdException w:name="heading 7" w:semiHidden="0" w:uiPriority="0" w:unhideWhenUsed="0"/>
    <w:lsdException w:name="heading 8" w:semiHidden="0" w:uiPriority="0" w:unhideWhenUsed="0"/>
    <w:lsdException w:name="heading 9" w:semiHidden="0" w:uiPriority="0" w:unhideWhenUsed="0"/>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semiHidden="0" w:uiPriority="0" w:unhideWhenUsed="0"/>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lsdException w:name="Closing" w:semiHidden="0" w:uiPriority="0" w:unhideWhenUsed="0"/>
    <w:lsdException w:name="Signature" w:semiHidden="0" w:uiPriority="0" w:unhideWhenUsed="0"/>
    <w:lsdException w:name="Default Paragraph Font" w:semiHidden="0"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lsdException w:name="Emphasis" w:semiHidden="0" w:uiPriority="0" w:unhideWhenUsed="0"/>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semiHidden="0"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pPr>
      <w:widowControl w:val="0"/>
      <w:jc w:val="both"/>
    </w:pPr>
    <w:rPr>
      <w:rFonts w:eastAsia="宋体"/>
      <w:kern w:val="2"/>
      <w:sz w:val="21"/>
      <w:szCs w:val="24"/>
      <w:lang w:val="en-US" w:eastAsia="zh-CN" w:bidi="ar-SA"/>
    </w:rPr>
  </w:style>
  <w:style w:type="paragraph" w:styleId="Heading1">
    <w:name w:val="heading 1"/>
    <w:basedOn w:val="Normal"/>
    <w:next w:val="Normal"/>
    <w:pPr>
      <w:keepNext/>
      <w:keepLines/>
      <w:spacing w:before="340" w:after="330" w:line="578" w:lineRule="auto"/>
      <w:outlineLvl w:val="0"/>
    </w:pPr>
    <w:rPr>
      <w:b/>
      <w:bCs/>
      <w:kern w:val="44"/>
      <w:sz w:val="44"/>
      <w:szCs w:val="44"/>
    </w:rPr>
  </w:style>
  <w:style w:type="paragraph" w:styleId="Heading2">
    <w:name w:val="heading 2"/>
    <w:basedOn w:val="Normal"/>
    <w:next w:val="Normal"/>
    <w:pPr>
      <w:keepNext/>
      <w:keepLines/>
      <w:spacing w:before="260" w:after="260" w:line="416" w:lineRule="auto"/>
      <w:outlineLvl w:val="1"/>
    </w:pPr>
    <w:rPr>
      <w:rFonts w:ascii="Arial" w:eastAsia="黑体" w:hAnsi="Arial"/>
      <w:b/>
      <w:bCs/>
      <w:sz w:val="32"/>
      <w:szCs w:val="32"/>
    </w:rPr>
  </w:style>
  <w:style w:type="paragraph" w:styleId="Heading3">
    <w:name w:val="heading 3"/>
    <w:basedOn w:val="Normal"/>
    <w:next w:val="Normal"/>
    <w:pPr>
      <w:keepNext/>
      <w:keepLines/>
      <w:spacing w:before="260" w:after="260" w:line="416" w:lineRule="auto"/>
      <w:outlineLvl w:val="2"/>
    </w:pPr>
    <w:rPr>
      <w:b/>
      <w:bCs/>
      <w:sz w:val="32"/>
      <w:szCs w:val="32"/>
    </w:rPr>
  </w:style>
  <w:style w:type="paragraph" w:styleId="Heading4">
    <w:name w:val="heading 4"/>
    <w:basedOn w:val="Normal"/>
    <w:next w:val="Normal"/>
    <w:pPr>
      <w:keepNext/>
      <w:keepLines/>
      <w:spacing w:before="50" w:beforeLines="50" w:line="360" w:lineRule="auto"/>
      <w:ind w:left="100" w:leftChars="100"/>
      <w:outlineLvl w:val="3"/>
    </w:pPr>
    <w:rPr>
      <w:rFonts w:ascii="Arial" w:hAnsi="Arial"/>
      <w:b/>
      <w:bCs/>
      <w:sz w:val="28"/>
      <w:szCs w:val="28"/>
    </w:rPr>
  </w:style>
  <w:style w:type="character" w:default="1" w:styleId="DefaultParagraphFont">
    <w:name w:val="Default Paragraph Font"/>
  </w:style>
  <w:style w:type="table" w:default="1" w:styleId="TableNormal">
    <w:name w:val="Normal Table"/>
    <w:tblPr>
      <w:tblCellMar>
        <w:top w:w="0" w:type="dxa"/>
        <w:left w:w="108" w:type="dxa"/>
        <w:bottom w:w="0" w:type="dxa"/>
        <w:right w:w="108" w:type="dxa"/>
      </w:tblCellMar>
    </w:tblPr>
  </w:style>
  <w:style w:type="paragraph" w:styleId="TOC7">
    <w:name w:val="toc 7"/>
    <w:basedOn w:val="Normal"/>
    <w:next w:val="Normal"/>
    <w:pPr>
      <w:ind w:left="2520" w:leftChars="1200"/>
    </w:pPr>
  </w:style>
  <w:style w:type="paragraph" w:styleId="NormalIndent">
    <w:name w:val="Normal Indent"/>
    <w:basedOn w:val="Normal"/>
    <w:pPr>
      <w:spacing w:line="460" w:lineRule="exact"/>
      <w:ind w:firstLine="200" w:firstLineChars="200"/>
    </w:pPr>
    <w:rPr>
      <w:sz w:val="28"/>
    </w:rPr>
  </w:style>
  <w:style w:type="paragraph" w:styleId="DocumentMap">
    <w:name w:val="Document Map"/>
    <w:basedOn w:val="Normal"/>
    <w:pPr>
      <w:shd w:val="clear" w:color="auto" w:fill="000080"/>
    </w:pPr>
    <w:rPr>
      <w:rFonts w:ascii="Times New Roman" w:hAnsi="Times New Roman" w:cs="Times New Roman"/>
      <w:szCs w:val="20"/>
    </w:rPr>
  </w:style>
  <w:style w:type="paragraph" w:styleId="BodyText3">
    <w:name w:val="Body Text 3"/>
    <w:basedOn w:val="Normal"/>
    <w:rPr>
      <w:sz w:val="30"/>
    </w:rPr>
  </w:style>
  <w:style w:type="paragraph" w:styleId="BodyText">
    <w:name w:val="Body Text"/>
    <w:basedOn w:val="Normal"/>
    <w:rPr>
      <w:sz w:val="32"/>
      <w:szCs w:val="20"/>
    </w:rPr>
  </w:style>
  <w:style w:type="paragraph" w:styleId="BodyTextIndent">
    <w:name w:val="Body Text Indent"/>
    <w:basedOn w:val="Normal"/>
    <w:pPr>
      <w:spacing w:line="360" w:lineRule="auto"/>
      <w:ind w:firstLine="600" w:firstLineChars="200"/>
    </w:pPr>
    <w:rPr>
      <w:rFonts w:ascii="宋体" w:hAnsi="宋体"/>
      <w:sz w:val="30"/>
    </w:rPr>
  </w:style>
  <w:style w:type="paragraph" w:styleId="TOC5">
    <w:name w:val="toc 5"/>
    <w:basedOn w:val="Normal"/>
    <w:next w:val="Normal"/>
    <w:pPr>
      <w:ind w:left="1680" w:leftChars="800"/>
    </w:pPr>
  </w:style>
  <w:style w:type="paragraph" w:styleId="TOC3">
    <w:name w:val="toc 3"/>
    <w:basedOn w:val="Normal"/>
    <w:next w:val="Normal"/>
    <w:pPr>
      <w:ind w:left="840" w:leftChars="400"/>
    </w:pPr>
  </w:style>
  <w:style w:type="paragraph" w:styleId="PlainText">
    <w:name w:val="Plain Text"/>
    <w:basedOn w:val="Normal"/>
    <w:rPr>
      <w:rFonts w:ascii="宋体" w:hAnsi="Courier New"/>
      <w:szCs w:val="20"/>
    </w:rPr>
  </w:style>
  <w:style w:type="paragraph" w:styleId="TOC8">
    <w:name w:val="toc 8"/>
    <w:basedOn w:val="Normal"/>
    <w:next w:val="Normal"/>
    <w:pPr>
      <w:ind w:left="2940" w:leftChars="1400"/>
    </w:pPr>
  </w:style>
  <w:style w:type="paragraph" w:styleId="Date">
    <w:name w:val="Date"/>
    <w:basedOn w:val="Normal"/>
    <w:next w:val="Normal"/>
    <w:rPr>
      <w:rFonts w:ascii="宋体" w:hAnsi="Courier New"/>
      <w:sz w:val="30"/>
      <w:szCs w:val="20"/>
    </w:rPr>
  </w:style>
  <w:style w:type="paragraph" w:styleId="BodyTextIndent2">
    <w:name w:val="Body Text Indent 2"/>
    <w:basedOn w:val="Normal"/>
    <w:pPr>
      <w:ind w:firstLine="600"/>
    </w:pPr>
    <w:rPr>
      <w:sz w:val="28"/>
    </w:rPr>
  </w:style>
  <w:style w:type="paragraph" w:styleId="BalloonText">
    <w:name w:val="Balloon Text"/>
    <w:basedOn w:val="Normal"/>
    <w:rPr>
      <w:rFonts w:ascii="Times New Roman" w:hAnsi="Times New Roman" w:cs="Times New Roman"/>
      <w:sz w:val="18"/>
      <w:szCs w:val="18"/>
    </w:rPr>
  </w:style>
  <w:style w:type="paragraph" w:styleId="Footer">
    <w:name w:val="footer"/>
    <w:basedOn w:val="Normal"/>
    <w:pPr>
      <w:tabs>
        <w:tab w:val="center" w:pos="4153"/>
        <w:tab w:val="right" w:pos="8306"/>
      </w:tabs>
      <w:snapToGrid w:val="0"/>
      <w:jc w:val="left"/>
    </w:pPr>
    <w:rPr>
      <w:sz w:val="18"/>
      <w:szCs w:val="18"/>
    </w:rPr>
  </w:style>
  <w:style w:type="paragraph" w:styleId="Header">
    <w:name w:val="header"/>
    <w:basedOn w:val="Normal"/>
    <w:pPr>
      <w:pBdr>
        <w:bottom w:val="single" w:sz="6" w:space="1" w:color="auto"/>
      </w:pBdr>
      <w:tabs>
        <w:tab w:val="center" w:pos="4153"/>
        <w:tab w:val="right" w:pos="8306"/>
      </w:tabs>
      <w:snapToGrid w:val="0"/>
      <w:jc w:val="center"/>
    </w:pPr>
    <w:rPr>
      <w:sz w:val="18"/>
      <w:szCs w:val="18"/>
    </w:rPr>
  </w:style>
  <w:style w:type="paragraph" w:styleId="TOC1">
    <w:name w:val="toc 1"/>
    <w:basedOn w:val="Normal"/>
    <w:next w:val="Normal"/>
  </w:style>
  <w:style w:type="paragraph" w:styleId="TOC4">
    <w:name w:val="toc 4"/>
    <w:basedOn w:val="Normal"/>
    <w:next w:val="Normal"/>
    <w:pPr>
      <w:ind w:left="1260" w:leftChars="600"/>
    </w:pPr>
  </w:style>
  <w:style w:type="paragraph" w:styleId="TOC6">
    <w:name w:val="toc 6"/>
    <w:basedOn w:val="Normal"/>
    <w:next w:val="Normal"/>
    <w:pPr>
      <w:ind w:left="2100" w:leftChars="1000"/>
    </w:pPr>
  </w:style>
  <w:style w:type="paragraph" w:styleId="BodyTextIndent3">
    <w:name w:val="Body Text Indent 3"/>
    <w:basedOn w:val="Normal"/>
    <w:pPr>
      <w:spacing w:line="360" w:lineRule="auto"/>
      <w:ind w:left="199" w:firstLine="600" w:leftChars="95" w:firstLineChars="200"/>
    </w:pPr>
    <w:rPr>
      <w:rFonts w:ascii="宋体" w:hAnsi="宋体"/>
      <w:sz w:val="30"/>
    </w:rPr>
  </w:style>
  <w:style w:type="paragraph" w:styleId="TOC2">
    <w:name w:val="toc 2"/>
    <w:basedOn w:val="Normal"/>
    <w:next w:val="Normal"/>
    <w:pPr>
      <w:tabs>
        <w:tab w:val="left" w:pos="2100"/>
        <w:tab w:val="right" w:leader="dot" w:pos="8947"/>
      </w:tabs>
      <w:spacing w:line="500" w:lineRule="exact"/>
      <w:ind w:left="420" w:firstLine="450" w:leftChars="200" w:firstLineChars="150"/>
    </w:pPr>
    <w:rPr>
      <w:sz w:val="30"/>
    </w:rPr>
  </w:style>
  <w:style w:type="paragraph" w:styleId="TOC9">
    <w:name w:val="toc 9"/>
    <w:basedOn w:val="Normal"/>
    <w:next w:val="Normal"/>
    <w:pPr>
      <w:ind w:left="3360" w:leftChars="1600"/>
    </w:pPr>
  </w:style>
  <w:style w:type="paragraph" w:styleId="BodyText2">
    <w:name w:val="Body Text 2"/>
    <w:basedOn w:val="Normal"/>
    <w:pPr>
      <w:jc w:val="center"/>
    </w:pPr>
  </w:style>
  <w:style w:type="paragraph" w:styleId="NormalWeb">
    <w:name w:val="Normal (Web)"/>
    <w:basedOn w:val="Normal"/>
    <w:pPr>
      <w:widowControl/>
      <w:spacing w:before="150" w:line="360" w:lineRule="auto"/>
      <w:jc w:val="left"/>
    </w:pPr>
    <w:rPr>
      <w:rFonts w:ascii="宋体" w:hAnsi="宋体" w:cs="宋体"/>
      <w:kern w:val="0"/>
      <w:sz w:val="24"/>
    </w:rPr>
  </w:style>
  <w:style w:type="table" w:styleId="TableWeb1">
    <w:name w:val="Table Web 1"/>
    <w:basedOn w:val="TableNormal"/>
    <w:pPr>
      <w:widowControl w:val="0"/>
      <w:jc w:val="both"/>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cPr>
      <w:shd w:val="clear" w:color="auto" w:fill="auto"/>
    </w:tcPr>
    <w:tblStylePr w:type="firstRow">
      <w:rPr>
        <w:color w:val="auto"/>
      </w:rPr>
      <w:tblPr/>
      <w:tcPr>
        <w:tcBorders>
          <w:top w:val="nil"/>
          <w:left w:val="nil"/>
          <w:bottom w:val="nil"/>
          <w:right w:val="nil"/>
          <w:insideH w:val="nil"/>
          <w:insideV w:val="nil"/>
          <w:tl2br w:val="nil"/>
          <w:tr2bl w:val="nil"/>
        </w:tcBorders>
      </w:tcPr>
    </w:tblStylePr>
  </w:style>
  <w:style w:type="character" w:styleId="PageNumber">
    <w:name w:val="page number"/>
    <w:basedOn w:val="DefaultParagraphFont"/>
  </w:style>
  <w:style w:type="character" w:styleId="FollowedHyperlink">
    <w:name w:val="FollowedHyperlink"/>
    <w:basedOn w:val="DefaultParagraphFont"/>
    <w:rPr>
      <w:color w:val="800080"/>
      <w:u w:val="single"/>
    </w:rPr>
  </w:style>
  <w:style w:type="character" w:styleId="Hyperlink">
    <w:name w:val="Hyperlink"/>
    <w:basedOn w:val="DefaultParagraphFont"/>
    <w:rPr>
      <w:color w:val="0000FF"/>
      <w:u w:val="single"/>
    </w:rPr>
  </w:style>
  <w:style w:type="paragraph" w:customStyle="1" w:styleId="a">
    <w:name w:val="奉读大示，心折殊深。"/>
    <w:pPr>
      <w:widowControl w:val="0"/>
      <w:jc w:val="both"/>
    </w:pPr>
    <w:rPr>
      <w:kern w:val="2"/>
      <w:sz w:val="21"/>
      <w:lang w:val="en-US" w:eastAsia="zh-CN" w:bidi="ar-SA"/>
    </w:rPr>
  </w:style>
  <w:style w:type="paragraph" w:customStyle="1" w:styleId="a0">
    <w:name w:val="文本框及表格"/>
    <w:basedOn w:val="Normal"/>
    <w:pPr>
      <w:snapToGrid w:val="0"/>
      <w:spacing w:line="160" w:lineRule="atLeast"/>
    </w:pPr>
    <w:rPr>
      <w:rFonts w:ascii="宋体"/>
      <w:snapToGrid w:val="0"/>
      <w:spacing w:val="20"/>
      <w:sz w:val="28"/>
      <w:szCs w:val="20"/>
    </w:rPr>
  </w:style>
  <w:style w:type="paragraph" w:customStyle="1" w:styleId="4">
    <w:name w:val="标题4"/>
    <w:pPr>
      <w:widowControl w:val="0"/>
      <w:spacing w:line="360" w:lineRule="auto"/>
      <w:jc w:val="both"/>
    </w:pPr>
    <w:rPr>
      <w:rFonts w:eastAsia="楷体_GB2312"/>
      <w:b/>
      <w:kern w:val="2"/>
      <w:sz w:val="28"/>
      <w:lang w:val="en-US" w:eastAsia="zh-CN" w:bidi="ar-SA"/>
    </w:rPr>
  </w:style>
  <w:style w:type="paragraph" w:customStyle="1" w:styleId="Style26">
    <w:name w:val="_Style 26"/>
    <w:basedOn w:val="Normal"/>
    <w:next w:val="PlainText"/>
    <w:rPr>
      <w:rFonts w:ascii="宋体" w:hAnsi="Courier New" w:cs="Times New Roman"/>
      <w:szCs w:val="20"/>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yperlink" Target="https://d.book118.com/747163060134006030" TargetMode="External" /><Relationship Id="rId21" Type="http://schemas.openxmlformats.org/officeDocument/2006/relationships/header" Target="header9.xml" /><Relationship Id="rId22" Type="http://schemas.openxmlformats.org/officeDocument/2006/relationships/footer" Target="footer9.xml" /><Relationship Id="rId23" Type="http://schemas.openxmlformats.org/officeDocument/2006/relationships/theme" Target="theme/theme1.xml" /><Relationship Id="rId24" Type="http://schemas.openxmlformats.org/officeDocument/2006/relationships/numbering" Target="numbering.xml" /><Relationship Id="rId25" Type="http://schemas.openxmlformats.org/officeDocument/2006/relationships/styles" Target="style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Template>
  <TotalTime>0</TotalTime>
  <Pages>10</Pages>
  <Words>1210</Words>
  <Characters>6903</Characters>
  <Application>Microsoft Office Word</Application>
  <DocSecurity>0</DocSecurity>
  <Lines>57</Lines>
  <Paragraphs>16</Paragraphs>
  <ScaleCrop>false</ScaleCrop>
  <Company/>
  <LinksUpToDate>false</LinksUpToDate>
  <CharactersWithSpaces>8097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zx</dc:creator>
  <cp:lastModifiedBy>张新</cp:lastModifiedBy>
  <cp:revision>0</cp:revision>
  <cp:lastPrinted>2007-09-07T14:30:00Z</cp:lastPrinted>
  <dcterms:created xsi:type="dcterms:W3CDTF">2005-02-04T05:21:00Z</dcterms:created>
  <dcterms:modified xsi:type="dcterms:W3CDTF">2024-01-01T11:44:19Z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DDDC086F8C674C01AA16E931630EC962_13</vt:lpwstr>
  </property>
  <property fmtid="{D5CDD505-2E9C-101B-9397-08002B2CF9AE}" pid="3" name="KSOProductBuildVer">
    <vt:lpwstr>2052-12.1.0.16120</vt:lpwstr>
  </property>
</Properties>
</file>