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19" w:lineRule="exact"/>
      </w:pPr>
      <w:r>
        <mc:AlternateContent>
          <mc:Choice Requires="wps">
            <w:drawing>
              <wp:anchor distT="0" distB="0" distL="0" distR="0" simplePos="0" relativeHeight="251659264" behindDoc="1" locked="0" layoutInCell="0" allowOverlap="1">
                <wp:simplePos x="0" y="0"/>
                <wp:positionH relativeFrom="page">
                  <wp:posOffset>248920</wp:posOffset>
                </wp:positionH>
                <wp:positionV relativeFrom="page">
                  <wp:posOffset>10095548</wp:posOffset>
                </wp:positionV>
                <wp:extent cx="6972300" cy="9525"/>
                <wp:effectExtent l="0" t="0" r="0" b="0"/>
                <wp:wrapNone/>
                <wp:docPr id="2" name="Rect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48920" y="10095548"/>
                          <a:ext cx="6972300" cy="9525"/>
                        </a:xfrm>
                        <a:prstGeom prst="rect">
                          <a:avLst/>
                        </a:prstGeom>
                        <a:solidFill>
                          <a:srgbClr val="5F5F5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2" o:spid="_x0000_s1025" style="width:549pt;height:0.75pt;margin-top:794.93pt;margin-left:19.6pt;mso-position-horizontal-relative:page;mso-position-vertical-relative:page;mso-wrap-distance-bottom:0;mso-wrap-distance-left:0;mso-wrap-distance-right:0;mso-wrap-distance-top:0;position:absolute;v-text-anchor:top;z-index:-251658240" o:allowincell="f" fillcolor="#5f5f5f" stroked="f"/>
            </w:pict>
          </mc:Fallback>
        </mc:AlternateConten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166.75pt;height:13.05pt;margin-top:798.82pt;margin-left:18.5pt;mso-position-horizontal-relative:page;mso-position-vertical-relative:page;position:absolute;z-index:-251656192" o:allowincell="f" filled="f" stroked="f">
            <o:lock v:ext="edit" aspectratio="f"/>
            <v:textbox inset="0,0,0,0">
              <w:txbxContent>
                <w:p>
                  <w:pPr>
                    <w:tabs>
                      <w:tab w:val="left" w:pos="126"/>
                    </w:tabs>
                    <w:spacing w:before="20" w:line="219" w:lineRule="auto"/>
                    <w:ind w:left="20"/>
                    <w:rPr>
                      <w:rFonts w:ascii="FangSong" w:eastAsia="FangSong" w:hAnsi="FangSong" w:cs="FangSong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FFFFFF"/>
                      <w:position w:val="2"/>
                      <w:sz w:val="18"/>
                      <w:szCs w:val="18"/>
                      <w:shd w:val="clear" w:color="auto" w:fill="800000"/>
                    </w:rPr>
                    <w:tab/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pacing w:val="5"/>
                      <w:position w:val="2"/>
                      <w:sz w:val="18"/>
                      <w:szCs w:val="18"/>
                      <w:shd w:val="clear" w:color="auto" w:fill="800000"/>
                    </w:rPr>
                    <w:t xml:space="preserve">1  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pacing w:val="21"/>
                      <w:position w:val="2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FangSong" w:eastAsia="FangSong" w:hAnsi="FangSong" w:cs="FangSong"/>
                      <w:spacing w:val="5"/>
                      <w:sz w:val="18"/>
                      <w:szCs w:val="18"/>
                    </w:rPr>
                    <w:t>中国基础设施投融资行业特别评论</w:t>
                  </w:r>
                </w:p>
              </w:txbxContent>
            </v:textbox>
          </v:shape>
        </w:pict>
      </w:r>
    </w:p>
    <w:tbl>
      <w:tblPr>
        <w:tblStyle w:val="TableNormal"/>
        <w:tblW w:w="11005" w:type="dxa"/>
        <w:tblInd w:w="4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</w:tblBorders>
        <w:tblLayout w:type="fixed"/>
      </w:tblPr>
      <w:tblGrid>
        <w:gridCol w:w="11005"/>
      </w:tblGrid>
      <w:tr>
        <w:tblPrEx>
          <w:tblW w:w="11005" w:type="dxa"/>
          <w:tblInd w:w="4" w:type="dxa"/>
          <w:tbl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blBorders>
          <w:tblLayout w:type="fixed"/>
        </w:tblPrEx>
        <w:trPr>
          <w:trHeight w:val="15592"/>
        </w:trPr>
        <w:tc>
          <w:tcPr>
            <w:tcW w:w="11005" w:type="dxa"/>
            <w:vAlign w:val="top"/>
          </w:tcPr>
          <w:p>
            <w:pPr>
              <w:spacing w:before="1" w:line="468" w:lineRule="exact"/>
            </w:pPr>
            <w:r>
              <w:pict>
                <v:shape id="_x0000_s1027" type="#_x0000_t202" style="width:67.95pt;height:10.05pt;margin-top:359.07pt;margin-left:-456.71pt;mso-position-horizontal-relative:right-margin-area;mso-position-vertical-relative:top-margin-area;position:absolute;z-index:251662336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186" w:lineRule="auto"/>
                          <w:ind w:left="20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80"/>
                            <w:sz w:val="18"/>
                            <w:szCs w:val="18"/>
                          </w:rPr>
                          <w:t>jhu@ccxi.com.cn</w:t>
                        </w:r>
                      </w:p>
                    </w:txbxContent>
                  </v:textbox>
                </v:shape>
              </w:pict>
            </w:r>
            <w:r>
              <w:pict>
                <v:group id="_x0000_s1028" style="width:345.6pt;height:78pt;margin-top:23.49pt;margin-left:-345.35pt;mso-position-horizontal-relative:right-margin-area;mso-position-vertical-relative:top-margin-area;position:absolute;z-index:251663360" coordorigin="0,0" coordsize="6912,1560" filled="f" stroked="f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9" type="#_x0000_t75" style="width:6912;height:1560;position:absolute" filled="f" stroked="f">
                    <v:imagedata r:id="rId4" o:title=""/>
                  </v:shape>
                  <v:shape id="_x0000_s1030" type="#_x0000_t202" style="width:6952;height:1710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74" w:line="203" w:lineRule="auto"/>
                            <w:ind w:left="4963"/>
                            <w:rPr>
                              <w:rFonts w:ascii="STKaiti" w:eastAsia="STKaiti" w:hAnsi="STKaiti" w:cs="STKait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STKaiti" w:eastAsia="STKaiti" w:hAnsi="STKaiti" w:cs="STKaiti"/>
                              <w:color w:val="FFFFFF"/>
                              <w:spacing w:val="-11"/>
                              <w:sz w:val="36"/>
                              <w:szCs w:val="36"/>
                            </w:rPr>
                            <w:t>中诚信国际</w:t>
                          </w:r>
                        </w:p>
                        <w:p>
                          <w:pPr>
                            <w:spacing w:before="91" w:line="210" w:lineRule="auto"/>
                            <w:ind w:left="3131"/>
                            <w:rPr>
                              <w:rFonts w:ascii="STKaiti" w:eastAsia="STKaiti" w:hAnsi="STKaiti" w:cs="STKait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STKaiti" w:eastAsia="STKaiti" w:hAnsi="STKaiti" w:cs="STKaiti"/>
                              <w:color w:val="FFFFFF"/>
                              <w:spacing w:val="-4"/>
                              <w:sz w:val="40"/>
                              <w:szCs w:val="40"/>
                              <w14:textOutline w14:w="7271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基础设施投融资行业</w:t>
                          </w:r>
                        </w:p>
                      </w:txbxContent>
                    </v:textbox>
                  </v:shape>
                </v:group>
              </w:pict>
            </w:r>
            <w:r>
              <w:pict>
                <v:shape id="_x0000_s1031" type="#_x0000_t202" style="width:334.3pt;height:487.25pt;margin-top:118.53pt;margin-left:-338.39pt;mso-position-horizontal-relative:right-margin-area;mso-position-vertical-relative:top-margin-area;position:absolute;z-index:251661312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197" w:lineRule="auto"/>
                          <w:ind w:left="287"/>
                          <w:rPr>
                            <w:rFonts w:ascii="STZhongsong" w:eastAsia="STZhongsong" w:hAnsi="STZhongsong" w:cs="STZhongsong"/>
                            <w:sz w:val="36"/>
                            <w:szCs w:val="36"/>
                          </w:rPr>
                        </w:pPr>
                        <w:r>
                          <w:rPr>
                            <w:rFonts w:ascii="STZhongsong" w:eastAsia="STZhongsong" w:hAnsi="STZhongsong" w:cs="STZhongsong"/>
                            <w:color w:val="000080"/>
                            <w:spacing w:val="-22"/>
                            <w:sz w:val="36"/>
                            <w:szCs w:val="36"/>
                            <w14:textOutline w14:w="6531">
                              <w14:solidFill>
                                <w14:srgbClr w14:val="000080"/>
                              </w14:solidFill>
                              <w14:prstDash w14:val="solid"/>
                              <w14:round/>
                            </w14:textOutline>
                          </w:rPr>
                          <w:t>融资成本有所下降、但短债压力仍较大</w:t>
                        </w:r>
                      </w:p>
                      <w:p>
                        <w:pPr>
                          <w:spacing w:line="274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before="104" w:line="739" w:lineRule="exact"/>
                          <w:ind w:left="361"/>
                          <w:rPr>
                            <w:rFonts w:ascii="STZhongsong" w:eastAsia="STZhongsong" w:hAnsi="STZhongsong" w:cs="STZhongsong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80"/>
                            <w:spacing w:val="-13"/>
                            <w:w w:val="98"/>
                            <w:position w:val="37"/>
                            <w:sz w:val="28"/>
                            <w:szCs w:val="28"/>
                          </w:rPr>
                          <w:t>——</w:t>
                        </w:r>
                        <w:r>
                          <w:rPr>
                            <w:rFonts w:ascii="STZhongsong" w:eastAsia="STZhongsong" w:hAnsi="STZhongsong" w:cs="STZhongsong"/>
                            <w:color w:val="000080"/>
                            <w:spacing w:val="-13"/>
                            <w:w w:val="98"/>
                            <w:position w:val="37"/>
                            <w:sz w:val="28"/>
                            <w:szCs w:val="28"/>
                            <w14:textOutline w14:w="5094">
                              <w14:solidFill>
                                <w14:srgbClr w14:val="000080"/>
                              </w14:solidFill>
                              <w14:prstDash w14:val="solid"/>
                              <w14:round/>
                            </w14:textOutline>
                          </w:rPr>
                          <w:t>湖北省发债城投公司</w:t>
                        </w:r>
                        <w:r>
                          <w:rPr>
                            <w:rFonts w:ascii="STZhongsong" w:eastAsia="STZhongsong" w:hAnsi="STZhongsong" w:cs="STZhongsong"/>
                            <w:color w:val="000080"/>
                            <w:spacing w:val="-25"/>
                            <w:position w:val="37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80"/>
                            <w:spacing w:val="-13"/>
                            <w:w w:val="98"/>
                            <w:position w:val="37"/>
                            <w:sz w:val="28"/>
                            <w:szCs w:val="28"/>
                          </w:rPr>
                          <w:t xml:space="preserve">2023 </w:t>
                        </w:r>
                        <w:r>
                          <w:rPr>
                            <w:rFonts w:ascii="STZhongsong" w:eastAsia="STZhongsong" w:hAnsi="STZhongsong" w:cs="STZhongsong"/>
                            <w:color w:val="000080"/>
                            <w:spacing w:val="-13"/>
                            <w:w w:val="98"/>
                            <w:position w:val="37"/>
                            <w:sz w:val="28"/>
                            <w:szCs w:val="28"/>
                            <w14:textOutline w14:w="5094">
                              <w14:solidFill>
                                <w14:srgbClr w14:val="000080"/>
                              </w14:solidFill>
                              <w14:prstDash w14:val="solid"/>
                              <w14:round/>
                            </w14:textOutline>
                          </w:rPr>
                          <w:t>年三季度财报观察</w:t>
                        </w:r>
                      </w:p>
                      <w:p>
                        <w:pPr>
                          <w:pStyle w:val="TableText"/>
                          <w:spacing w:line="218" w:lineRule="auto"/>
                          <w:ind w:left="20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color w:val="000080"/>
                            <w:spacing w:val="-5"/>
                            <w:sz w:val="28"/>
                            <w:szCs w:val="28"/>
                            <w14:textOutline w14:w="5094">
                              <w14:solidFill>
                                <w14:srgbClr w14:val="000080"/>
                              </w14:solidFill>
                              <w14:prstDash w14:val="solid"/>
                              <w14:round/>
                            </w14:textOutline>
                          </w:rPr>
                          <w:t>摘要</w:t>
                        </w:r>
                      </w:p>
                      <w:p>
                        <w:pPr>
                          <w:pStyle w:val="TableText"/>
                          <w:spacing w:before="299" w:line="308" w:lineRule="auto"/>
                          <w:ind w:left="796" w:right="20" w:hanging="417"/>
                        </w:pPr>
                        <w:r>
                          <w:rPr>
                            <w:rFonts w:ascii="Wingdings" w:eastAsia="Wingdings" w:hAnsi="Wingdings" w:cs="Wingdings"/>
                            <w:spacing w:val="-10"/>
                          </w:rPr>
                          <w:t>.</w:t>
                        </w:r>
                        <w:r>
                          <w:rPr>
                            <w:rFonts w:ascii="Wingdings" w:eastAsia="Wingdings" w:hAnsi="Wingdings" w:cs="Wingdings"/>
                            <w:spacing w:val="6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0"/>
                          </w:rPr>
                          <w:t>2023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6"/>
                            <w:w w:val="101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年前三季度，</w:t>
                        </w:r>
                        <w:r>
                          <w:rPr>
                            <w:spacing w:val="-40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湖北省及下属地市经济发展稳中有进，一般公</w:t>
                        </w:r>
                        <w:r>
                          <w:t xml:space="preserve"> </w:t>
                        </w:r>
                        <w:r>
                          <w:rPr>
                            <w:spacing w:val="-1"/>
                          </w:rPr>
                          <w:t>共预算收入保持增长；但房地产开发投资收缩明显，房地产市场</w:t>
                        </w:r>
                        <w:r>
                          <w:rPr>
                            <w:spacing w:val="14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持续低迷，全省土地出让情况未及预期。</w:t>
                        </w:r>
                      </w:p>
                      <w:p>
                        <w:pPr>
                          <w:pStyle w:val="TableText"/>
                          <w:spacing w:before="306" w:line="311" w:lineRule="auto"/>
                          <w:ind w:left="795" w:right="22" w:hanging="415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spacing w:val="-6"/>
                            <w:sz w:val="22"/>
                            <w:szCs w:val="22"/>
                          </w:rPr>
                          <w:t xml:space="preserve">.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6"/>
                          </w:rPr>
                          <w:t>2023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6"/>
                            <w:w w:val="101"/>
                          </w:rPr>
                          <w:t xml:space="preserve"> </w:t>
                        </w:r>
                        <w:r>
                          <w:rPr>
                            <w:spacing w:val="-6"/>
                          </w:rPr>
                          <w:t>年前三季度，湖北省城投公司</w:t>
                        </w:r>
                        <w:r>
                          <w:rPr>
                            <w:spacing w:val="-7"/>
                          </w:rPr>
                          <w:t>延续扩张趋势，但所有者权益</w:t>
                        </w:r>
                        <w:r>
                          <w:t xml:space="preserve"> </w:t>
                        </w:r>
                        <w:r>
                          <w:rPr>
                            <w:spacing w:val="-1"/>
                          </w:rPr>
                          <w:t>增速放缓，财务杠杆持续攀升；债券融资占比有所提升，融资成</w:t>
                        </w:r>
                        <w:r>
                          <w:rPr>
                            <w:spacing w:val="14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本有所下降</w:t>
                        </w:r>
                        <w:r>
                          <w:rPr>
                            <w:spacing w:val="-4"/>
                            <w:sz w:val="22"/>
                            <w:szCs w:val="22"/>
                          </w:rPr>
                          <w:t>；短期债务占比小幅下滑，</w:t>
                        </w:r>
                        <w:r>
                          <w:rPr>
                            <w:spacing w:val="-24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2"/>
                            <w:szCs w:val="22"/>
                          </w:rPr>
                          <w:t>但货币资金对短</w:t>
                        </w:r>
                        <w:r>
                          <w:rPr>
                            <w:spacing w:val="-5"/>
                            <w:sz w:val="22"/>
                            <w:szCs w:val="22"/>
                          </w:rPr>
                          <w:t>期债务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2"/>
                            <w:szCs w:val="22"/>
                          </w:rPr>
                          <w:t>的覆盖倍数仍处于较低水平，短期流动性压力未明显缓解。</w:t>
                        </w:r>
                      </w:p>
                      <w:p>
                        <w:pPr>
                          <w:pStyle w:val="TableText"/>
                          <w:spacing w:before="306" w:line="333" w:lineRule="auto"/>
                          <w:ind w:left="781" w:right="20" w:hanging="402"/>
                        </w:pPr>
                        <w:r>
                          <w:rPr>
                            <w:rFonts w:ascii="Wingdings" w:eastAsia="Wingdings" w:hAnsi="Wingdings" w:cs="Wingdings"/>
                            <w:spacing w:val="-6"/>
                          </w:rPr>
                          <w:t>.</w:t>
                        </w:r>
                        <w:r>
                          <w:rPr>
                            <w:rFonts w:ascii="Wingdings" w:eastAsia="Wingdings" w:hAnsi="Wingdings" w:cs="Wingdings"/>
                            <w:spacing w:val="68"/>
                          </w:rPr>
                          <w:t xml:space="preserve"> </w:t>
                        </w:r>
                        <w:r>
                          <w:rPr>
                            <w:spacing w:val="-6"/>
                          </w:rPr>
                          <w:t>省内各地市样本企业财务表现呈现一定差异化，各地市城投</w:t>
                        </w:r>
                        <w:r>
                          <w:rPr>
                            <w:spacing w:val="-7"/>
                          </w:rPr>
                          <w:t>公司</w:t>
                        </w:r>
                        <w:r>
                          <w:t xml:space="preserve"> </w:t>
                        </w:r>
                        <w:r>
                          <w:rPr>
                            <w:spacing w:val="-4"/>
                          </w:rPr>
                          <w:t>有息债务呈现持续增长趋势，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武汉市城投有息债务规模最高；融</w:t>
                        </w:r>
                        <w:r>
                          <w:rPr>
                            <w:spacing w:val="13"/>
                          </w:rPr>
                          <w:t xml:space="preserve"> </w:t>
                        </w:r>
                        <w:r>
                          <w:t>资渠道方面，黄冈市城投公司对债券融资依赖度最大，各地市城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投非标融资占比均不高；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</w:rPr>
                          <w:t>2023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8"/>
                            <w:w w:val="10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年前三季度，</w:t>
                        </w:r>
                        <w:r>
                          <w:rPr>
                            <w:spacing w:val="-3"/>
                          </w:rPr>
                          <w:t>各地市城投货币资金</w:t>
                        </w:r>
                        <w: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</w:rPr>
                          <w:t>/</w:t>
                        </w:r>
                        <w:r>
                          <w:rPr>
                            <w:spacing w:val="-2"/>
                          </w:rPr>
                          <w:t>短期债务指标均有所改善，黄石市城投公司流动性压力较大，其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短期债务占比最高，且较多城投公司货币资金对短期债务的覆盖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倍数不足</w:t>
                        </w:r>
                        <w:r>
                          <w:rPr>
                            <w:spacing w:val="-4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</w:rPr>
                          <w:t>0.2</w:t>
                        </w:r>
                        <w:r>
                          <w:rPr>
                            <w:spacing w:val="-1"/>
                          </w:rPr>
                          <w:t>。</w:t>
                        </w:r>
                      </w:p>
                      <w:p>
                        <w:pPr>
                          <w:pStyle w:val="TableText"/>
                          <w:spacing w:before="307" w:line="318" w:lineRule="auto"/>
                          <w:ind w:left="795" w:right="20" w:hanging="416"/>
                        </w:pPr>
                        <w:r>
                          <w:rPr>
                            <w:rFonts w:ascii="Wingdings" w:eastAsia="Wingdings" w:hAnsi="Wingdings" w:cs="Wingdings"/>
                            <w:spacing w:val="-8"/>
                          </w:rPr>
                          <w:t>.</w:t>
                        </w:r>
                        <w:r>
                          <w:rPr>
                            <w:rFonts w:ascii="Wingdings" w:eastAsia="Wingdings" w:hAnsi="Wingdings" w:cs="Wingdings"/>
                            <w:spacing w:val="71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8"/>
                          </w:rPr>
                          <w:t>2023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6"/>
                            <w:w w:val="101"/>
                          </w:rPr>
                          <w:t xml:space="preserve"> </w:t>
                        </w:r>
                        <w:r>
                          <w:rPr>
                            <w:spacing w:val="-8"/>
                          </w:rPr>
                          <w:t>年前三季湖北省样本企业营业收入同比增幅较大，但获利水</w:t>
                        </w:r>
                        <w:r>
                          <w:t xml:space="preserve"> </w:t>
                        </w:r>
                        <w:r>
                          <w:rPr>
                            <w:spacing w:val="-2"/>
                          </w:rPr>
                          <w:t>平有所下滑，且利润对政府补助依赖度较高，襄阳市等</w:t>
                        </w:r>
                        <w:r>
                          <w:rPr>
                            <w:spacing w:val="-2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8"/>
                            <w:w w:val="10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市城投</w:t>
                        </w:r>
                        <w:r>
                          <w:t xml:space="preserve"> </w:t>
                        </w:r>
                        <w:r>
                          <w:rPr>
                            <w:spacing w:val="-2"/>
                          </w:rPr>
                          <w:t>公司的政府补助占净利润比重连续</w:t>
                        </w:r>
                        <w:r>
                          <w:rPr>
                            <w:spacing w:val="-4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</w:rPr>
                          <w:t>3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年超过</w:t>
                        </w:r>
                        <w:r>
                          <w:rPr>
                            <w:spacing w:val="-42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</w:rPr>
                          <w:t>50%</w:t>
                        </w:r>
                        <w:r>
                          <w:rPr>
                            <w:spacing w:val="-3"/>
                          </w:rPr>
                          <w:t>；湖北省城投公</w:t>
                        </w:r>
                        <w:r>
                          <w:t xml:space="preserve"> </w:t>
                        </w:r>
                        <w:r>
                          <w:rPr>
                            <w:spacing w:val="-1"/>
                          </w:rPr>
                          <w:t>司普遍存在自身造血能力不足现象。</w:t>
                        </w:r>
                      </w:p>
                    </w:txbxContent>
                  </v:textbox>
                </v:shape>
              </w:pict>
            </w:r>
            <w:r>
              <w:rPr>
                <w:position w:val="-9"/>
              </w:rPr>
              <w:pict>
                <v:shape id="_x0000_i1032" type="#_x0000_t202" style="width:550.5pt;height:23.45pt;mso-position-horizontal-relative:char;mso-position-vertical-relative:line" filled="t" fillcolor="#8d8d8d" stroked="f">
                  <o:lock v:ext="edit" aspectratio="f"/>
                  <v:textbox inset="0,0,0,0">
                    <w:txbxContent>
                      <w:p>
                        <w:pPr>
                          <w:spacing w:before="161" w:line="230" w:lineRule="auto"/>
                          <w:ind w:left="144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pacing w:val="-1"/>
                            <w:sz w:val="21"/>
                            <w:szCs w:val="21"/>
                          </w:rPr>
                          <w:t>www.ccxi.com.cn</w:t>
                        </w:r>
                      </w:p>
                    </w:txbxContent>
                  </v:textbox>
                  <w10:wrap type="none"/>
                </v:shape>
              </w:pict>
            </w:r>
          </w:p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line="6201" w:lineRule="exact"/>
              <w:ind w:firstLine="141"/>
            </w:pPr>
            <w:r>
              <w:rPr>
                <w:position w:val="-124"/>
              </w:rPr>
              <w:pict>
                <v:shape id="_x0000_i1033" type="#_x0000_t202" style="width:180.95pt;height:310.1pt;mso-position-horizontal-relative:char;mso-position-vertical-relative:line" filled="f" stroked="f">
                  <o:lock v:ext="edit" aspectratio="f"/>
                  <v:textbox inset="0,0,0,0">
                    <w:txbxContent>
                      <w:p>
                        <w:pPr>
                          <w:spacing w:before="2" w:line="204" w:lineRule="auto"/>
                          <w:ind w:left="587"/>
                          <w:rPr>
                            <w:rFonts w:ascii="STKaiti" w:eastAsia="STKaiti" w:hAnsi="STKaiti" w:cs="STKaiti"/>
                            <w:sz w:val="48"/>
                            <w:szCs w:val="48"/>
                          </w:rPr>
                        </w:pPr>
                        <w:r>
                          <w:rPr>
                            <w:rFonts w:ascii="STKaiti" w:eastAsia="STKaiti" w:hAnsi="STKaiti" w:cs="STKaiti"/>
                            <w:color w:val="800000"/>
                            <w:spacing w:val="-13"/>
                            <w:sz w:val="48"/>
                            <w:szCs w:val="48"/>
                            <w14:textOutline w14:w="8708">
                              <w14:solidFill>
                                <w14:srgbClr w14:val="800000"/>
                              </w14:solidFill>
                              <w14:prstDash w14:val="solid"/>
                              <w14:round/>
                            </w14:textOutline>
                          </w:rPr>
                          <w:t>特别评论</w:t>
                        </w:r>
                      </w:p>
                      <w:p>
                        <w:pPr>
                          <w:spacing w:before="242" w:line="219" w:lineRule="auto"/>
                          <w:ind w:left="866"/>
                          <w:rPr>
                            <w:rFonts w:ascii="FangSong" w:eastAsia="FangSong" w:hAnsi="FangSong" w:cs="FangSong"/>
                            <w:sz w:val="22"/>
                            <w:szCs w:val="22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-5"/>
                            <w:sz w:val="22"/>
                            <w:szCs w:val="22"/>
                          </w:rPr>
                          <w:t>2023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20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FangSong" w:eastAsia="FangSong" w:hAnsi="FangSong" w:cs="FangSong"/>
                            <w:spacing w:val="-5"/>
                            <w:sz w:val="22"/>
                            <w:szCs w:val="22"/>
                            <w14:textOutline w14:w="4005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年</w:t>
                        </w:r>
                        <w:r>
                          <w:rPr>
                            <w:rFonts w:ascii="FangSong" w:eastAsia="FangSong" w:hAnsi="FangSong" w:cs="FangSong"/>
                            <w:spacing w:val="-38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-5"/>
                            <w:sz w:val="22"/>
                            <w:szCs w:val="22"/>
                          </w:rPr>
                          <w:t>12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22"/>
                            <w:w w:val="10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FangSong" w:eastAsia="FangSong" w:hAnsi="FangSong" w:cs="FangSong"/>
                            <w:spacing w:val="-5"/>
                            <w:sz w:val="22"/>
                            <w:szCs w:val="22"/>
                            <w14:textOutline w14:w="4005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月</w:t>
                        </w:r>
                      </w:p>
                      <w:p>
                        <w:pPr>
                          <w:spacing w:line="32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328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before="72" w:line="219" w:lineRule="auto"/>
                          <w:rPr>
                            <w:rFonts w:ascii="FangSong" w:eastAsia="FangSong" w:hAnsi="FangSong" w:cs="FangSong"/>
                            <w:sz w:val="22"/>
                            <w:szCs w:val="22"/>
                          </w:rPr>
                        </w:pPr>
                        <w:r>
                          <w:rPr>
                            <w:rFonts w:ascii="FangSong" w:eastAsia="FangSong" w:hAnsi="FangSong" w:cs="FangSong"/>
                            <w:spacing w:val="-13"/>
                            <w:sz w:val="22"/>
                            <w:szCs w:val="22"/>
                            <w14:textOutline w14:w="4005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目录</w:t>
                        </w:r>
                      </w:p>
                      <w:p>
                        <w:pPr>
                          <w:spacing w:line="93" w:lineRule="exact"/>
                        </w:pPr>
                      </w:p>
                      <w:tbl>
                        <w:tblPr>
                          <w:tblStyle w:val="TableNormal"/>
                          <w:tblW w:w="3600" w:type="dxa"/>
                          <w:tblInd w:w="18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  <w:insideH w:val="nil"/>
                            <w:insideV w:val="nil"/>
                          </w:tblBorders>
                          <w:tblLayout w:type="fixed"/>
                        </w:tblPr>
                        <w:tblGrid>
                          <w:gridCol w:w="3600"/>
                        </w:tblGrid>
                        <w:tr>
                          <w:tblPrEx>
                            <w:tblW w:w="3600" w:type="dxa"/>
                            <w:tblInd w:w="18" w:type="dxa"/>
                            <w:tblBorders>
                              <w:top w:val="nil"/>
                              <w:left w:val="nil"/>
                              <w:bottom w:val="nil"/>
                              <w:right w:val="nil"/>
                              <w:insideH w:val="nil"/>
                              <w:insideV w:val="nil"/>
                            </w:tblBorders>
                            <w:tblLayout w:type="fixed"/>
                          </w:tblPrEx>
                          <w:trPr>
                            <w:trHeight w:val="1543"/>
                          </w:trPr>
                          <w:tc>
                            <w:tcPr>
                              <w:tcW w:w="3600" w:type="dxa"/>
                              <w:tcBorders>
                                <w:top w:val="single" w:sz="10" w:space="0" w:color="800000"/>
                                <w:bottom w:val="single" w:sz="10" w:space="0" w:color="800000"/>
                              </w:tcBorders>
                              <w:vAlign w:val="top"/>
                            </w:tcPr>
                            <w:p>
                              <w:pPr>
                                <w:spacing w:before="211" w:line="219" w:lineRule="auto"/>
                                <w:ind w:left="32"/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FangSong" w:eastAsia="FangSong" w:hAnsi="FangSong" w:cs="FangSong"/>
                                  <w:spacing w:val="-4"/>
                                  <w:sz w:val="16"/>
                                  <w:szCs w:val="16"/>
                                </w:rPr>
                                <w:t>摘要</w:t>
                              </w:r>
                              <w:r>
                                <w:rPr>
                                  <w:rFonts w:ascii="FangSong" w:eastAsia="FangSong" w:hAnsi="FangSong" w:cs="FangSong"/>
                                  <w:sz w:val="16"/>
                                  <w:szCs w:val="16"/>
                                </w:rPr>
                                <w:t xml:space="preserve">                                     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4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  <w:p>
                              <w:pPr>
                                <w:spacing w:before="138" w:line="219" w:lineRule="auto"/>
                                <w:ind w:left="34"/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FangSong" w:eastAsia="FangSong" w:hAnsi="FangSong" w:cs="FangSong"/>
                                  <w:spacing w:val="-2"/>
                                  <w:sz w:val="16"/>
                                  <w:szCs w:val="16"/>
                                </w:rPr>
                                <w:t>一、湖北省城投公司</w:t>
                              </w:r>
                              <w:r>
                                <w:rPr>
                                  <w:rFonts w:ascii="FangSong" w:eastAsia="FangSong" w:hAnsi="FangSong" w:cs="FangSong"/>
                                  <w:spacing w:val="-2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"/>
                                  <w:sz w:val="16"/>
                                  <w:szCs w:val="16"/>
                                </w:rPr>
                                <w:t>2023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13"/>
                                  <w:w w:val="10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FangSong" w:eastAsia="FangSong" w:hAnsi="FangSong" w:cs="FangSong"/>
                                  <w:spacing w:val="-2"/>
                                  <w:sz w:val="16"/>
                                  <w:szCs w:val="16"/>
                                </w:rPr>
                                <w:t>年三季报总体概览</w:t>
                              </w:r>
                              <w:r>
                                <w:rPr>
                                  <w:rFonts w:ascii="FangSong" w:eastAsia="FangSong" w:hAnsi="FangSong" w:cs="FangSong"/>
                                  <w:spacing w:val="32"/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  <w:sdt>
                              <w:sdtPr>
                                <w:rPr>
                                  <w:rFonts w:ascii="FangSong" w:eastAsia="FangSong" w:hAnsi="FangSong" w:cs="FangSong"/>
                                  <w:sz w:val="16"/>
                                  <w:szCs w:val="16"/>
                                </w:rPr>
                                <w:id w:val="1416454007"/>
                                <w:docPartObj>
                                  <w:docPartGallery w:val="Table of Contents"/>
                                  <w:docPartUnique/>
                                </w:docPartObj>
                              </w:sdtPr>
                              <w:sdtEndPr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</w:rPr>
                              </w:sdtEndPr>
                              <w:sdtContent>
                                <w:p>
                                  <w:pPr>
                                    <w:spacing w:before="172" w:line="219" w:lineRule="auto"/>
                                    <w:ind w:left="37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FangSong" w:eastAsia="FangSong" w:hAnsi="FangSong" w:cs="FangSong"/>
                                      <w:spacing w:val="-3"/>
                                      <w:sz w:val="16"/>
                                      <w:szCs w:val="16"/>
                                    </w:rPr>
                                    <w:t>二、</w:t>
                                  </w:r>
                                  <w:r>
                                    <w:rPr>
                                      <w:rFonts w:ascii="FangSong" w:eastAsia="FangSong" w:hAnsi="FangSong" w:cs="FangSong"/>
                                      <w:spacing w:val="-19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FangSong" w:eastAsia="FangSong" w:hAnsi="FangSong" w:cs="FangSong"/>
                                      <w:spacing w:val="-3"/>
                                      <w:sz w:val="16"/>
                                      <w:szCs w:val="16"/>
                                    </w:rPr>
                                    <w:t>湖北省各地市城投公司财务表现</w:t>
                                  </w:r>
                                  <w:r>
                                    <w:rPr>
                                      <w:rFonts w:ascii="FangSong" w:eastAsia="FangSong" w:hAnsi="FangSong" w:cs="FangSong"/>
                                      <w:spacing w:val="-3"/>
                                      <w:sz w:val="16"/>
                                      <w:szCs w:val="16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FangSong" w:eastAsia="FangSong" w:hAnsi="FangSong" w:cs="FangSong"/>
                                      <w:spacing w:val="-4"/>
                                      <w:sz w:val="16"/>
                                      <w:szCs w:val="16"/>
                                    </w:rPr>
                                    <w:t xml:space="preserve">     </w:t>
                                  </w:r>
                                  <w:hyperlink w:anchor="bookmark1" w:history="1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4"/>
                                        <w:sz w:val="16"/>
                                        <w:szCs w:val="16"/>
                                      </w:rPr>
                                      <w:t>6</w:t>
                                    </w:r>
                                  </w:hyperlink>
                                </w:p>
                                <w:p>
                                  <w:pPr>
                                    <w:spacing w:before="173" w:line="220" w:lineRule="auto"/>
                                    <w:ind w:left="46"/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FangSong" w:eastAsia="FangSong" w:hAnsi="FangSong" w:cs="FangSong"/>
                                      <w:spacing w:val="-3"/>
                                      <w:sz w:val="16"/>
                                      <w:szCs w:val="16"/>
                                    </w:rPr>
                                    <w:t>三、总结</w:t>
                                  </w:r>
                                  <w:r>
                                    <w:rPr>
                                      <w:rFonts w:ascii="FangSong" w:eastAsia="FangSong" w:hAnsi="FangSong" w:cs="FangSong"/>
                                      <w:spacing w:val="-3"/>
                                      <w:sz w:val="16"/>
                                      <w:szCs w:val="16"/>
                                    </w:rPr>
                                    <w:t xml:space="preserve">                                   </w:t>
                                  </w:r>
                                  <w:hyperlink w:anchor="bookmark2" w:history="1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3"/>
                                        <w:sz w:val="16"/>
                                        <w:szCs w:val="16"/>
                                      </w:rPr>
                                      <w:t>9</w:t>
                                    </w:r>
                                  </w:hyperlink>
                                </w:p>
                              </w:sdtContent>
                            </w:sdt>
                          </w:tc>
                        </w:tr>
                        <w:tr>
                          <w:tblPrEx>
                            <w:tblW w:w="3600" w:type="dxa"/>
                            <w:tblInd w:w="18" w:type="dxa"/>
                            <w:tblLayout w:type="fixed"/>
                          </w:tblPrEx>
                          <w:trPr>
                            <w:trHeight w:val="1487"/>
                          </w:trPr>
                          <w:tc>
                            <w:tcPr>
                              <w:tcW w:w="3600" w:type="dxa"/>
                              <w:tcBorders>
                                <w:top w:val="single" w:sz="10" w:space="0" w:color="800000"/>
                                <w:bottom w:val="single" w:sz="10" w:space="0" w:color="800000"/>
                              </w:tcBorders>
                              <w:vAlign w:val="top"/>
                            </w:tcPr>
                            <w:p>
                              <w:pPr>
                                <w:spacing w:line="274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75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75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75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71" w:line="218" w:lineRule="auto"/>
                                <w:ind w:left="23"/>
                                <w:rPr>
                                  <w:rFonts w:ascii="FangSong" w:eastAsia="FangSong" w:hAnsi="FangSong" w:cs="FangSong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FangSong" w:eastAsia="FangSong" w:hAnsi="FangSong" w:cs="FangSong"/>
                                  <w:spacing w:val="-3"/>
                                  <w:sz w:val="22"/>
                                  <w:szCs w:val="22"/>
                                  <w14:textOutline w14:w="4005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联络人</w:t>
                              </w:r>
                            </w:p>
                          </w:tc>
                        </w:tr>
                      </w:tbl>
                      <w:p>
                        <w:pPr>
                          <w:spacing w:before="127" w:line="219" w:lineRule="auto"/>
                          <w:ind w:left="216"/>
                          <w:rPr>
                            <w:rFonts w:ascii="SimHei" w:eastAsia="SimHei" w:hAnsi="SimHei" w:cs="Sim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Hei" w:eastAsia="SimHei" w:hAnsi="SimHei" w:cs="SimHei"/>
                            <w:spacing w:val="-1"/>
                            <w:sz w:val="18"/>
                            <w:szCs w:val="18"/>
                            <w14:textOutline w14:w="3265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作者</w:t>
                        </w:r>
                      </w:p>
                      <w:p>
                        <w:pPr>
                          <w:spacing w:before="106" w:line="218" w:lineRule="auto"/>
                          <w:ind w:left="216"/>
                          <w:rPr>
                            <w:rFonts w:ascii="SimHei" w:eastAsia="SimHei" w:hAnsi="SimHei" w:cs="Sim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Hei" w:eastAsia="SimHei" w:hAnsi="SimHei" w:cs="SimHei"/>
                            <w:spacing w:val="-1"/>
                            <w:sz w:val="18"/>
                            <w:szCs w:val="18"/>
                            <w14:textOutline w14:w="3265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政府公共评级部</w:t>
                        </w:r>
                      </w:p>
                      <w:p>
                        <w:pPr>
                          <w:spacing w:before="70" w:line="219" w:lineRule="auto"/>
                          <w:ind w:left="216"/>
                          <w:rPr>
                            <w:rFonts w:ascii="SimHei" w:eastAsia="SimHei" w:hAnsi="SimHei" w:cs="SimHe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Hei" w:eastAsia="SimHei" w:hAnsi="SimHei" w:cs="SimHei"/>
                            <w:color w:val="000080"/>
                            <w:spacing w:val="-1"/>
                            <w:sz w:val="18"/>
                            <w:szCs w:val="18"/>
                            <w14:textOutline w14:w="3265">
                              <w14:solidFill>
                                <w14:srgbClr w14:val="000080"/>
                              </w14:solidFill>
                              <w14:prstDash w14:val="solid"/>
                              <w14:round/>
                            </w14:textOutline>
                          </w:rPr>
                          <w:t>胡娟</w:t>
                        </w:r>
                      </w:p>
                    </w:txbxContent>
                  </v:textbox>
                  <w10:wrap type="none"/>
                </v:shape>
              </w:pict>
            </w: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</w:tc>
      </w:tr>
    </w:tbl>
    <w:p>
      <w:pPr>
        <w:sectPr>
          <w:headerReference w:type="default" r:id="rId5"/>
          <w:pgSz w:w="11907" w:h="16839"/>
          <w:pgMar w:top="400" w:right="504" w:bottom="0" w:left="390" w:header="0" w:footer="0" w:gutter="0"/>
          <w:cols w:space="708"/>
        </w:sectPr>
      </w:pPr>
    </w:p>
    <w:tbl>
      <w:tblPr>
        <w:tblStyle w:val="TableNormal0"/>
        <w:tblW w:w="11005" w:type="dxa"/>
        <w:tblInd w:w="4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</w:tblBorders>
        <w:tblLayout w:type="fixed"/>
      </w:tblPr>
      <w:tblGrid>
        <w:gridCol w:w="11005"/>
      </w:tblGrid>
      <w:tr>
        <w:tblPrEx>
          <w:tblW w:w="11005" w:type="dxa"/>
          <w:tblInd w:w="4" w:type="dxa"/>
          <w:tbl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blBorders>
          <w:tblLayout w:type="fixed"/>
        </w:tblPrEx>
        <w:trPr>
          <w:trHeight w:val="15592"/>
        </w:trPr>
        <w:tc>
          <w:tcPr>
            <w:tcW w:w="11005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5" w:lineRule="exact"/>
              <w:ind w:firstLine="129"/>
            </w:pPr>
            <w:r>
              <w:pict>
                <v:shape id="_x0000_i1034" style="width:169.5pt;height:1.25pt;mso-position-horizontal-relative:char;mso-position-vertical-relative:line" coordorigin="0,0" coordsize="3390,25" path="m,12l3390,12e" filled="f" strokecolor="maroon" strokeweight="1.25pt">
                  <w10:wrap type="none"/>
                </v:shape>
              </w:pict>
            </w:r>
          </w:p>
          <w:p>
            <w:pPr>
              <w:spacing w:line="389" w:lineRule="auto"/>
              <w:rPr>
                <w:rFonts w:ascii="Arial"/>
                <w:sz w:val="21"/>
              </w:rPr>
            </w:pPr>
          </w:p>
          <w:p>
            <w:pPr>
              <w:spacing w:line="639" w:lineRule="exact"/>
              <w:ind w:firstLine="632"/>
            </w:pPr>
            <w:r>
              <w:rPr>
                <w:position w:val="-12"/>
              </w:rPr>
              <w:drawing>
                <wp:inline distT="0" distB="0" distL="0" distR="0">
                  <wp:extent cx="1475739" cy="405764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739" cy="405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headerReference w:type="default" r:id="rId7"/>
          <w:type w:val="nextPage"/>
          <w:pgSz w:w="11907" w:h="16839"/>
          <w:pgMar w:top="400" w:right="504" w:bottom="0" w:left="390" w:header="0" w:footer="0" w:gutter="0"/>
          <w:pgNumType w:start="2"/>
          <w:cols w:space="708"/>
          <w:titlePg w:val="0"/>
        </w:sectPr>
      </w:pPr>
    </w:p>
    <w:tbl>
      <w:tblPr>
        <w:tblStyle w:val="TableNormal1"/>
        <w:tblW w:w="10987" w:type="dxa"/>
        <w:tblInd w:w="10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</w:tblBorders>
        <w:tblLayout w:type="fixed"/>
      </w:tblPr>
      <w:tblGrid>
        <w:gridCol w:w="10987"/>
      </w:tblGrid>
      <w:tr>
        <w:tblPrEx>
          <w:tblW w:w="10987" w:type="dxa"/>
          <w:tblInd w:w="10" w:type="dxa"/>
          <w:tblBorders>
            <w:top w:val="single" w:sz="2" w:space="0" w:color="808080"/>
            <w:left w:val="single" w:sz="2" w:space="0" w:color="808080"/>
            <w:bottom w:val="single" w:sz="2" w:space="0" w:color="808080"/>
            <w:right w:val="single" w:sz="2" w:space="0" w:color="808080"/>
          </w:tblBorders>
          <w:tblLayout w:type="fixed"/>
        </w:tblPrEx>
        <w:trPr>
          <w:trHeight w:val="14964"/>
        </w:trPr>
        <w:tc>
          <w:tcPr>
            <w:tcW w:w="10987" w:type="dxa"/>
            <w:vAlign w:val="top"/>
          </w:tcPr>
          <w:p>
            <w:pPr>
              <w:pStyle w:val="TableText"/>
              <w:spacing w:before="298" w:line="286" w:lineRule="auto"/>
              <w:ind w:left="350" w:right="321" w:hanging="11"/>
              <w:rPr>
                <w:sz w:val="24"/>
                <w:szCs w:val="24"/>
              </w:rPr>
            </w:pPr>
            <w:r>
              <mc:AlternateContent>
                <mc:Choice Requires="wps">
                  <w:drawing>
                    <wp:anchor distT="0" distB="0" distL="0" distR="0" simplePos="0" relativeHeight="251666432" behindDoc="1" locked="0" layoutInCell="0" allowOverlap="1">
                      <wp:simplePos x="0" y="0"/>
                      <wp:positionH relativeFrom="page">
                        <wp:posOffset>248920</wp:posOffset>
                      </wp:positionH>
                      <wp:positionV relativeFrom="page">
                        <wp:posOffset>10095548</wp:posOffset>
                      </wp:positionV>
                      <wp:extent cx="6972300" cy="9525"/>
                      <wp:effectExtent l="0" t="0" r="0" b="0"/>
                      <wp:wrapNone/>
                      <wp:docPr id="6" name="Rec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248920" y="10095548"/>
                                <a:ext cx="6972300" cy="9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F5F5F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 6" o:spid="_x0000_s1035" style="width:549pt;height:0.75pt;margin-top:794.93pt;margin-left:19.6pt;mso-position-horizontal-relative:page;mso-position-vertical-relative:page;mso-wrap-distance-bottom:0;mso-wrap-distance-left:0;mso-wrap-distance-right:0;mso-wrap-distance-top:0;position:absolute;v-text-anchor:top;z-index:-251651072" o:allowincell="f" fillcolor="#5f5f5f" stroked="f"/>
                  </w:pict>
                </mc:Fallback>
              </mc:AlternateContent>
            </w:r>
            <w:r>
              <w:pict>
                <v:shape id="_x0000_s1036" type="#_x0000_t202" style="width:166.75pt;height:13.05pt;margin-top:798.82pt;margin-left:18.5pt;mso-position-horizontal-relative:page;mso-position-vertical-relative:page;position:absolute;z-index:-251652096" o:allowincell="f" filled="f" stroked="f">
                  <o:lock v:ext="edit" aspectratio="f"/>
                  <v:textbox inset="0,0,0,0">
                    <w:txbxContent>
                      <w:p>
                        <w:pPr>
                          <w:tabs>
                            <w:tab w:val="left" w:pos="116"/>
                          </w:tabs>
                          <w:spacing w:before="20" w:line="226" w:lineRule="auto"/>
                          <w:ind w:left="20"/>
                          <w:rPr>
                            <w:rFonts w:ascii="FangSong" w:eastAsia="FangSong" w:hAnsi="FangSong" w:cs="FangSong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FFFFFF"/>
                            <w:position w:val="1"/>
                            <w:sz w:val="18"/>
                            <w:szCs w:val="18"/>
                            <w:shd w:val="clear" w:color="auto" w:fill="800000"/>
                          </w:rPr>
                          <w:tab/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6"/>
                            <w:position w:val="1"/>
                            <w:sz w:val="18"/>
                            <w:szCs w:val="18"/>
                            <w:shd w:val="clear" w:color="auto" w:fill="800000"/>
                          </w:rPr>
                          <w:t xml:space="preserve">2  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FFFFFF"/>
                            <w:spacing w:val="16"/>
                            <w:w w:val="101"/>
                            <w:position w:val="1"/>
                            <w:sz w:val="18"/>
                            <w:szCs w:val="18"/>
                          </w:rPr>
                          <w:t xml:space="preserve">  </w:t>
                        </w:r>
                        <w:r>
                          <w:rPr>
                            <w:rFonts w:ascii="FangSong" w:eastAsia="FangSong" w:hAnsi="FangSong" w:cs="FangSong"/>
                            <w:spacing w:val="6"/>
                            <w:sz w:val="18"/>
                            <w:szCs w:val="18"/>
                          </w:rPr>
                          <w:t>中国基础设施投融资行业特别评论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37" style="width:144.05pt;height:0.5pt;margin-top:701.18pt;margin-left:-532.43pt;mso-position-horizontal-relative:right-margin-area;mso-position-vertical-relative:top-margin-area;position:absolute;z-index:251667456" coordorigin="0,0" coordsize="2881,10" path="m,9l2880,9l2880,l,l,9xe" filled="t" fillcolor="black" stroked="f"/>
              </w:pict>
            </w: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pacing w:val="-6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pacing w:val="22"/>
                <w:sz w:val="24"/>
                <w:szCs w:val="24"/>
              </w:rPr>
              <w:t xml:space="preserve"> </w:t>
            </w:r>
            <w:r>
              <w:rPr>
                <w:color w:val="000080"/>
                <w:spacing w:val="-6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年以来城投公司仍面临复杂的外部环境。</w:t>
            </w:r>
            <w:r>
              <w:rPr>
                <w:color w:val="00008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80"/>
                <w:spacing w:val="-6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一方面，</w:t>
            </w:r>
            <w:r>
              <w:rPr>
                <w:color w:val="000080"/>
                <w:spacing w:val="-34"/>
                <w:sz w:val="24"/>
                <w:szCs w:val="24"/>
              </w:rPr>
              <w:t xml:space="preserve"> </w:t>
            </w:r>
            <w:r>
              <w:rPr>
                <w:color w:val="000080"/>
                <w:spacing w:val="-6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宏观经济和房地</w:t>
            </w:r>
            <w:r>
              <w:rPr>
                <w:color w:val="000080"/>
                <w:spacing w:val="-7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产市场景气程度持续承压，</w:t>
            </w:r>
            <w:r>
              <w:rPr>
                <w:color w:val="000080"/>
                <w:sz w:val="24"/>
                <w:szCs w:val="24"/>
              </w:rPr>
              <w:t xml:space="preserve"> </w:t>
            </w:r>
            <w:r>
              <w:rPr>
                <w:color w:val="000080"/>
                <w:spacing w:val="-4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地方财政收支压力大；另一方面，</w:t>
            </w:r>
            <w:r>
              <w:rPr>
                <w:color w:val="000080"/>
                <w:spacing w:val="29"/>
                <w:sz w:val="24"/>
                <w:szCs w:val="24"/>
              </w:rPr>
              <w:t xml:space="preserve"> </w:t>
            </w:r>
            <w:r>
              <w:rPr>
                <w:color w:val="000080"/>
                <w:spacing w:val="-4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自</w:t>
            </w:r>
            <w:r>
              <w:rPr>
                <w:color w:val="000080"/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pacing w:val="-4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pacing w:val="26"/>
                <w:sz w:val="24"/>
                <w:szCs w:val="24"/>
              </w:rPr>
              <w:t xml:space="preserve"> </w:t>
            </w:r>
            <w:r>
              <w:rPr>
                <w:color w:val="000080"/>
                <w:spacing w:val="-4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年</w:t>
            </w:r>
            <w:r>
              <w:rPr>
                <w:color w:val="000080"/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pacing w:val="-4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pacing w:val="32"/>
                <w:sz w:val="24"/>
                <w:szCs w:val="24"/>
              </w:rPr>
              <w:t xml:space="preserve"> </w:t>
            </w:r>
            <w:r>
              <w:rPr>
                <w:color w:val="000080"/>
                <w:spacing w:val="-4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月中央政</w:t>
            </w:r>
            <w:r>
              <w:rPr>
                <w:color w:val="000080"/>
                <w:spacing w:val="-5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治局会议提出“要有效防范化解地方债务</w:t>
            </w:r>
            <w:r>
              <w:rPr>
                <w:color w:val="000080"/>
                <w:sz w:val="24"/>
                <w:szCs w:val="24"/>
              </w:rPr>
              <w:t xml:space="preserve"> </w:t>
            </w:r>
            <w:r>
              <w:rPr>
                <w:color w:val="000080"/>
                <w:spacing w:val="-8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风险，</w:t>
            </w:r>
            <w:r>
              <w:rPr>
                <w:color w:val="000080"/>
                <w:spacing w:val="-37"/>
                <w:sz w:val="24"/>
                <w:szCs w:val="24"/>
              </w:rPr>
              <w:t xml:space="preserve"> </w:t>
            </w:r>
            <w:r>
              <w:rPr>
                <w:color w:val="000080"/>
                <w:spacing w:val="-8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制定实施一揽子化债方案”后，</w:t>
            </w:r>
            <w:r>
              <w:rPr>
                <w:color w:val="000080"/>
                <w:spacing w:val="-24"/>
                <w:sz w:val="24"/>
                <w:szCs w:val="24"/>
              </w:rPr>
              <w:t xml:space="preserve"> </w:t>
            </w:r>
            <w:r>
              <w:rPr>
                <w:color w:val="000080"/>
                <w:spacing w:val="-8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中央对地方债务风险化解的重视程度明显提升，</w:t>
            </w:r>
            <w:r>
              <w:rPr>
                <w:color w:val="000080"/>
                <w:spacing w:val="-35"/>
                <w:sz w:val="24"/>
                <w:szCs w:val="24"/>
              </w:rPr>
              <w:t xml:space="preserve"> </w:t>
            </w:r>
            <w:r>
              <w:rPr>
                <w:color w:val="000080"/>
                <w:spacing w:val="-8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也预示后续</w:t>
            </w:r>
            <w:r>
              <w:rPr>
                <w:color w:val="000080"/>
                <w:sz w:val="24"/>
                <w:szCs w:val="24"/>
              </w:rPr>
              <w:t xml:space="preserve"> </w:t>
            </w:r>
            <w:r>
              <w:rPr>
                <w:color w:val="000080"/>
                <w:spacing w:val="-9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化债将进入更加实质性落地的阶段。在此背景下，湖北省城投公司财务表现如何，</w:t>
            </w:r>
            <w:r>
              <w:rPr>
                <w:color w:val="000080"/>
                <w:spacing w:val="-10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各地市差异如何？</w:t>
            </w:r>
            <w:r>
              <w:rPr>
                <w:color w:val="000080"/>
                <w:sz w:val="24"/>
                <w:szCs w:val="24"/>
              </w:rPr>
              <w:t xml:space="preserve">  </w:t>
            </w:r>
            <w:r>
              <w:rPr>
                <w:color w:val="000080"/>
                <w:spacing w:val="-3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本文以已披露</w:t>
            </w:r>
            <w:r>
              <w:rPr>
                <w:color w:val="000080"/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pacing w:val="-3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pacing w:val="20"/>
                <w:w w:val="101"/>
                <w:sz w:val="24"/>
                <w:szCs w:val="24"/>
              </w:rPr>
              <w:t xml:space="preserve"> </w:t>
            </w:r>
            <w:r>
              <w:rPr>
                <w:color w:val="000080"/>
                <w:spacing w:val="-3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年三季报的</w:t>
            </w:r>
            <w:r>
              <w:rPr>
                <w:color w:val="000080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pacing w:val="-3"/>
                <w:sz w:val="24"/>
                <w:szCs w:val="24"/>
              </w:rPr>
              <w:t>68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pacing w:val="16"/>
                <w:w w:val="101"/>
                <w:sz w:val="24"/>
                <w:szCs w:val="24"/>
              </w:rPr>
              <w:t xml:space="preserve"> </w:t>
            </w:r>
            <w:r>
              <w:rPr>
                <w:color w:val="000080"/>
                <w:spacing w:val="-3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家湖北省城投公司为样本企业，去分析复杂外部环境下湖</w:t>
            </w:r>
            <w:r>
              <w:rPr>
                <w:color w:val="000080"/>
                <w:spacing w:val="-4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北省发</w:t>
            </w:r>
            <w:r>
              <w:rPr>
                <w:color w:val="000080"/>
                <w:sz w:val="24"/>
                <w:szCs w:val="24"/>
              </w:rPr>
              <w:t xml:space="preserve"> </w:t>
            </w:r>
            <w:r>
              <w:rPr>
                <w:color w:val="000080"/>
                <w:spacing w:val="-3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债城投公司的财务表现。</w:t>
            </w:r>
          </w:p>
          <w:p>
            <w:pPr>
              <w:spacing w:line="42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91" w:line="219" w:lineRule="auto"/>
              <w:ind w:left="356"/>
              <w:outlineLvl w:val="0"/>
              <w:rPr>
                <w:sz w:val="28"/>
                <w:szCs w:val="28"/>
              </w:rPr>
            </w:pPr>
            <w:r>
              <w:rPr>
                <w:color w:val="000080"/>
                <w:spacing w:val="-2"/>
                <w:sz w:val="28"/>
                <w:szCs w:val="28"/>
                <w14:textOutline w14:w="509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一、湖北省城投公司</w:t>
            </w:r>
            <w:r>
              <w:rPr>
                <w:color w:val="000080"/>
                <w:spacing w:val="-5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pacing w:val="-2"/>
                <w:sz w:val="28"/>
                <w:szCs w:val="28"/>
              </w:rPr>
              <w:t>2023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pacing w:val="24"/>
                <w:sz w:val="28"/>
                <w:szCs w:val="28"/>
              </w:rPr>
              <w:t xml:space="preserve"> </w:t>
            </w:r>
            <w:r>
              <w:rPr>
                <w:color w:val="000080"/>
                <w:spacing w:val="-2"/>
                <w:sz w:val="28"/>
                <w:szCs w:val="28"/>
                <w14:textOutline w14:w="509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年三季报总体概况</w:t>
            </w: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79" w:lineRule="auto"/>
              <w:ind w:left="348" w:right="437" w:firstLine="484"/>
              <w:jc w:val="both"/>
              <w:rPr>
                <w:sz w:val="24"/>
                <w:szCs w:val="24"/>
              </w:rPr>
            </w:pPr>
            <w:r>
              <w:rPr>
                <w:color w:val="000080"/>
                <w:spacing w:val="-6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根据城投公司已披露的</w:t>
            </w:r>
            <w:r>
              <w:rPr>
                <w:color w:val="000080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pacing w:val="-6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pacing w:val="21"/>
                <w:w w:val="101"/>
                <w:sz w:val="24"/>
                <w:szCs w:val="24"/>
              </w:rPr>
              <w:t xml:space="preserve"> </w:t>
            </w:r>
            <w:r>
              <w:rPr>
                <w:color w:val="000080"/>
                <w:spacing w:val="-6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年三季报，总体来看，</w:t>
            </w:r>
            <w:r>
              <w:rPr>
                <w:color w:val="00008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80"/>
                <w:spacing w:val="-6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湖北省城投公司延续扩张趋势，</w:t>
            </w:r>
            <w:r>
              <w:rPr>
                <w:color w:val="000080"/>
                <w:spacing w:val="-27"/>
                <w:sz w:val="24"/>
                <w:szCs w:val="24"/>
              </w:rPr>
              <w:t xml:space="preserve"> </w:t>
            </w:r>
            <w:r>
              <w:rPr>
                <w:color w:val="000080"/>
                <w:spacing w:val="-6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但所有者</w:t>
            </w:r>
            <w:r>
              <w:rPr>
                <w:color w:val="000080"/>
                <w:sz w:val="24"/>
                <w:szCs w:val="24"/>
              </w:rPr>
              <w:t xml:space="preserve"> </w:t>
            </w:r>
            <w:r>
              <w:rPr>
                <w:color w:val="000080"/>
                <w:spacing w:val="3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权益增速放缓，财务杠杆攀升；债券融资占</w:t>
            </w:r>
            <w:r>
              <w:rPr>
                <w:color w:val="000080"/>
                <w:spacing w:val="2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比有所提升，融资成本有所下降；短期债务占比小幅</w:t>
            </w:r>
            <w:r>
              <w:rPr>
                <w:color w:val="000080"/>
                <w:sz w:val="24"/>
                <w:szCs w:val="24"/>
              </w:rPr>
              <w:t xml:space="preserve"> </w:t>
            </w:r>
            <w:r>
              <w:rPr>
                <w:color w:val="000080"/>
                <w:spacing w:val="2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下滑，但货币资金对短期债务的覆盖倍数仍处于较低水</w:t>
            </w:r>
            <w:r>
              <w:rPr>
                <w:color w:val="000080"/>
                <w:spacing w:val="1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平，短期流动性压力未明显缓解</w:t>
            </w:r>
            <w:r>
              <w:rPr>
                <w:color w:val="000080"/>
                <w:spacing w:val="-72"/>
                <w:sz w:val="24"/>
                <w:szCs w:val="24"/>
              </w:rPr>
              <w:t xml:space="preserve"> </w:t>
            </w:r>
            <w:r>
              <w:rPr>
                <w:color w:val="000080"/>
                <w:spacing w:val="1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；湖北省</w:t>
            </w:r>
            <w:r>
              <w:rPr>
                <w:color w:val="000080"/>
                <w:sz w:val="24"/>
                <w:szCs w:val="24"/>
              </w:rPr>
              <w:t xml:space="preserve"> </w:t>
            </w:r>
            <w:r>
              <w:rPr>
                <w:color w:val="000080"/>
                <w:sz w:val="24"/>
                <w:szCs w:val="24"/>
                <w14:textOutline w14:w="4354">
                  <w14:solidFill>
                    <w14:srgbClr w14:val="000080"/>
                  </w14:solidFill>
                  <w14:prstDash w14:val="solid"/>
                  <w14:round/>
                </w14:textOutline>
              </w:rPr>
              <w:t>样本企业营业收入同比增幅较大，但获利水平有所下滑</w:t>
            </w:r>
          </w:p>
          <w:p>
            <w:pPr>
              <w:pStyle w:val="TableText"/>
              <w:spacing w:before="275" w:line="327" w:lineRule="auto"/>
              <w:ind w:left="352" w:right="437" w:firstLine="434"/>
              <w:jc w:val="both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截至</w:t>
            </w:r>
            <w:r>
              <w:rPr>
                <w:spacing w:val="-3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</w:rPr>
              <w:t>2023</w:t>
            </w:r>
            <w:r>
              <w:rPr>
                <w:rFonts w:ascii="Times New Roman" w:eastAsia="Times New Roman" w:hAnsi="Times New Roman" w:cs="Times New Roman"/>
                <w:spacing w:val="29"/>
                <w:w w:val="101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</w:rPr>
              <w:t>12</w:t>
            </w:r>
            <w:r>
              <w:rPr>
                <w:rFonts w:ascii="Times New Roman" w:eastAsia="Times New Roman" w:hAnsi="Times New Roman" w:cs="Times New Roman"/>
                <w:spacing w:val="37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月</w:t>
            </w:r>
            <w:r>
              <w:rPr>
                <w:spacing w:val="-3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</w:rPr>
              <w:t xml:space="preserve">24  </w:t>
            </w:r>
            <w:r>
              <w:rPr>
                <w:spacing w:val="-4"/>
                <w:sz w:val="22"/>
                <w:szCs w:val="22"/>
              </w:rPr>
              <w:t>日，湖北省有存续债的城投公司共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</w:rPr>
              <w:t>146</w:t>
            </w:r>
            <w:r>
              <w:rPr>
                <w:rFonts w:ascii="Times New Roman" w:eastAsia="Times New Roman" w:hAnsi="Times New Roman" w:cs="Times New Roman"/>
                <w:spacing w:val="27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家，其中</w:t>
            </w:r>
            <w:r>
              <w:rPr>
                <w:spacing w:val="-3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</w:rPr>
              <w:t>2020~2022</w:t>
            </w:r>
            <w:r>
              <w:rPr>
                <w:rFonts w:ascii="Times New Roman" w:eastAsia="Times New Roman" w:hAnsi="Times New Roman" w:cs="Times New Roman"/>
                <w:spacing w:val="30"/>
                <w:w w:val="101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年审</w:t>
            </w:r>
            <w:r>
              <w:rPr>
                <w:spacing w:val="-5"/>
                <w:sz w:val="22"/>
                <w:szCs w:val="22"/>
              </w:rPr>
              <w:t>计报告及</w:t>
            </w:r>
            <w:r>
              <w:rPr>
                <w:spacing w:val="-3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2"/>
                <w:szCs w:val="22"/>
              </w:rPr>
              <w:t>2023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年三季度财务报表均披露的城投公司共</w:t>
            </w:r>
            <w:r>
              <w:rPr>
                <w:spacing w:val="-36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2"/>
                <w:szCs w:val="22"/>
              </w:rPr>
              <w:t>68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家，</w:t>
            </w:r>
            <w:r>
              <w:rPr>
                <w:spacing w:val="-32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本文对上述</w:t>
            </w:r>
            <w:r>
              <w:rPr>
                <w:spacing w:val="-4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2"/>
                <w:szCs w:val="22"/>
              </w:rPr>
              <w:t>68</w:t>
            </w:r>
            <w:r>
              <w:rPr>
                <w:rFonts w:ascii="Times New Roman" w:eastAsia="Times New Roman" w:hAnsi="Times New Roman" w:cs="Times New Roman"/>
                <w:spacing w:val="18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>家城投企业（以下简称“样本企业”）的财务</w:t>
            </w:r>
          </w:p>
          <w:p>
            <w:pPr>
              <w:pStyle w:val="TableText"/>
              <w:spacing w:line="217" w:lineRule="auto"/>
              <w:ind w:left="347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指标及表现进行梳理，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观察湖北省城投</w:t>
            </w:r>
            <w:r>
              <w:rPr>
                <w:spacing w:val="-5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</w:rPr>
              <w:t>2023</w:t>
            </w:r>
            <w:r>
              <w:rPr>
                <w:rFonts w:ascii="Times New Roman" w:eastAsia="Times New Roman" w:hAnsi="Times New Roman" w:cs="Times New Roman"/>
                <w:spacing w:val="20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年以</w:t>
            </w:r>
            <w:r>
              <w:rPr>
                <w:spacing w:val="-5"/>
                <w:sz w:val="22"/>
                <w:szCs w:val="22"/>
              </w:rPr>
              <w:t>来主要财务变化情况。</w:t>
            </w:r>
          </w:p>
          <w:p>
            <w:pPr>
              <w:pStyle w:val="TableText"/>
              <w:spacing w:before="286" w:line="310" w:lineRule="auto"/>
              <w:ind w:left="348" w:right="434" w:firstLine="439"/>
              <w:jc w:val="both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样本代表性方面，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样本企业城投债发行规模、存量债券规模及资产规模占比均</w:t>
            </w:r>
            <w:r>
              <w:rPr>
                <w:spacing w:val="-4"/>
                <w:sz w:val="22"/>
                <w:szCs w:val="22"/>
              </w:rPr>
              <w:t>较高，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聚焦样本企业大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体可窥见湖北省城投公司整体变化情况。具体来看：城投债发行方面，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2"/>
                <w:szCs w:val="22"/>
              </w:rPr>
              <w:t>2023</w:t>
            </w:r>
            <w:r>
              <w:rPr>
                <w:rFonts w:ascii="Times New Roman" w:eastAsia="Times New Roman" w:hAnsi="Times New Roman" w:cs="Times New Roman"/>
                <w:spacing w:val="19"/>
                <w:w w:val="101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年</w:t>
            </w:r>
            <w:r>
              <w:rPr>
                <w:spacing w:val="-2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pacing w:val="25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月</w:t>
            </w:r>
            <w:r>
              <w:rPr>
                <w:spacing w:val="-3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2"/>
                <w:szCs w:val="22"/>
              </w:rPr>
              <w:t xml:space="preserve">1  </w:t>
            </w:r>
            <w:r>
              <w:rPr>
                <w:spacing w:val="-7"/>
                <w:sz w:val="22"/>
                <w:szCs w:val="22"/>
              </w:rPr>
              <w:t>日</w:t>
            </w:r>
            <w:r>
              <w:rPr>
                <w:rFonts w:ascii="Times New Roman" w:eastAsia="Times New Roman" w:hAnsi="Times New Roman" w:cs="Times New Roman"/>
                <w:spacing w:val="-7"/>
                <w:sz w:val="22"/>
                <w:szCs w:val="22"/>
              </w:rPr>
              <w:t>~12</w:t>
            </w:r>
            <w:r>
              <w:rPr>
                <w:rFonts w:ascii="Times New Roman" w:eastAsia="Times New Roman" w:hAnsi="Times New Roman" w:cs="Times New Roman"/>
                <w:spacing w:val="25"/>
                <w:w w:val="101"/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月</w:t>
            </w:r>
            <w:r>
              <w:rPr>
                <w:spacing w:val="-5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2"/>
                <w:szCs w:val="22"/>
              </w:rPr>
              <w:t xml:space="preserve">24  </w:t>
            </w:r>
            <w:r>
              <w:rPr>
                <w:spacing w:val="-8"/>
                <w:sz w:val="22"/>
                <w:szCs w:val="22"/>
              </w:rPr>
              <w:t>日，湖北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省城投公司发行债券总额为</w:t>
            </w:r>
            <w:r>
              <w:rPr>
                <w:spacing w:val="-4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2"/>
                <w:szCs w:val="22"/>
              </w:rPr>
              <w:t>2,786.94</w:t>
            </w:r>
            <w:r>
              <w:rPr>
                <w:rFonts w:ascii="Times New Roman" w:eastAsia="Times New Roman" w:hAnsi="Times New Roman" w:cs="Times New Roman"/>
                <w:spacing w:val="18"/>
                <w:w w:val="10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亿元，样本企业发行总额为</w:t>
            </w:r>
            <w:r>
              <w:rPr>
                <w:spacing w:val="-4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2"/>
                <w:szCs w:val="22"/>
              </w:rPr>
              <w:t>2,530.78</w:t>
            </w:r>
            <w:r>
              <w:rPr>
                <w:rFonts w:ascii="Times New Roman" w:eastAsia="Times New Roman" w:hAnsi="Times New Roman" w:cs="Times New Roman"/>
                <w:spacing w:val="20"/>
                <w:w w:val="10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亿元，占比达</w:t>
            </w:r>
            <w:r>
              <w:rPr>
                <w:spacing w:val="-46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2"/>
                <w:szCs w:val="22"/>
              </w:rPr>
              <w:t>90.81%</w:t>
            </w:r>
            <w:r>
              <w:rPr>
                <w:spacing w:val="-2"/>
                <w:sz w:val="22"/>
                <w:szCs w:val="22"/>
              </w:rPr>
              <w:t>。城投债存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量方面，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截至</w:t>
            </w:r>
            <w:r>
              <w:rPr>
                <w:spacing w:val="-4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</w:rPr>
              <w:t>2023</w:t>
            </w:r>
            <w:r>
              <w:rPr>
                <w:rFonts w:ascii="Times New Roman" w:eastAsia="Times New Roman" w:hAnsi="Times New Roman" w:cs="Times New Roman"/>
                <w:spacing w:val="22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年</w:t>
            </w:r>
            <w:r>
              <w:rPr>
                <w:spacing w:val="-27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</w:rPr>
              <w:t>12</w:t>
            </w:r>
            <w:r>
              <w:rPr>
                <w:rFonts w:ascii="Times New Roman" w:eastAsia="Times New Roman" w:hAnsi="Times New Roman" w:cs="Times New Roman"/>
                <w:spacing w:val="28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月</w:t>
            </w:r>
            <w:r>
              <w:rPr>
                <w:spacing w:val="-4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</w:rPr>
              <w:t xml:space="preserve">24  </w:t>
            </w:r>
            <w:r>
              <w:rPr>
                <w:spacing w:val="-4"/>
                <w:sz w:val="22"/>
                <w:szCs w:val="22"/>
              </w:rPr>
              <w:t>日，</w:t>
            </w:r>
            <w:r>
              <w:rPr>
                <w:spacing w:val="-5"/>
                <w:sz w:val="22"/>
                <w:szCs w:val="22"/>
              </w:rPr>
              <w:t>湖北省存量城投债规模为</w:t>
            </w:r>
            <w:r>
              <w:rPr>
                <w:spacing w:val="-4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2"/>
                <w:szCs w:val="22"/>
              </w:rPr>
              <w:t>7,809.45</w:t>
            </w:r>
            <w:r>
              <w:rPr>
                <w:rFonts w:ascii="Times New Roman" w:eastAsia="Times New Roman" w:hAnsi="Times New Roman" w:cs="Times New Roman"/>
                <w:spacing w:val="20"/>
                <w:w w:val="101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亿元，研究样本存量规模为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2"/>
                <w:szCs w:val="22"/>
              </w:rPr>
              <w:t>6,851.36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亿元，</w:t>
            </w:r>
            <w:r>
              <w:rPr>
                <w:spacing w:val="-50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占比达</w:t>
            </w:r>
            <w:r>
              <w:rPr>
                <w:spacing w:val="-4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2"/>
                <w:szCs w:val="22"/>
              </w:rPr>
              <w:t>87.73%</w:t>
            </w:r>
            <w:r>
              <w:rPr>
                <w:spacing w:val="-10"/>
                <w:sz w:val="22"/>
                <w:szCs w:val="22"/>
              </w:rPr>
              <w:t>；资产规模方面，截至</w:t>
            </w:r>
            <w:r>
              <w:rPr>
                <w:spacing w:val="-5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2"/>
                <w:szCs w:val="22"/>
              </w:rPr>
              <w:t>2022</w:t>
            </w:r>
            <w:r>
              <w:rPr>
                <w:rFonts w:ascii="Times New Roman" w:eastAsia="Times New Roman" w:hAnsi="Times New Roman" w:cs="Times New Roman"/>
                <w:spacing w:val="19"/>
                <w:w w:val="101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年末，湖北省有存续</w:t>
            </w:r>
            <w:r>
              <w:rPr>
                <w:spacing w:val="-11"/>
                <w:sz w:val="22"/>
                <w:szCs w:val="22"/>
              </w:rPr>
              <w:t>城投债的城投公司总资产合计</w:t>
            </w:r>
            <w:r>
              <w:rPr>
                <w:rFonts w:ascii="Times New Roman" w:eastAsia="Times New Roman" w:hAnsi="Times New Roman" w:cs="Times New Roman"/>
                <w:position w:val="7"/>
                <w:sz w:val="13"/>
                <w:szCs w:val="13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60,314.76 </w:t>
            </w:r>
            <w:r>
              <w:rPr>
                <w:spacing w:val="-2"/>
                <w:sz w:val="22"/>
                <w:szCs w:val="22"/>
              </w:rPr>
              <w:t>亿元，样本企业总资产规模达</w:t>
            </w:r>
            <w:r>
              <w:rPr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47,839.86</w:t>
            </w:r>
            <w:r>
              <w:rPr>
                <w:rFonts w:ascii="Times New Roman" w:eastAsia="Times New Roman" w:hAnsi="Times New Roman" w:cs="Times New Roman"/>
                <w:spacing w:val="1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亿元，占比接近</w:t>
            </w:r>
            <w:r>
              <w:rPr>
                <w:spacing w:val="-41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80%</w:t>
            </w:r>
            <w:r>
              <w:rPr>
                <w:spacing w:val="-2"/>
                <w:sz w:val="22"/>
                <w:szCs w:val="22"/>
              </w:rPr>
              <w:t>。</w:t>
            </w:r>
          </w:p>
          <w:p>
            <w:pPr>
              <w:pStyle w:val="TableText"/>
              <w:spacing w:before="282" w:line="327" w:lineRule="auto"/>
              <w:ind w:left="335" w:right="372" w:firstLine="446"/>
              <w:jc w:val="both"/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2"/>
                <w:szCs w:val="22"/>
              </w:rPr>
              <w:t xml:space="preserve">68  </w:t>
            </w:r>
            <w:r>
              <w:rPr>
                <w:spacing w:val="-8"/>
                <w:sz w:val="22"/>
                <w:szCs w:val="22"/>
              </w:rPr>
              <w:t>家样本企业从行政级别来看，</w:t>
            </w:r>
            <w:r>
              <w:rPr>
                <w:spacing w:val="42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以地市级为主，</w:t>
            </w:r>
            <w:r>
              <w:rPr>
                <w:spacing w:val="-60"/>
                <w:sz w:val="22"/>
                <w:szCs w:val="22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占比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2"/>
                <w:szCs w:val="22"/>
              </w:rPr>
              <w:t>55.88%</w:t>
            </w:r>
            <w:r>
              <w:rPr>
                <w:spacing w:val="-9"/>
                <w:sz w:val="22"/>
                <w:szCs w:val="22"/>
              </w:rPr>
              <w:t>，其次为园区城投，</w:t>
            </w:r>
            <w:r>
              <w:rPr>
                <w:spacing w:val="58"/>
                <w:sz w:val="22"/>
                <w:szCs w:val="22"/>
              </w:rPr>
              <w:t xml:space="preserve"> </w:t>
            </w:r>
            <w:r>
              <w:rPr>
                <w:spacing w:val="-9"/>
                <w:sz w:val="22"/>
                <w:szCs w:val="22"/>
              </w:rPr>
              <w:t>占比约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2"/>
                <w:szCs w:val="22"/>
              </w:rPr>
              <w:t>25.00%</w:t>
            </w:r>
            <w:r>
              <w:rPr>
                <w:spacing w:val="-9"/>
                <w:sz w:val="22"/>
                <w:szCs w:val="22"/>
              </w:rPr>
              <w:t>，区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7"/>
                <w:sz w:val="22"/>
                <w:szCs w:val="22"/>
              </w:rPr>
              <w:t>县级和省级城投数量相当；从主体信用等级来看，样本企业</w:t>
            </w:r>
            <w:r>
              <w:rPr>
                <w:spacing w:val="-8"/>
                <w:sz w:val="22"/>
                <w:szCs w:val="22"/>
              </w:rPr>
              <w:t>以</w:t>
            </w:r>
            <w:r>
              <w:rPr>
                <w:spacing w:val="-6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2"/>
                <w:szCs w:val="22"/>
              </w:rPr>
              <w:t xml:space="preserve">AA </w:t>
            </w:r>
            <w:r>
              <w:rPr>
                <w:spacing w:val="-8"/>
                <w:sz w:val="22"/>
                <w:szCs w:val="22"/>
              </w:rPr>
              <w:t>和</w:t>
            </w:r>
            <w:r>
              <w:rPr>
                <w:spacing w:val="-65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2"/>
                <w:szCs w:val="22"/>
              </w:rPr>
              <w:t>AA</w:t>
            </w:r>
            <w:r>
              <w:rPr>
                <w:rFonts w:ascii="Times New Roman" w:eastAsia="Times New Roman" w:hAnsi="Times New Roman" w:cs="Times New Roman"/>
                <w:spacing w:val="-8"/>
                <w:position w:val="7"/>
                <w:sz w:val="13"/>
                <w:szCs w:val="13"/>
              </w:rPr>
              <w:t>+</w:t>
            </w:r>
            <w:r>
              <w:rPr>
                <w:rFonts w:ascii="Times New Roman" w:eastAsia="Times New Roman" w:hAnsi="Times New Roman" w:cs="Times New Roman"/>
                <w:spacing w:val="-9"/>
                <w:position w:val="7"/>
                <w:sz w:val="13"/>
                <w:szCs w:val="13"/>
              </w:rPr>
              <w:t xml:space="preserve"> </w:t>
            </w:r>
            <w:r>
              <w:rPr>
                <w:spacing w:val="-8"/>
                <w:sz w:val="22"/>
                <w:szCs w:val="22"/>
              </w:rPr>
              <w:t>为主，占比分别为</w:t>
            </w:r>
            <w:r>
              <w:rPr>
                <w:spacing w:val="-62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2"/>
                <w:szCs w:val="22"/>
              </w:rPr>
              <w:t>47.06%</w:t>
            </w:r>
            <w:r>
              <w:rPr>
                <w:spacing w:val="-8"/>
                <w:sz w:val="22"/>
                <w:szCs w:val="22"/>
              </w:rPr>
              <w:t>和</w:t>
            </w:r>
            <w:r>
              <w:rPr>
                <w:spacing w:val="-58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2"/>
                <w:szCs w:val="22"/>
              </w:rPr>
              <w:t>36.76%</w:t>
            </w:r>
            <w:r>
              <w:rPr>
                <w:spacing w:val="-8"/>
                <w:sz w:val="22"/>
                <w:szCs w:val="22"/>
              </w:rPr>
              <w:t>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2"/>
                <w:szCs w:val="22"/>
              </w:rPr>
              <w:t>AAA</w:t>
            </w:r>
            <w:r>
              <w:rPr>
                <w:rFonts w:ascii="Times New Roman" w:eastAsia="Times New Roman" w:hAnsi="Times New Roman" w:cs="Times New Roman"/>
                <w:spacing w:val="15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企业占比</w:t>
            </w:r>
            <w:r>
              <w:rPr>
                <w:spacing w:val="-29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2"/>
                <w:szCs w:val="22"/>
              </w:rPr>
              <w:t>14.71%</w:t>
            </w:r>
            <w:r>
              <w:rPr>
                <w:spacing w:val="-3"/>
                <w:sz w:val="22"/>
                <w:szCs w:val="22"/>
              </w:rPr>
              <w:t>；从地市分布来看，武汉市城投数量最多（</w:t>
            </w:r>
            <w:r>
              <w:rPr>
                <w:rFonts w:ascii="Times New Roman" w:eastAsia="Times New Roman" w:hAnsi="Times New Roman" w:cs="Times New Roman"/>
                <w:spacing w:val="-3"/>
                <w:sz w:val="22"/>
                <w:szCs w:val="22"/>
              </w:rPr>
              <w:t>26</w:t>
            </w:r>
            <w:r>
              <w:rPr>
                <w:rFonts w:ascii="Times New Roman" w:eastAsia="Times New Roman" w:hAnsi="Times New Roman" w:cs="Times New Roman"/>
                <w:spacing w:val="17"/>
                <w:w w:val="101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家</w:t>
            </w:r>
            <w:r>
              <w:rPr>
                <w:rFonts w:ascii="Times New Roman" w:eastAsia="Times New Roman" w:hAnsi="Times New Roman" w:cs="Times New Roman"/>
                <w:spacing w:val="-3"/>
                <w:sz w:val="22"/>
                <w:szCs w:val="22"/>
              </w:rPr>
              <w:t>/38.24%</w:t>
            </w:r>
            <w:r>
              <w:rPr>
                <w:spacing w:val="-55"/>
                <w:sz w:val="22"/>
                <w:szCs w:val="22"/>
              </w:rPr>
              <w:t>），</w:t>
            </w:r>
            <w:r>
              <w:rPr>
                <w:spacing w:val="-3"/>
                <w:sz w:val="22"/>
                <w:szCs w:val="22"/>
              </w:rPr>
              <w:t>其次黄石市、宜昌市、荆</w:t>
            </w:r>
          </w:p>
          <w:p>
            <w:pPr>
              <w:pStyle w:val="TableText"/>
              <w:spacing w:before="1" w:line="215" w:lineRule="auto"/>
              <w:ind w:left="369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门市和荆州市城投数量在</w:t>
            </w:r>
            <w:r>
              <w:rPr>
                <w:spacing w:val="-43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5~10</w:t>
            </w:r>
            <w:r>
              <w:rPr>
                <w:rFonts w:ascii="Times New Roman" w:eastAsia="Times New Roman" w:hAnsi="Times New Roman" w:cs="Times New Roman"/>
                <w:spacing w:val="1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家，其余地市城投公司</w:t>
            </w:r>
            <w:r>
              <w:rPr>
                <w:spacing w:val="-3"/>
                <w:sz w:val="22"/>
                <w:szCs w:val="22"/>
              </w:rPr>
              <w:t>数量较少，鄂州市和黄冈市均仅有</w:t>
            </w:r>
            <w:r>
              <w:rPr>
                <w:spacing w:val="-3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7"/>
                <w:w w:val="101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家。</w:t>
            </w: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</w:tc>
      </w:tr>
    </w:tbl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https://d.book118.com/747201042001006026</w:t>
        </w:r>
      </w:hyperlink>
    </w:p>
    <w:p/>
    <w:sectPr>
      <w:headerReference w:type="default" r:id="rId9"/>
      <w:pgSz w:w="11907" w:h="16839"/>
      <w:pgMar w:top="1247" w:right="506" w:bottom="0" w:left="390" w:header="623" w:footer="0" w:gutter="0"/>
      <w:pgNumType w:start="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614" w:lineRule="exact"/>
      <w:ind w:firstLine="2"/>
    </w:pPr>
    <w:r>
      <w:rPr>
        <w:position w:val="-13"/>
      </w:rPr>
      <w:pict>
        <v:group id="_x0000_i2049" style="width:550.45pt;height:31.25pt;mso-position-horizontal-relative:char;mso-position-vertical-relative:line" coordorigin="0,0" coordsize="11009,625" filled="f" stroked="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width:11009;height:625;position:absolute" filled="f" stroked="f">
            <v:imagedata r:id="rId1" o:title="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width:11049;height:665;left:-20;position:absolute;top:-20" filled="f" stroked="f">
            <o:lock v:ext="edit" aspectratio="f"/>
            <v:textbox inset="0,0,0,0">
              <w:txbxContent>
                <w:p>
                  <w:pPr>
                    <w:spacing w:line="25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78" w:line="217" w:lineRule="auto"/>
                    <w:ind w:left="8602"/>
                    <w:rPr>
                      <w:rFonts w:ascii="FangSong" w:eastAsia="FangSong" w:hAnsi="FangSong" w:cs="FangSong"/>
                      <w:sz w:val="24"/>
                      <w:szCs w:val="24"/>
                    </w:rPr>
                  </w:pPr>
                  <w:r>
                    <w:rPr>
                      <w:rFonts w:ascii="FangSong" w:eastAsia="FangSong" w:hAnsi="FangSong" w:cs="FangSong"/>
                      <w:color w:val="FFFFFF"/>
                      <w:spacing w:val="-5"/>
                      <w:sz w:val="24"/>
                      <w:szCs w:val="24"/>
                      <w14:textOutline w14:w="4354">
                        <w14:solidFill>
                          <w14:srgbClr w14:val="FFFFFF"/>
                        </w14:solidFill>
                        <w14:prstDash w14:val="solid"/>
                        <w14:miter w14:lim="10"/>
                      </w14:textOutline>
                    </w:rPr>
                    <w:t>中诚信国际特别评论</w:t>
                  </w:r>
                </w:p>
              </w:txbxContent>
            </v:textbox>
          </v:shape>
          <w10:wrap type="non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Normal"/>
    <w:semiHidden/>
    <w:qFormat/>
    <w:rPr>
      <w:rFonts w:ascii="FangSong" w:eastAsia="FangSong" w:hAnsi="FangSong" w:cs="FangSong"/>
      <w:sz w:val="21"/>
      <w:szCs w:val="21"/>
      <w:lang w:val="en-US" w:eastAsia="en-US" w:bidi="ar-SA"/>
    </w:r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18"/>
      <w:szCs w:val="18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image" Target="media/image2.png" /><Relationship Id="rId7" Type="http://schemas.openxmlformats.org/officeDocument/2006/relationships/header" Target="header2.xml" /><Relationship Id="rId8" Type="http://schemas.openxmlformats.org/officeDocument/2006/relationships/hyperlink" Target="https://d.book118.com/747201042001006026" TargetMode="External" /><Relationship Id="rId9" Type="http://schemas.openxmlformats.org/officeDocument/2006/relationships/header" Target="header3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信用评级业务及国情特点决定监管模式</dc:title>
  <dc:creator>HOU</dc:creator>
  <cp:revision>0</cp:revision>
  <dcterms:created xsi:type="dcterms:W3CDTF">2024-01-06T20:42:20Z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2024-01-06T21:10:52Z</vt:filetime>
  </property>
  <property fmtid="{D5CDD505-2E9C-101B-9397-08002B2CF9AE}" pid="3" name="CRO">
    <vt:lpwstr>wqlLaW5nc29mdCBQREYgdG8gV1BTIDkw</vt:lpwstr>
  </property>
</Properties>
</file>