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widowControl w:val="0"/>
        <w:shd w:val="clear" w:color="auto" w:fill="auto"/>
        <w:bidi w:val="0"/>
        <w:spacing w:before="0" w:after="80" w:line="240" w:lineRule="auto"/>
        <w:ind w:left="0" w:right="0"/>
        <w:jc w:val="left"/>
      </w:pPr>
      <w:r>
        <w:rPr>
          <w:rFonts w:ascii="Times New Roman" w:eastAsia="Times New Roman" w:hAnsi="Times New Roman" w:cs="Times New Roman"/>
          <w:color w:val="000000"/>
          <w:spacing w:val="0"/>
          <w:w w:val="100"/>
          <w:position w:val="0"/>
          <w:sz w:val="20"/>
          <w:szCs w:val="20"/>
          <w:lang w:val="en-US" w:eastAsia="en-US" w:bidi="en-US"/>
        </w:rPr>
        <w:t xml:space="preserve">ICS </w:t>
      </w:r>
      <w:r>
        <w:rPr>
          <w:rFonts w:ascii="Times New Roman" w:eastAsia="Times New Roman" w:hAnsi="Times New Roman" w:cs="Times New Roman"/>
          <w:color w:val="000000"/>
          <w:spacing w:val="0"/>
          <w:w w:val="100"/>
          <w:position w:val="0"/>
          <w:lang w:val="en-US" w:eastAsia="en-US" w:bidi="en-US"/>
        </w:rPr>
        <w:t>13.020.40</w:t>
      </w:r>
    </w:p>
    <w:p>
      <w:pPr>
        <w:pStyle w:val="Bodytext20"/>
        <w:keepNext w:val="0"/>
        <w:keepLines w:val="0"/>
        <w:widowControl w:val="0"/>
        <w:shd w:val="clear" w:color="auto" w:fill="auto"/>
        <w:bidi w:val="0"/>
        <w:spacing w:before="0" w:after="0" w:line="240" w:lineRule="auto"/>
        <w:ind w:left="0" w:right="0"/>
        <w:jc w:val="left"/>
      </w:pPr>
      <w:r>
        <w:rPr>
          <w:rFonts w:ascii="Times New Roman" w:eastAsia="Times New Roman" w:hAnsi="Times New Roman" w:cs="Times New Roman"/>
          <w:color w:val="000000"/>
          <w:spacing w:val="0"/>
          <w:w w:val="100"/>
          <w:position w:val="0"/>
          <w:lang w:val="en-US" w:eastAsia="en-US" w:bidi="en-US"/>
        </w:rPr>
        <w:t>Z60</w:t>
      </w:r>
    </w:p>
    <w:p>
      <w:pPr>
        <w:pStyle w:val="Heading110"/>
        <w:keepNext/>
        <w:keepLines/>
        <w:widowControl w:val="0"/>
        <w:shd w:val="clear" w:color="auto" w:fill="auto"/>
        <w:bidi w:val="0"/>
        <w:spacing w:before="0"/>
        <w:ind w:left="0" w:righ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DB35</w:t>
      </w:r>
      <w:bookmarkEnd w:id="0"/>
      <w:bookmarkEnd w:id="1"/>
      <w:bookmarkEnd w:id="2"/>
    </w:p>
    <w:p>
      <w:pPr>
        <w:pStyle w:val="Heading310"/>
        <w:keepNext/>
        <w:keepLines/>
        <w:widowControl w:val="0"/>
        <w:shd w:val="clear" w:color="auto" w:fill="auto"/>
        <w:bidi w:val="0"/>
        <w:spacing w:before="0" w:line="240" w:lineRule="auto"/>
        <w:ind w:left="0" w:right="0"/>
        <w:jc w:val="left"/>
      </w:pPr>
      <w:bookmarkStart w:id="3" w:name="bookmark3"/>
      <w:bookmarkStart w:id="4" w:name="bookmark4"/>
      <w:bookmarkStart w:id="5" w:name="bookmark5"/>
      <w:r>
        <w:rPr>
          <w:color w:val="000000"/>
          <w:spacing w:val="0"/>
          <w:w w:val="100"/>
          <w:position w:val="0"/>
        </w:rPr>
        <w:t>福 建 省 地 方 标 准</w:t>
      </w:r>
      <w:bookmarkEnd w:id="3"/>
      <w:bookmarkEnd w:id="4"/>
      <w:bookmarkEnd w:id="5"/>
    </w:p>
    <w:p>
      <w:pPr>
        <w:pStyle w:val="Bodytext30"/>
        <w:keepNext w:val="0"/>
        <w:keepLines w:val="0"/>
        <w:widowControl w:val="0"/>
        <w:pBdr>
          <w:bottom w:val="single" w:sz="4" w:space="0" w:color="auto"/>
        </w:pBdr>
        <w:shd w:val="clear" w:color="auto" w:fill="auto"/>
        <w:bidi w:val="0"/>
        <w:spacing w:before="0" w:after="2320" w:line="240" w:lineRule="auto"/>
        <w:ind w:left="0" w:right="300" w:firstLine="0"/>
        <w:jc w:val="right"/>
        <w:rPr>
          <w:sz w:val="26"/>
          <w:szCs w:val="26"/>
        </w:rPr>
      </w:pPr>
      <w:r>
        <w:rPr>
          <w:rFonts w:ascii="Times New Roman" w:eastAsia="Times New Roman" w:hAnsi="Times New Roman" w:cs="Times New Roman"/>
          <w:color w:val="000000"/>
          <w:spacing w:val="0"/>
          <w:w w:val="100"/>
          <w:position w:val="0"/>
          <w:sz w:val="26"/>
          <w:szCs w:val="26"/>
          <w:lang w:val="en-US" w:eastAsia="en-US" w:bidi="en-US"/>
        </w:rPr>
        <w:t>DB35/T 1452—2014</w:t>
      </w:r>
    </w:p>
    <w:p>
      <w:pPr>
        <w:pStyle w:val="Heading210"/>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合成革与人造革工业污染治理工程技术规范</w:t>
      </w:r>
      <w:bookmarkEnd w:id="6"/>
      <w:bookmarkEnd w:id="7"/>
      <w:bookmarkEnd w:id="8"/>
    </w:p>
    <w:p>
      <w:pPr>
        <w:pStyle w:val="Bodytext30"/>
        <w:keepNext w:val="0"/>
        <w:keepLines w:val="0"/>
        <w:widowControl w:val="0"/>
        <w:shd w:val="clear" w:color="auto" w:fill="auto"/>
        <w:bidi w:val="0"/>
        <w:spacing w:before="0" w:after="6060" w:line="300" w:lineRule="auto"/>
        <w:ind w:left="0" w:right="0" w:firstLine="0"/>
        <w:jc w:val="center"/>
      </w:pPr>
      <w:r>
        <mc:AlternateContent>
          <mc:Choice Requires="wps">
            <w:drawing>
              <wp:anchor distT="0" distB="0" distL="114300" distR="114300" simplePos="0" relativeHeight="251659264" behindDoc="0" locked="0" layoutInCell="1" allowOverlap="1">
                <wp:simplePos x="0" y="0"/>
                <wp:positionH relativeFrom="page">
                  <wp:posOffset>979805</wp:posOffset>
                </wp:positionH>
                <wp:positionV relativeFrom="paragraph">
                  <wp:posOffset>4343400</wp:posOffset>
                </wp:positionV>
                <wp:extent cx="1447800" cy="213360"/>
                <wp:wrapSquare wrapText="righ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447800" cy="213360"/>
                        </a:xfrm>
                        <a:prstGeom prst="rect">
                          <a:avLst/>
                        </a:prstGeom>
                        <a:noFill/>
                      </wps:spPr>
                      <wps:txbx>
                        <w:txbxContent>
                          <w:p>
                            <w:pPr>
                              <w:pStyle w:val="Bodytext3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6"/>
                                <w:szCs w:val="26"/>
                                <w:lang w:val="en-US" w:eastAsia="en-US" w:bidi="en-US"/>
                              </w:rPr>
                              <w:t xml:space="preserve">2014-08- 27 </w:t>
                            </w:r>
                            <w:r>
                              <w:rPr>
                                <w:rFonts w:ascii="SimSun" w:eastAsia="SimSun" w:hAnsi="SimSun" w:cs="SimSun"/>
                                <w:color w:val="000000"/>
                                <w:spacing w:val="0"/>
                                <w:w w:val="100"/>
                                <w:position w:val="0"/>
                                <w:sz w:val="26"/>
                                <w:szCs w:val="26"/>
                                <w:lang w:val="zh-TW" w:eastAsia="zh-TW" w:bidi="zh-TW"/>
                              </w:rPr>
                              <w:t>发布</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14pt;height:16.8pt;margin-top:342pt;margin-left:77.15pt;mso-position-horizontal-relative:page;mso-wrap-distance-bottom:0;mso-wrap-distance-left:9pt;mso-wrap-distance-right:9pt;mso-wrap-distance-top:0;mso-wrap-style:none;position:absolute;v-text-anchor:top;z-index:251658240" filled="f" fillcolor="this">
                <v:textbox inset="0,0,0,0">
                  <w:txbxContent>
                    <w:p>
                      <w:pPr>
                        <w:pStyle w:val="Bodytext3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6"/>
                          <w:szCs w:val="26"/>
                          <w:lang w:val="en-US" w:eastAsia="en-US" w:bidi="en-US"/>
                        </w:rPr>
                        <w:t xml:space="preserve">2014-08- 27 </w:t>
                      </w:r>
                      <w:r>
                        <w:rPr>
                          <w:rFonts w:ascii="SimSun" w:eastAsia="SimSun" w:hAnsi="SimSun" w:cs="SimSun"/>
                          <w:color w:val="000000"/>
                          <w:spacing w:val="0"/>
                          <w:w w:val="100"/>
                          <w:position w:val="0"/>
                          <w:sz w:val="26"/>
                          <w:szCs w:val="26"/>
                          <w:lang w:val="zh-TW" w:eastAsia="zh-TW" w:bidi="zh-TW"/>
                        </w:rPr>
                        <w:t>发布</w:t>
                      </w:r>
                    </w:p>
                  </w:txbxContent>
                </v:textbox>
                <w10:wrap type="square" side="right"/>
              </v:shape>
            </w:pict>
          </mc:Fallback>
        </mc:AlternateContent>
      </w:r>
      <w:r>
        <w:rPr>
          <w:rFonts w:ascii="Times New Roman" w:eastAsia="Times New Roman" w:hAnsi="Times New Roman" w:cs="Times New Roman"/>
          <w:color w:val="000000"/>
          <w:spacing w:val="0"/>
          <w:w w:val="100"/>
          <w:position w:val="0"/>
          <w:lang w:val="en-US" w:eastAsia="en-US" w:bidi="en-US"/>
        </w:rPr>
        <w:t>Technical specifications of pollution control projects for synthetic leather and</w:t>
        <w:br/>
        <w:t>artificial leather industry</w:t>
      </w:r>
    </w:p>
    <w:p>
      <w:pPr>
        <w:pStyle w:val="Bodytext30"/>
        <w:keepNext w:val="0"/>
        <w:keepLines w:val="0"/>
        <w:widowControl w:val="0"/>
        <w:shd w:val="clear" w:color="auto" w:fill="auto"/>
        <w:bidi w:val="0"/>
        <w:spacing w:before="0" w:after="480" w:line="240" w:lineRule="auto"/>
        <w:ind w:left="0" w:right="0" w:firstLine="0"/>
        <w:jc w:val="right"/>
        <w:rPr>
          <w:sz w:val="26"/>
          <w:szCs w:val="26"/>
        </w:rPr>
      </w:pPr>
      <w:r>
        <w:rPr>
          <w:rFonts w:ascii="Times New Roman" w:eastAsia="Times New Roman" w:hAnsi="Times New Roman" w:cs="Times New Roman"/>
          <w:color w:val="000000"/>
          <w:spacing w:val="0"/>
          <w:w w:val="100"/>
          <w:position w:val="0"/>
          <w:sz w:val="26"/>
          <w:szCs w:val="26"/>
          <w:lang w:val="en-US" w:eastAsia="en-US" w:bidi="en-US"/>
        </w:rPr>
        <w:t xml:space="preserve">2014-12-01 </w:t>
      </w:r>
      <w:r>
        <w:rPr>
          <w:rFonts w:ascii="SimSun" w:eastAsia="SimSun" w:hAnsi="SimSun" w:cs="SimSun"/>
          <w:color w:val="000000"/>
          <w:spacing w:val="0"/>
          <w:w w:val="100"/>
          <w:position w:val="0"/>
          <w:sz w:val="26"/>
          <w:szCs w:val="26"/>
          <w:lang w:val="zh-TW" w:eastAsia="zh-TW" w:bidi="zh-TW"/>
        </w:rPr>
        <w:t>实施</w:t>
      </w:r>
    </w:p>
    <w:p>
      <w:pPr>
        <w:pStyle w:val="Bodytext40"/>
        <w:keepNext w:val="0"/>
        <w:keepLines w:val="0"/>
        <w:widowControl w:val="0"/>
        <w:shd w:val="clear" w:color="auto" w:fill="auto"/>
        <w:bidi w:val="0"/>
        <w:spacing w:before="0" w:after="0" w:line="240" w:lineRule="auto"/>
        <w:ind w:left="0" w:right="0" w:firstLine="0"/>
        <w:jc w:val="center"/>
      </w:pPr>
      <w:r>
        <w:rPr>
          <w:color w:val="000000"/>
          <w:spacing w:val="0"/>
          <w:w w:val="100"/>
          <w:position w:val="0"/>
        </w:rPr>
        <w:t>福建省环境保护庁</w:t>
      </w:r>
    </w:p>
    <w:p>
      <w:pPr>
        <w:pStyle w:val="Bodytext40"/>
        <w:keepNext w:val="0"/>
        <w:keepLines w:val="0"/>
        <w:widowControl w:val="0"/>
        <w:shd w:val="clear" w:color="auto" w:fill="auto"/>
        <w:bidi w:val="0"/>
        <w:spacing w:before="0" w:after="660" w:line="240" w:lineRule="auto"/>
        <w:ind w:left="0" w:right="0" w:firstLine="0"/>
        <w:jc w:val="center"/>
        <w:sectPr>
          <w:pgSz w:w="11900" w:h="16840"/>
          <w:pgMar w:top="582" w:right="909" w:bottom="582" w:left="1149" w:header="154" w:footer="154" w:gutter="0"/>
          <w:pgNumType w:start="1"/>
          <w:cols w:space="720"/>
          <w:noEndnote/>
          <w:rtlGutter w:val="0"/>
          <w:docGrid w:linePitch="360"/>
        </w:sectPr>
      </w:pPr>
      <w:r>
        <w:rPr>
          <w:color w:val="000000"/>
          <w:spacing w:val="0"/>
          <w:w w:val="100"/>
          <w:position w:val="0"/>
        </w:rPr>
        <w:t>福建省质量技术监督局友布</w:t>
      </w:r>
    </w:p>
    <w:p>
      <w:pPr>
        <w:pStyle w:val="Bodytext40"/>
        <w:keepNext w:val="0"/>
        <w:keepLines w:val="0"/>
        <w:widowControl w:val="0"/>
        <w:shd w:val="clear" w:color="auto" w:fill="auto"/>
        <w:bidi w:val="0"/>
        <w:spacing w:before="0" w:line="240" w:lineRule="auto"/>
        <w:ind w:left="0" w:right="0" w:firstLine="0"/>
        <w:jc w:val="center"/>
      </w:pPr>
      <w:r>
        <w:rPr>
          <w:color w:val="000000"/>
          <w:spacing w:val="0"/>
          <w:w w:val="100"/>
          <w:position w:val="0"/>
        </w:rPr>
        <w:t>目 次</w:t>
      </w:r>
    </w:p>
    <w:p>
      <w:pPr>
        <w:pStyle w:val="Tableofcontents10"/>
        <w:keepNext w:val="0"/>
        <w:keepLines w:val="0"/>
        <w:widowControl w:val="0"/>
        <w:shd w:val="clear" w:color="auto" w:fill="auto"/>
        <w:tabs>
          <w:tab w:val="right" w:leader="dot" w:pos="9216"/>
        </w:tabs>
        <w:bidi w:val="0"/>
        <w:spacing w:before="0" w:line="240" w:lineRule="auto"/>
        <w:ind w:left="0" w:right="0" w:firstLine="0"/>
        <w:jc w:val="left"/>
      </w:pPr>
      <w:r>
        <w:fldChar w:fldCharType="begin"/>
      </w:r>
      <w:r>
        <w:instrText xml:space="preserve"> TOC \o "1-5" \h \z </w:instrText>
      </w:r>
      <w:r>
        <w:fldChar w:fldCharType="separate"/>
      </w:r>
      <w:r>
        <w:rPr>
          <w:color w:val="000000"/>
          <w:spacing w:val="0"/>
          <w:w w:val="100"/>
          <w:position w:val="0"/>
        </w:rPr>
        <w:t>前言</w:t>
      </w:r>
      <w:r>
        <w:rPr>
          <w:color w:val="000000"/>
          <w:spacing w:val="0"/>
          <w:w w:val="100"/>
          <w:position w:val="0"/>
          <w:lang w:val="en-US" w:eastAsia="en-US" w:bidi="en-US"/>
        </w:rPr>
        <w:tab/>
      </w:r>
      <w:r>
        <w:rPr>
          <w:color w:val="000000"/>
          <w:spacing w:val="0"/>
          <w:w w:val="100"/>
          <w:position w:val="0"/>
        </w:rPr>
        <w:t>II</w:t>
      </w:r>
    </w:p>
    <w:p>
      <w:pPr>
        <w:pStyle w:val="Tableofcontents10"/>
        <w:keepNext w:val="0"/>
        <w:keepLines w:val="0"/>
        <w:widowControl w:val="0"/>
        <w:numPr>
          <w:ilvl w:val="0"/>
          <w:numId w:val="1"/>
        </w:numPr>
        <w:shd w:val="clear" w:color="auto" w:fill="auto"/>
        <w:tabs>
          <w:tab w:val="left" w:pos="332"/>
          <w:tab w:val="right" w:leader="dot" w:pos="9216"/>
        </w:tabs>
        <w:bidi w:val="0"/>
        <w:spacing w:before="0" w:line="240" w:lineRule="auto"/>
        <w:ind w:left="0" w:right="0" w:firstLine="0"/>
        <w:jc w:val="left"/>
      </w:pPr>
      <w:bookmarkStart w:id="9" w:name="bookmark9"/>
      <w:bookmarkEnd w:id="9"/>
      <w:r>
        <w:rPr>
          <w:color w:val="000000"/>
          <w:spacing w:val="0"/>
          <w:w w:val="100"/>
          <w:position w:val="0"/>
        </w:rPr>
        <w:t>适用范围</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216"/>
        </w:tabs>
        <w:bidi w:val="0"/>
        <w:spacing w:before="0" w:line="240" w:lineRule="auto"/>
        <w:ind w:left="0" w:right="0" w:firstLine="0"/>
        <w:jc w:val="left"/>
      </w:pPr>
      <w:bookmarkStart w:id="10" w:name="bookmark10"/>
      <w:r>
        <w:rPr>
          <w:color w:val="000000"/>
          <w:spacing w:val="0"/>
          <w:w w:val="100"/>
          <w:position w:val="0"/>
        </w:rPr>
        <w:t>2</w:t>
      </w:r>
      <w:bookmarkEnd w:id="10"/>
      <w:r>
        <w:rPr>
          <w:color w:val="000000"/>
          <w:spacing w:val="0"/>
          <w:w w:val="100"/>
          <w:position w:val="0"/>
        </w:rPr>
        <w:t>规范性引用文件</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numPr>
          <w:ilvl w:val="0"/>
          <w:numId w:val="2"/>
        </w:numPr>
        <w:shd w:val="clear" w:color="auto" w:fill="auto"/>
        <w:tabs>
          <w:tab w:val="left" w:pos="332"/>
          <w:tab w:val="right" w:leader="dot" w:pos="9216"/>
        </w:tabs>
        <w:bidi w:val="0"/>
        <w:spacing w:before="0" w:line="240" w:lineRule="auto"/>
        <w:ind w:left="0" w:right="0" w:firstLine="0"/>
        <w:jc w:val="left"/>
      </w:pPr>
      <w:bookmarkStart w:id="11" w:name="bookmark11"/>
      <w:bookmarkEnd w:id="11"/>
      <w:r>
        <w:rPr>
          <w:color w:val="000000"/>
          <w:spacing w:val="0"/>
          <w:w w:val="100"/>
          <w:position w:val="0"/>
        </w:rPr>
        <w:t>术语和定义</w:t>
      </w:r>
      <w:r>
        <w:rPr>
          <w:color w:val="000000"/>
          <w:spacing w:val="0"/>
          <w:w w:val="100"/>
          <w:position w:val="0"/>
          <w:lang w:val="en-US" w:eastAsia="en-US" w:bidi="en-US"/>
        </w:rPr>
        <w:tab/>
      </w:r>
      <w:r>
        <w:rPr>
          <w:color w:val="000000"/>
          <w:spacing w:val="0"/>
          <w:w w:val="100"/>
          <w:position w:val="0"/>
        </w:rPr>
        <w:t>3</w:t>
      </w:r>
    </w:p>
    <w:p>
      <w:pPr>
        <w:pStyle w:val="Tableofcontents10"/>
        <w:keepNext w:val="0"/>
        <w:keepLines w:val="0"/>
        <w:widowControl w:val="0"/>
        <w:numPr>
          <w:ilvl w:val="0"/>
          <w:numId w:val="2"/>
        </w:numPr>
        <w:shd w:val="clear" w:color="auto" w:fill="auto"/>
        <w:tabs>
          <w:tab w:val="left" w:pos="332"/>
          <w:tab w:val="right" w:leader="dot" w:pos="9216"/>
        </w:tabs>
        <w:bidi w:val="0"/>
        <w:spacing w:before="0" w:line="240" w:lineRule="auto"/>
        <w:ind w:left="0" w:right="0" w:firstLine="0"/>
        <w:jc w:val="left"/>
      </w:pPr>
      <w:bookmarkStart w:id="12" w:name="bookmark12"/>
      <w:bookmarkEnd w:id="12"/>
      <w:r>
        <w:rPr>
          <w:color w:val="000000"/>
          <w:spacing w:val="0"/>
          <w:w w:val="100"/>
          <w:position w:val="0"/>
        </w:rPr>
        <w:t>污染物与污染负荷</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numPr>
          <w:ilvl w:val="0"/>
          <w:numId w:val="2"/>
        </w:numPr>
        <w:shd w:val="clear" w:color="auto" w:fill="auto"/>
        <w:tabs>
          <w:tab w:val="left" w:pos="332"/>
          <w:tab w:val="right" w:leader="dot" w:pos="9216"/>
        </w:tabs>
        <w:bidi w:val="0"/>
        <w:spacing w:before="0" w:line="240" w:lineRule="auto"/>
        <w:ind w:left="0" w:right="0" w:firstLine="0"/>
        <w:jc w:val="left"/>
      </w:pPr>
      <w:bookmarkStart w:id="13" w:name="bookmark13"/>
      <w:bookmarkEnd w:id="13"/>
      <w:r>
        <w:rPr>
          <w:color w:val="000000"/>
          <w:spacing w:val="0"/>
          <w:w w:val="100"/>
          <w:position w:val="0"/>
        </w:rPr>
        <w:t>总体要求</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shd w:val="clear" w:color="auto" w:fill="auto"/>
        <w:tabs>
          <w:tab w:val="right" w:leader="dot" w:pos="9216"/>
        </w:tabs>
        <w:bidi w:val="0"/>
        <w:spacing w:before="0" w:line="240" w:lineRule="auto"/>
        <w:ind w:left="0" w:right="0" w:firstLine="0"/>
        <w:jc w:val="left"/>
      </w:pPr>
      <w:r>
        <w:rPr>
          <w:color w:val="000000"/>
          <w:spacing w:val="0"/>
          <w:w w:val="100"/>
          <w:position w:val="0"/>
        </w:rPr>
        <w:t>6工艺设计</w:t>
      </w:r>
      <w:r>
        <w:rPr>
          <w:color w:val="000000"/>
          <w:spacing w:val="0"/>
          <w:w w:val="100"/>
          <w:position w:val="0"/>
          <w:lang w:val="en-US" w:eastAsia="en-US" w:bidi="en-US"/>
        </w:rPr>
        <w:tab/>
      </w:r>
      <w:r>
        <w:rPr>
          <w:color w:val="000000"/>
          <w:spacing w:val="0"/>
          <w:w w:val="100"/>
          <w:position w:val="0"/>
        </w:rPr>
        <w:t>8</w:t>
      </w:r>
    </w:p>
    <w:p>
      <w:pPr>
        <w:pStyle w:val="Tableofcontents10"/>
        <w:keepNext w:val="0"/>
        <w:keepLines w:val="0"/>
        <w:widowControl w:val="0"/>
        <w:shd w:val="clear" w:color="auto" w:fill="auto"/>
        <w:tabs>
          <w:tab w:val="right" w:leader="dot" w:pos="9216"/>
        </w:tabs>
        <w:bidi w:val="0"/>
        <w:spacing w:before="0" w:line="240" w:lineRule="auto"/>
        <w:ind w:left="0" w:right="0" w:firstLine="0"/>
        <w:jc w:val="left"/>
      </w:pPr>
      <w:r>
        <w:rPr>
          <w:color w:val="000000"/>
          <w:spacing w:val="0"/>
          <w:w w:val="100"/>
          <w:position w:val="0"/>
        </w:rPr>
        <w:t>7主要工艺设备和材料</w:t>
      </w:r>
      <w:r>
        <w:rPr>
          <w:color w:val="000000"/>
          <w:spacing w:val="0"/>
          <w:w w:val="100"/>
          <w:position w:val="0"/>
          <w:lang w:val="en-US" w:eastAsia="en-US" w:bidi="en-US"/>
        </w:rPr>
        <w:tab/>
      </w:r>
      <w:r>
        <w:rPr>
          <w:color w:val="000000"/>
          <w:spacing w:val="0"/>
          <w:w w:val="100"/>
          <w:position w:val="0"/>
        </w:rPr>
        <w:t>18</w:t>
      </w:r>
    </w:p>
    <w:p>
      <w:pPr>
        <w:pStyle w:val="Tableofcontents10"/>
        <w:keepNext w:val="0"/>
        <w:keepLines w:val="0"/>
        <w:widowControl w:val="0"/>
        <w:shd w:val="clear" w:color="auto" w:fill="auto"/>
        <w:tabs>
          <w:tab w:val="right" w:leader="dot" w:pos="9216"/>
        </w:tabs>
        <w:bidi w:val="0"/>
        <w:spacing w:before="0" w:line="240" w:lineRule="auto"/>
        <w:ind w:left="0" w:right="0" w:firstLine="0"/>
        <w:jc w:val="left"/>
      </w:pPr>
      <w:r>
        <w:rPr>
          <w:color w:val="000000"/>
          <w:spacing w:val="0"/>
          <w:w w:val="100"/>
          <w:position w:val="0"/>
        </w:rPr>
        <w:t>8 检测与过程控制</w:t>
      </w:r>
      <w:r>
        <w:rPr>
          <w:color w:val="000000"/>
          <w:spacing w:val="0"/>
          <w:w w:val="100"/>
          <w:position w:val="0"/>
          <w:lang w:val="en-US" w:eastAsia="en-US" w:bidi="en-US"/>
        </w:rPr>
        <w:tab/>
      </w:r>
      <w:r>
        <w:rPr>
          <w:color w:val="000000"/>
          <w:spacing w:val="0"/>
          <w:w w:val="100"/>
          <w:position w:val="0"/>
        </w:rPr>
        <w:t>19</w:t>
      </w:r>
    </w:p>
    <w:p>
      <w:pPr>
        <w:pStyle w:val="Tableofcontents10"/>
        <w:keepNext w:val="0"/>
        <w:keepLines w:val="0"/>
        <w:widowControl w:val="0"/>
        <w:shd w:val="clear" w:color="auto" w:fill="auto"/>
        <w:tabs>
          <w:tab w:val="right" w:leader="dot" w:pos="9216"/>
        </w:tabs>
        <w:bidi w:val="0"/>
        <w:spacing w:before="0" w:line="240" w:lineRule="auto"/>
        <w:ind w:left="0" w:right="0" w:firstLine="0"/>
        <w:jc w:val="left"/>
      </w:pPr>
      <w:r>
        <w:rPr>
          <w:color w:val="000000"/>
          <w:spacing w:val="0"/>
          <w:w w:val="100"/>
          <w:position w:val="0"/>
        </w:rPr>
        <w:t>9主要辅助工程</w:t>
      </w:r>
      <w:r>
        <w:rPr>
          <w:color w:val="000000"/>
          <w:spacing w:val="0"/>
          <w:w w:val="100"/>
          <w:position w:val="0"/>
          <w:lang w:val="en-US" w:eastAsia="en-US" w:bidi="en-US"/>
        </w:rPr>
        <w:tab/>
      </w:r>
      <w:r>
        <w:rPr>
          <w:color w:val="000000"/>
          <w:spacing w:val="0"/>
          <w:w w:val="100"/>
          <w:position w:val="0"/>
        </w:rPr>
        <w:t>20</w:t>
      </w:r>
    </w:p>
    <w:p>
      <w:pPr>
        <w:pStyle w:val="Tableofcontents10"/>
        <w:keepNext w:val="0"/>
        <w:keepLines w:val="0"/>
        <w:widowControl w:val="0"/>
        <w:shd w:val="clear" w:color="auto" w:fill="auto"/>
        <w:tabs>
          <w:tab w:val="right" w:leader="dot" w:pos="9216"/>
        </w:tabs>
        <w:bidi w:val="0"/>
        <w:spacing w:before="0" w:line="240" w:lineRule="auto"/>
        <w:ind w:left="0" w:right="0" w:firstLine="0"/>
        <w:jc w:val="left"/>
      </w:pPr>
      <w:r>
        <w:rPr>
          <w:color w:val="000000"/>
          <w:spacing w:val="0"/>
          <w:w w:val="100"/>
          <w:position w:val="0"/>
        </w:rPr>
        <w:t>10劳动安全与职业卫生</w:t>
      </w:r>
      <w:r>
        <w:rPr>
          <w:color w:val="000000"/>
          <w:spacing w:val="0"/>
          <w:w w:val="100"/>
          <w:position w:val="0"/>
          <w:lang w:val="en-US" w:eastAsia="en-US" w:bidi="en-US"/>
        </w:rPr>
        <w:tab/>
      </w:r>
      <w:r>
        <w:rPr>
          <w:color w:val="000000"/>
          <w:spacing w:val="0"/>
          <w:w w:val="100"/>
          <w:position w:val="0"/>
        </w:rPr>
        <w:t>20</w:t>
      </w:r>
    </w:p>
    <w:p>
      <w:pPr>
        <w:pStyle w:val="Tableofcontents10"/>
        <w:keepNext w:val="0"/>
        <w:keepLines w:val="0"/>
        <w:widowControl w:val="0"/>
        <w:numPr>
          <w:ilvl w:val="0"/>
          <w:numId w:val="1"/>
        </w:numPr>
        <w:shd w:val="clear" w:color="auto" w:fill="auto"/>
        <w:tabs>
          <w:tab w:val="left" w:pos="368"/>
          <w:tab w:val="right" w:leader="dot" w:pos="9216"/>
        </w:tabs>
        <w:bidi w:val="0"/>
        <w:spacing w:before="0" w:line="240" w:lineRule="auto"/>
        <w:ind w:left="0" w:right="0" w:firstLine="0"/>
        <w:jc w:val="left"/>
      </w:pPr>
      <w:bookmarkStart w:id="14" w:name="bookmark14"/>
      <w:bookmarkEnd w:id="14"/>
      <w:r>
        <w:rPr>
          <w:color w:val="000000"/>
          <w:spacing w:val="0"/>
          <w:w w:val="100"/>
          <w:position w:val="0"/>
        </w:rPr>
        <w:t>施工与验收</w:t>
      </w:r>
      <w:r>
        <w:rPr>
          <w:color w:val="000000"/>
          <w:spacing w:val="0"/>
          <w:w w:val="100"/>
          <w:position w:val="0"/>
          <w:lang w:val="en-US" w:eastAsia="en-US" w:bidi="en-US"/>
        </w:rPr>
        <w:tab/>
      </w:r>
      <w:r>
        <w:rPr>
          <w:color w:val="000000"/>
          <w:spacing w:val="0"/>
          <w:w w:val="100"/>
          <w:position w:val="0"/>
        </w:rPr>
        <w:t>21</w:t>
      </w:r>
    </w:p>
    <w:p>
      <w:pPr>
        <w:pStyle w:val="Tableofcontents10"/>
        <w:keepNext w:val="0"/>
        <w:keepLines w:val="0"/>
        <w:widowControl w:val="0"/>
        <w:shd w:val="clear" w:color="auto" w:fill="auto"/>
        <w:tabs>
          <w:tab w:val="right" w:leader="dot" w:pos="9216"/>
        </w:tabs>
        <w:bidi w:val="0"/>
        <w:spacing w:before="0" w:line="240" w:lineRule="auto"/>
        <w:ind w:left="0" w:right="0" w:firstLine="0"/>
        <w:jc w:val="left"/>
        <w:sectPr>
          <w:headerReference w:type="even" r:id="rId4"/>
          <w:headerReference w:type="default" r:id="rId5"/>
          <w:footerReference w:type="even" r:id="rId6"/>
          <w:footerReference w:type="default" r:id="rId7"/>
          <w:pgSz w:w="11900" w:h="16840"/>
          <w:pgMar w:top="2636" w:right="1218" w:bottom="2636" w:left="1395" w:header="0" w:footer="3" w:gutter="0"/>
          <w:pgNumType w:start="3"/>
          <w:cols w:space="720"/>
          <w:noEndnote/>
          <w:rtlGutter w:val="0"/>
          <w:docGrid w:linePitch="360"/>
        </w:sectPr>
      </w:pPr>
      <w:r>
        <w:rPr>
          <w:color w:val="000000"/>
          <w:spacing w:val="0"/>
          <w:w w:val="100"/>
          <w:position w:val="0"/>
        </w:rPr>
        <w:t>12 运行与维护</w:t>
      </w:r>
      <w:r>
        <w:rPr>
          <w:color w:val="000000"/>
          <w:spacing w:val="0"/>
          <w:w w:val="100"/>
          <w:position w:val="0"/>
          <w:lang w:val="en-US" w:eastAsia="en-US" w:bidi="en-US"/>
        </w:rPr>
        <w:tab/>
      </w:r>
      <w:r>
        <w:rPr>
          <w:color w:val="000000"/>
          <w:spacing w:val="0"/>
          <w:w w:val="100"/>
          <w:position w:val="0"/>
        </w:rPr>
        <w:t>22</w:t>
      </w:r>
      <w:r>
        <w:fldChar w:fldCharType="end"/>
      </w:r>
    </w:p>
    <w:p>
      <w:pPr>
        <w:pStyle w:val="Bodytext10"/>
        <w:keepNext w:val="0"/>
        <w:keepLines w:val="0"/>
        <w:widowControl w:val="0"/>
        <w:shd w:val="clear" w:color="auto" w:fill="auto"/>
        <w:bidi w:val="0"/>
        <w:spacing w:before="0" w:after="0" w:line="318" w:lineRule="exact"/>
        <w:ind w:left="0" w:right="0" w:firstLine="440"/>
        <w:jc w:val="both"/>
      </w:pPr>
      <w:r>
        <w:rPr>
          <w:color w:val="000000"/>
          <w:spacing w:val="0"/>
          <w:w w:val="100"/>
          <w:position w:val="0"/>
        </w:rPr>
        <w:t>为贯彻执行《中华人民共和国大气污染防治法》、《中华人民共和国水污染防治法》《合成革与人 造革工业污染物排放标准》和《福建省合成革与人造革行业环境准入条件》，规范合成革与人造革工业 污染治理工程的建设与运行管理，防治环境污染，保护环境和人体健康，制定本标准。</w:t>
      </w:r>
    </w:p>
    <w:p>
      <w:pPr>
        <w:pStyle w:val="Bodytext10"/>
        <w:keepNext w:val="0"/>
        <w:keepLines w:val="0"/>
        <w:widowControl w:val="0"/>
        <w:shd w:val="clear" w:color="auto" w:fill="auto"/>
        <w:bidi w:val="0"/>
        <w:spacing w:before="0" w:after="0" w:line="318" w:lineRule="exact"/>
        <w:ind w:left="440" w:right="0" w:firstLine="0"/>
        <w:jc w:val="both"/>
      </w:pPr>
      <w:r>
        <w:rPr>
          <w:color w:val="000000"/>
          <w:spacing w:val="0"/>
          <w:w w:val="100"/>
          <w:position w:val="0"/>
        </w:rPr>
        <w:t>本标准按照</w:t>
      </w:r>
      <w:r>
        <w:rPr>
          <w:color w:val="000000"/>
          <w:spacing w:val="0"/>
          <w:w w:val="100"/>
          <w:position w:val="0"/>
          <w:lang w:val="en-US" w:eastAsia="en-US" w:bidi="en-US"/>
        </w:rPr>
        <w:t>GB/T 1.1-2009 ^</w:t>
      </w:r>
      <w:r>
        <w:rPr>
          <w:color w:val="000000"/>
          <w:spacing w:val="0"/>
          <w:w w:val="100"/>
          <w:position w:val="0"/>
        </w:rPr>
        <w:t>标准化工作导则 第一部分：标准的结构和编写》给出的规则起草。 本标准由福建省环境保护厅提出并归口。</w:t>
      </w:r>
    </w:p>
    <w:p>
      <w:pPr>
        <w:pStyle w:val="Bodytext10"/>
        <w:keepNext w:val="0"/>
        <w:keepLines w:val="0"/>
        <w:widowControl w:val="0"/>
        <w:shd w:val="clear" w:color="auto" w:fill="auto"/>
        <w:bidi w:val="0"/>
        <w:spacing w:before="0" w:after="0" w:line="318" w:lineRule="exact"/>
        <w:ind w:left="440" w:right="0" w:firstLine="0"/>
        <w:jc w:val="both"/>
      </w:pPr>
      <w:r>
        <w:rPr>
          <w:color w:val="000000"/>
          <w:spacing w:val="0"/>
          <w:w w:val="100"/>
          <w:position w:val="0"/>
        </w:rPr>
        <w:t>本标准主要起草单位：福建省环境科学研究院、福州大学。</w:t>
      </w:r>
    </w:p>
    <w:p>
      <w:pPr>
        <w:pStyle w:val="Bodytext10"/>
        <w:keepNext w:val="0"/>
        <w:keepLines w:val="0"/>
        <w:widowControl w:val="0"/>
        <w:shd w:val="clear" w:color="auto" w:fill="auto"/>
        <w:bidi w:val="0"/>
        <w:spacing w:before="0" w:after="0" w:line="318" w:lineRule="exact"/>
        <w:ind w:left="0" w:right="0" w:firstLine="440"/>
        <w:jc w:val="both"/>
      </w:pPr>
      <w:r>
        <w:rPr>
          <w:color w:val="000000"/>
          <w:spacing w:val="0"/>
          <w:w w:val="100"/>
          <w:position w:val="0"/>
        </w:rPr>
        <w:t>本标准主要起草人：林奇、陈伟立、刘建、冯义彪、邱凌峰、何玉燕、蔡如钰、陈良圣、郑炜、 黄镜钊。</w:t>
      </w:r>
    </w:p>
    <w:p>
      <w:pPr>
        <w:pStyle w:val="Bodytext10"/>
        <w:keepNext w:val="0"/>
        <w:keepLines w:val="0"/>
        <w:widowControl w:val="0"/>
        <w:shd w:val="clear" w:color="auto" w:fill="auto"/>
        <w:bidi w:val="0"/>
        <w:spacing w:before="0" w:after="1980" w:line="318" w:lineRule="exact"/>
        <w:ind w:left="0" w:right="0" w:firstLine="440"/>
        <w:jc w:val="both"/>
      </w:pPr>
      <w:r>
        <w:rPr>
          <w:color w:val="000000"/>
          <w:spacing w:val="0"/>
          <w:w w:val="100"/>
          <w:position w:val="0"/>
        </w:rPr>
        <w:t>本标准由福建省环境保护厅负责解释。</w:t>
      </w:r>
    </w:p>
    <w:p>
      <w:pPr>
        <w:widowControl w:val="0"/>
        <w:jc w:val="center"/>
        <w:rPr>
          <w:sz w:val="2"/>
          <w:szCs w:val="2"/>
        </w:rPr>
        <w:sectPr>
          <w:headerReference w:type="even" r:id="rId8"/>
          <w:headerReference w:type="default" r:id="rId9"/>
          <w:footerReference w:type="even" r:id="rId10"/>
          <w:footerReference w:type="default" r:id="rId11"/>
          <w:pgSz w:w="11900" w:h="16840"/>
          <w:pgMar w:top="1581" w:right="1164" w:bottom="1191" w:left="1228" w:header="0" w:footer="763" w:gutter="0"/>
          <w:pgNumType w:start="4"/>
          <w:cols w:space="720"/>
          <w:noEndnote/>
          <w:rtlGutter w:val="0"/>
          <w:docGrid w:linePitch="360"/>
        </w:sectPr>
      </w:pPr>
      <w:r>
        <w:drawing>
          <wp:inline>
            <wp:extent cx="7120255" cy="4883150"/>
            <wp:docPr id="15" name="Picut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xmlns:r="http://schemas.openxmlformats.org/officeDocument/2006/relationships" r:embed="rId12"/>
                    <a:stretch>
                      <a:fillRect/>
                    </a:stretch>
                  </pic:blipFill>
                  <pic:spPr>
                    <a:xfrm>
                      <a:off x="0" y="0"/>
                      <a:ext cx="7120255" cy="4883150"/>
                    </a:xfrm>
                    <a:prstGeom prst="rect">
                      <a:avLst/>
                    </a:prstGeom>
                  </pic:spPr>
                </pic:pic>
              </a:graphicData>
            </a:graphic>
          </wp:inline>
        </w:drawing>
      </w:r>
    </w:p>
    <w:p>
      <w:pPr>
        <w:pStyle w:val="Heading410"/>
        <w:keepNext/>
        <w:keepLines/>
        <w:widowControl w:val="0"/>
        <w:shd w:val="clear" w:color="auto" w:fill="auto"/>
        <w:bidi w:val="0"/>
        <w:spacing w:before="0" w:line="240" w:lineRule="auto"/>
        <w:ind w:left="0" w:right="0" w:firstLine="0"/>
        <w:jc w:val="center"/>
      </w:pPr>
      <w:bookmarkStart w:id="15" w:name="bookmark15"/>
      <w:bookmarkStart w:id="16" w:name="bookmark16"/>
      <w:bookmarkStart w:id="17" w:name="bookmark17"/>
      <w:r>
        <w:rPr>
          <w:color w:val="000000"/>
          <w:spacing w:val="0"/>
          <w:w w:val="100"/>
          <w:position w:val="0"/>
        </w:rPr>
        <w:t>合成革与人造革工业污染治理工程技术规范</w:t>
      </w:r>
      <w:bookmarkEnd w:id="15"/>
      <w:bookmarkEnd w:id="16"/>
      <w:bookmarkEnd w:id="17"/>
    </w:p>
    <w:p>
      <w:pPr>
        <w:pStyle w:val="Bodytext10"/>
        <w:keepNext w:val="0"/>
        <w:keepLines w:val="0"/>
        <w:widowControl w:val="0"/>
        <w:shd w:val="clear" w:color="auto" w:fill="auto"/>
        <w:bidi w:val="0"/>
        <w:spacing w:before="0" w:after="300" w:line="240" w:lineRule="auto"/>
        <w:ind w:left="0" w:right="0" w:firstLine="0"/>
        <w:jc w:val="left"/>
      </w:pPr>
      <w:r>
        <w:rPr>
          <w:rFonts w:ascii="Times New Roman" w:eastAsia="Times New Roman" w:hAnsi="Times New Roman" w:cs="Times New Roman"/>
          <w:color w:val="000000"/>
          <w:spacing w:val="0"/>
          <w:w w:val="100"/>
          <w:position w:val="0"/>
          <w:sz w:val="18"/>
          <w:szCs w:val="18"/>
        </w:rPr>
        <w:t>1</w:t>
      </w:r>
      <w:r>
        <w:rPr>
          <w:b/>
          <w:bCs/>
          <w:color w:val="000000"/>
          <w:spacing w:val="0"/>
          <w:w w:val="100"/>
          <w:position w:val="0"/>
        </w:rPr>
        <w:t>适用范围</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rPr>
        <w:t>本标准规定了合成革与人造革工业污染治理工程设计、施工、验收和运行的技术要求。</w:t>
      </w:r>
    </w:p>
    <w:p>
      <w:pPr>
        <w:pStyle w:val="Bodytext10"/>
        <w:keepNext w:val="0"/>
        <w:keepLines w:val="0"/>
        <w:widowControl w:val="0"/>
        <w:shd w:val="clear" w:color="auto" w:fill="auto"/>
        <w:bidi w:val="0"/>
        <w:spacing w:before="0" w:after="380" w:line="307" w:lineRule="exact"/>
        <w:ind w:left="0" w:right="0" w:firstLine="420"/>
        <w:jc w:val="left"/>
      </w:pPr>
      <w:r>
        <w:rPr>
          <w:color w:val="000000"/>
          <w:spacing w:val="0"/>
          <w:w w:val="100"/>
          <w:position w:val="0"/>
        </w:rPr>
        <w:t>本标准适用于合成革与人造革工业污染治理工程，包括合成革与人造革工业企业和该专业集控区集 中污染治理工程，可作为合成革与人造革工业建设项目环境影响评价、环境保护设施设计与施工、建设 项目竣工环境保护验收及建成后运行与管理的技术依据。</w:t>
      </w:r>
    </w:p>
    <w:p>
      <w:pPr>
        <w:pStyle w:val="Bodytext10"/>
        <w:keepNext w:val="0"/>
        <w:keepLines w:val="0"/>
        <w:widowControl w:val="0"/>
        <w:shd w:val="clear" w:color="auto" w:fill="auto"/>
        <w:bidi w:val="0"/>
        <w:spacing w:before="0" w:after="300" w:line="240" w:lineRule="auto"/>
        <w:ind w:left="0" w:right="0" w:firstLine="0"/>
        <w:jc w:val="left"/>
      </w:pPr>
      <w:r>
        <w:rPr>
          <w:rFonts w:ascii="Times New Roman" w:eastAsia="Times New Roman" w:hAnsi="Times New Roman" w:cs="Times New Roman"/>
          <w:color w:val="000000"/>
          <w:spacing w:val="0"/>
          <w:w w:val="100"/>
          <w:position w:val="0"/>
          <w:sz w:val="18"/>
          <w:szCs w:val="18"/>
        </w:rPr>
        <w:t>2</w:t>
      </w:r>
      <w:r>
        <w:rPr>
          <w:b/>
          <w:bCs/>
          <w:color w:val="000000"/>
          <w:spacing w:val="0"/>
          <w:w w:val="100"/>
          <w:position w:val="0"/>
        </w:rPr>
        <w:t>规范性引用文件</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rPr>
        <w:t>下列文件对于本文件的应用是必不可少的。凡是注日期的引用文件，仅注日期的版本适用于本文件。 凡是不注日期的引用文件，其最新版本（包括所有的修改单）适用于本文件。</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lang w:val="en-US" w:eastAsia="en-US" w:bidi="en-US"/>
        </w:rPr>
        <w:t>GB/T 3923.1-2013</w:t>
      </w:r>
      <w:r>
        <w:rPr>
          <w:color w:val="000000"/>
          <w:spacing w:val="0"/>
          <w:w w:val="100"/>
          <w:position w:val="0"/>
        </w:rPr>
        <w:t>纺织品织物拉伸性能第1部分:断裂强力和断裂伸长率的测定条样法</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lang w:val="en-US" w:eastAsia="en-US" w:bidi="en-US"/>
        </w:rPr>
        <w:t>GB 5085.1</w:t>
      </w:r>
      <w:r>
        <w:rPr>
          <w:color w:val="000000"/>
          <w:spacing w:val="0"/>
          <w:w w:val="100"/>
          <w:position w:val="0"/>
        </w:rPr>
        <w:t>危险废物鉴别标准腐蚀性鉴别</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lang w:val="en-US" w:eastAsia="en-US" w:bidi="en-US"/>
        </w:rPr>
        <w:t>GB 5085.2</w:t>
      </w:r>
      <w:r>
        <w:rPr>
          <w:color w:val="000000"/>
          <w:spacing w:val="0"/>
          <w:w w:val="100"/>
          <w:position w:val="0"/>
        </w:rPr>
        <w:t>危险废物鉴别标准急性毒性初筛</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lang w:val="en-US" w:eastAsia="en-US" w:bidi="en-US"/>
        </w:rPr>
        <w:t>GB 5085.3</w:t>
      </w:r>
      <w:r>
        <w:rPr>
          <w:color w:val="000000"/>
          <w:spacing w:val="0"/>
          <w:w w:val="100"/>
          <w:position w:val="0"/>
        </w:rPr>
        <w:t>危险废物鉴别标准浸出毒性鉴别</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lang w:val="en-US" w:eastAsia="en-US" w:bidi="en-US"/>
        </w:rPr>
        <w:t xml:space="preserve">GB 5085. </w:t>
      </w:r>
      <w:r>
        <w:rPr>
          <w:color w:val="000000"/>
          <w:spacing w:val="0"/>
          <w:w w:val="100"/>
          <w:position w:val="0"/>
        </w:rPr>
        <w:t>4危险废物鉴别标准易燃性鉴别</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lang w:val="en-US" w:eastAsia="en-US" w:bidi="en-US"/>
        </w:rPr>
        <w:t xml:space="preserve">GB 5085. </w:t>
      </w:r>
      <w:r>
        <w:rPr>
          <w:color w:val="000000"/>
          <w:spacing w:val="0"/>
          <w:w w:val="100"/>
          <w:position w:val="0"/>
        </w:rPr>
        <w:t>5危险废物鉴别标准反应性鉴别</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lang w:val="en-US" w:eastAsia="en-US" w:bidi="en-US"/>
        </w:rPr>
        <w:t xml:space="preserve">GB 5085. </w:t>
      </w:r>
      <w:r>
        <w:rPr>
          <w:color w:val="000000"/>
          <w:spacing w:val="0"/>
          <w:w w:val="100"/>
          <w:position w:val="0"/>
        </w:rPr>
        <w:t>6危险废物鉴别标准毒性物质含量鉴别</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lang w:val="en-US" w:eastAsia="en-US" w:bidi="en-US"/>
        </w:rPr>
        <w:t xml:space="preserve">GB 5085. </w:t>
      </w:r>
      <w:r>
        <w:rPr>
          <w:color w:val="000000"/>
          <w:spacing w:val="0"/>
          <w:w w:val="100"/>
          <w:position w:val="0"/>
        </w:rPr>
        <w:t>7危险废物鉴别标准通则</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lang w:val="en-US" w:eastAsia="en-US" w:bidi="en-US"/>
        </w:rPr>
        <w:t xml:space="preserve">GB </w:t>
      </w:r>
      <w:r>
        <w:rPr>
          <w:color w:val="000000"/>
          <w:spacing w:val="0"/>
          <w:w w:val="100"/>
          <w:position w:val="0"/>
        </w:rPr>
        <w:t>12348工业企业厂界环境噪声排放标准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12801生产过程安全卫生要求总则</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13271锅炉</w:t>
      </w:r>
      <w:r>
        <w:rPr>
          <w:color w:val="353A40"/>
          <w:spacing w:val="0"/>
          <w:w w:val="100"/>
          <w:position w:val="0"/>
        </w:rPr>
        <w:t>大气污</w:t>
      </w:r>
      <w:r>
        <w:rPr>
          <w:color w:val="000000"/>
          <w:spacing w:val="0"/>
          <w:w w:val="100"/>
          <w:position w:val="0"/>
        </w:rPr>
        <w:t>參物排放标准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14554</w:t>
      </w:r>
      <w:r>
        <w:rPr>
          <w:color w:val="000000"/>
          <w:spacing w:val="0"/>
          <w:w w:val="100"/>
          <w:position w:val="0"/>
          <w:lang w:val="zh-CN" w:eastAsia="zh-CN" w:bidi="zh-CN"/>
        </w:rPr>
        <w:t>恶臭*</w:t>
      </w:r>
      <w:r>
        <w:rPr>
          <w:color w:val="000000"/>
          <w:spacing w:val="0"/>
          <w:w w:val="100"/>
          <w:position w:val="0"/>
        </w:rPr>
        <w:t>轟物</w:t>
      </w:r>
      <w:r>
        <w:rPr>
          <w:color w:val="353A40"/>
          <w:spacing w:val="0"/>
          <w:w w:val="100"/>
          <w:position w:val="0"/>
        </w:rPr>
        <w:t>伊放</w:t>
      </w:r>
      <w:r>
        <w:rPr>
          <w:color w:val="000000"/>
          <w:spacing w:val="0"/>
          <w:w w:val="100"/>
          <w:position w:val="0"/>
        </w:rPr>
        <w:t>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15562. </w:t>
      </w:r>
      <w:r>
        <w:rPr>
          <w:color w:val="000000"/>
          <w:spacing w:val="0"/>
          <w:w w:val="100"/>
          <w:position w:val="0"/>
        </w:rPr>
        <w:t>1环境保护图形标志——排放口（源）</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18484危险废物焚烧污染控制标准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18597危险废物贮存污染控</w:t>
      </w:r>
      <w:r>
        <w:rPr>
          <w:color w:val="ABBAD0"/>
          <w:spacing w:val="0"/>
          <w:w w:val="100"/>
          <w:position w:val="0"/>
        </w:rPr>
        <w:t>制底進</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18598危险废物填埋污染控制标准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18599 一般工业固体废物贮存、处置场污染控</w:t>
      </w:r>
      <w:r>
        <w:rPr>
          <w:color w:val="353A40"/>
          <w:spacing w:val="0"/>
          <w:w w:val="100"/>
          <w:position w:val="0"/>
        </w:rPr>
        <w:t>制标准，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GB 21902-2008</w:t>
      </w:r>
      <w:r>
        <w:rPr>
          <w:color w:val="000000"/>
          <w:spacing w:val="0"/>
          <w:w w:val="100"/>
          <w:position w:val="0"/>
        </w:rPr>
        <w:t>合成革与人造革工业污染物排放标推七</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50009建筑结构荷载规范</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GB 50014-2006</w:t>
      </w:r>
      <w:r>
        <w:rPr>
          <w:color w:val="000000"/>
          <w:spacing w:val="0"/>
          <w:w w:val="100"/>
          <w:position w:val="0"/>
        </w:rPr>
        <w:t>室外排水设计规范</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50017钢结构设计规范</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50018冷弯薄壁型钢结构技术规范</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50019采暖通风与空气调节设计规范</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50033建筑采光设计标准</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50046工业建筑防腐蚀设计规范</w:t>
      </w:r>
    </w:p>
    <w:p>
      <w:pPr>
        <w:pStyle w:val="Bodytext10"/>
        <w:keepNext w:val="0"/>
        <w:keepLines w:val="0"/>
        <w:widowControl w:val="0"/>
        <w:shd w:val="clear" w:color="auto" w:fill="auto"/>
        <w:bidi w:val="0"/>
        <w:spacing w:before="0" w:after="0" w:line="307" w:lineRule="exact"/>
        <w:ind w:left="0" w:right="0"/>
        <w:jc w:val="left"/>
      </w:pPr>
      <w:r>
        <w:rPr>
          <w:color w:val="000000"/>
          <w:spacing w:val="0"/>
          <w:w w:val="100"/>
          <w:position w:val="0"/>
          <w:lang w:val="en-US" w:eastAsia="en-US" w:bidi="en-US"/>
        </w:rPr>
        <w:t xml:space="preserve">GB </w:t>
      </w:r>
      <w:r>
        <w:rPr>
          <w:color w:val="000000"/>
          <w:spacing w:val="0"/>
          <w:w w:val="100"/>
          <w:position w:val="0"/>
        </w:rPr>
        <w:t>50052供配电系统设计规范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GB 50054</w:t>
      </w:r>
      <w:r>
        <w:rPr>
          <w:color w:val="000000"/>
          <w:spacing w:val="0"/>
          <w:w w:val="100"/>
          <w:position w:val="0"/>
        </w:rPr>
        <w:t>低压配电设计规范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50069给水排水工程构筑物结构设计规范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50093自动化仪表工程施工及验收规范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50108地下工程防水技术规范</w:t>
      </w:r>
    </w:p>
    <w:p>
      <w:pPr>
        <w:pStyle w:val="Bodytext10"/>
        <w:keepNext w:val="0"/>
        <w:keepLines w:val="0"/>
        <w:widowControl w:val="0"/>
        <w:shd w:val="clear" w:color="auto" w:fill="auto"/>
        <w:bidi w:val="0"/>
        <w:spacing w:before="0" w:after="80" w:line="240" w:lineRule="auto"/>
        <w:ind w:left="0" w:right="0" w:firstLine="180"/>
        <w:jc w:val="left"/>
        <w:sectPr>
          <w:headerReference w:type="even" r:id="rId13"/>
          <w:headerReference w:type="default" r:id="rId14"/>
          <w:footerReference w:type="even" r:id="rId15"/>
          <w:footerReference w:type="default" r:id="rId16"/>
          <w:pgSz w:w="11900" w:h="16840"/>
          <w:pgMar w:top="1581" w:right="1164" w:bottom="1191" w:left="1228" w:header="0" w:footer="3" w:gutter="0"/>
          <w:pgNumType w:start="1"/>
          <w:cols w:space="720"/>
          <w:noEndnote/>
          <w:rtlGutter w:val="0"/>
          <w:docGrid w:linePitch="360"/>
        </w:sectPr>
      </w:pPr>
      <w:r>
        <w:rPr>
          <w:color w:val="000000"/>
          <w:spacing w:val="0"/>
          <w:w w:val="100"/>
          <w:position w:val="0"/>
          <w:lang w:val="en-US" w:eastAsia="en-US" w:bidi="en-US"/>
        </w:rPr>
        <w:t xml:space="preserve">GB </w:t>
      </w:r>
      <w:r>
        <w:rPr>
          <w:color w:val="000000"/>
          <w:spacing w:val="0"/>
          <w:w w:val="100"/>
          <w:position w:val="0"/>
        </w:rPr>
        <w:t>50141给水排水构筑物工程施工及验收规范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50160石油化工企业设计防火规范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50168电气装置安装工程电缆线路施工及验收规范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50169电气装置安装工程接地装置施工及验收规范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50187工业企业总平面设计规范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50194建设工程施工现场供用电安全规范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50204混凝土结构工程施工质量验收规范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50208地下防水工程质量验收规范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50231机械设备安装工程施工及验收通用规范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50236现场设备、工业管道焊接工程施工及验收规范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50243通风与空调工程质量验收规范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50254电气装置安装工程低压电器施工及验收规范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50257电气装置安装工程爆炸和火灾危险环境电气装置施工及验收规范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50268 给水排水管道工程施工及验收规范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50275压缩机、风机、泵安装工程施工及验收规范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 </w:t>
      </w:r>
      <w:r>
        <w:rPr>
          <w:color w:val="000000"/>
          <w:spacing w:val="0"/>
          <w:w w:val="100"/>
          <w:position w:val="0"/>
        </w:rPr>
        <w:t>50303 建筑电气工程施工质量验收规范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GB/T </w:t>
      </w:r>
      <w:r>
        <w:rPr>
          <w:color w:val="000000"/>
          <w:spacing w:val="0"/>
          <w:w w:val="100"/>
          <w:position w:val="0"/>
        </w:rPr>
        <w:t>6719袋式除尘器技术要求</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GB/T </w:t>
      </w:r>
      <w:r>
        <w:rPr>
          <w:color w:val="000000"/>
          <w:spacing w:val="0"/>
          <w:w w:val="100"/>
          <w:position w:val="0"/>
        </w:rPr>
        <w:t>16157固定污染源排气中颗粒物测定与气态污染物采样方法</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GB/T </w:t>
      </w:r>
      <w:r>
        <w:rPr>
          <w:color w:val="000000"/>
          <w:spacing w:val="0"/>
          <w:w w:val="100"/>
          <w:position w:val="0"/>
        </w:rPr>
        <w:t>18920城市污水再生利用城市杂用水水质</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GB/T </w:t>
      </w:r>
      <w:r>
        <w:rPr>
          <w:color w:val="000000"/>
          <w:spacing w:val="0"/>
          <w:w w:val="100"/>
          <w:position w:val="0"/>
        </w:rPr>
        <w:t>19923城市污水再生利用工业用水水质</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GB/T 50087-2013</w:t>
      </w:r>
      <w:r>
        <w:rPr>
          <w:color w:val="000000"/>
          <w:spacing w:val="0"/>
          <w:w w:val="100"/>
          <w:position w:val="0"/>
        </w:rPr>
        <w:t>工业企业噪声控制设计规范</w:t>
      </w:r>
    </w:p>
    <w:p>
      <w:pPr>
        <w:pStyle w:val="Bodytext10"/>
        <w:keepNext w:val="0"/>
        <w:keepLines w:val="0"/>
        <w:widowControl w:val="0"/>
        <w:shd w:val="clear" w:color="auto" w:fill="auto"/>
        <w:bidi w:val="0"/>
        <w:spacing w:before="0" w:after="0" w:line="240" w:lineRule="auto"/>
        <w:ind w:left="0" w:right="0" w:firstLine="180"/>
        <w:jc w:val="left"/>
      </w:pPr>
      <w:r>
        <w:rPr>
          <w:color w:val="000000"/>
          <w:spacing w:val="0"/>
          <w:w w:val="100"/>
          <w:position w:val="0"/>
          <w:lang w:val="en-US" w:eastAsia="en-US" w:bidi="en-US"/>
        </w:rPr>
        <w:t xml:space="preserve">GB/T </w:t>
      </w:r>
      <w:r>
        <w:rPr>
          <w:color w:val="000000"/>
          <w:spacing w:val="0"/>
          <w:w w:val="100"/>
          <w:position w:val="0"/>
        </w:rPr>
        <w:t>50335污水再生利用工程设计规范</w:t>
      </w:r>
    </w:p>
    <w:p>
      <w:pPr>
        <w:pStyle w:val="Bodytext10"/>
        <w:keepNext w:val="0"/>
        <w:keepLines w:val="0"/>
        <w:widowControl w:val="0"/>
        <w:shd w:val="clear" w:color="auto" w:fill="auto"/>
        <w:bidi w:val="0"/>
        <w:spacing w:before="0" w:after="0" w:line="240" w:lineRule="auto"/>
        <w:ind w:left="0" w:right="0" w:firstLine="180"/>
        <w:jc w:val="left"/>
      </w:pPr>
      <w:r>
        <w:rPr>
          <w:color w:val="000000"/>
          <w:spacing w:val="0"/>
          <w:w w:val="100"/>
          <w:position w:val="0"/>
          <w:lang w:val="en-US" w:eastAsia="en-US" w:bidi="en-US"/>
        </w:rPr>
        <w:t xml:space="preserve">GBZ </w:t>
      </w:r>
      <w:r>
        <w:rPr>
          <w:color w:val="000000"/>
          <w:spacing w:val="0"/>
          <w:w w:val="100"/>
          <w:position w:val="0"/>
        </w:rPr>
        <w:t>1工业企业设</w:t>
      </w:r>
      <w:r>
        <w:rPr>
          <w:color w:val="353A40"/>
          <w:spacing w:val="0"/>
          <w:w w:val="100"/>
          <w:position w:val="0"/>
        </w:rPr>
        <w:t>勤</w:t>
      </w:r>
      <w:r>
        <w:rPr>
          <w:color w:val="000000"/>
          <w:spacing w:val="0"/>
          <w:w w:val="100"/>
          <w:position w:val="0"/>
        </w:rPr>
        <w:t>生标准</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GBZ 2. </w:t>
      </w:r>
      <w:r>
        <w:rPr>
          <w:color w:val="000000"/>
          <w:spacing w:val="0"/>
          <w:w w:val="100"/>
          <w:position w:val="0"/>
        </w:rPr>
        <w:t>1工作</w:t>
      </w:r>
      <w:r>
        <w:rPr>
          <w:color w:val="353A40"/>
          <w:spacing w:val="0"/>
          <w:w w:val="100"/>
          <w:position w:val="0"/>
        </w:rPr>
        <w:t>场所有害因素职业接</w:t>
      </w:r>
      <w:r>
        <w:rPr>
          <w:color w:val="000000"/>
          <w:spacing w:val="0"/>
          <w:w w:val="100"/>
          <w:position w:val="0"/>
        </w:rPr>
        <w:t>触限值化学有害因素</w:t>
      </w:r>
    </w:p>
    <w:p>
      <w:pPr>
        <w:pStyle w:val="Bodytext10"/>
        <w:keepNext w:val="0"/>
        <w:keepLines w:val="0"/>
        <w:widowControl w:val="0"/>
        <w:shd w:val="clear" w:color="auto" w:fill="auto"/>
        <w:bidi w:val="0"/>
        <w:spacing w:before="0" w:after="0" w:line="240" w:lineRule="auto"/>
        <w:ind w:left="0" w:right="0" w:firstLine="180"/>
        <w:jc w:val="left"/>
      </w:pPr>
      <w:r>
        <w:rPr>
          <w:color w:val="000000"/>
          <w:spacing w:val="0"/>
          <w:w w:val="100"/>
          <w:position w:val="0"/>
          <w:lang w:val="en-US" w:eastAsia="en-US" w:bidi="en-US"/>
        </w:rPr>
        <w:t xml:space="preserve">GBZ 2. </w:t>
      </w:r>
      <w:r>
        <w:rPr>
          <w:color w:val="000000"/>
          <w:spacing w:val="0"/>
          <w:w w:val="100"/>
          <w:position w:val="0"/>
        </w:rPr>
        <w:t>2工作场所有害因</w:t>
      </w:r>
      <w:r>
        <w:rPr>
          <w:color w:val="353A40"/>
          <w:spacing w:val="0"/>
          <w:w w:val="100"/>
          <w:position w:val="0"/>
        </w:rPr>
        <w:t>素职业:接触</w:t>
      </w:r>
      <w:r>
        <w:rPr>
          <w:color w:val="000000"/>
          <w:spacing w:val="0"/>
          <w:w w:val="100"/>
          <w:position w:val="0"/>
        </w:rPr>
        <w:t>限值物理因素</w:t>
      </w:r>
    </w:p>
    <w:p>
      <w:pPr>
        <w:pStyle w:val="Bodytext10"/>
        <w:keepNext w:val="0"/>
        <w:keepLines w:val="0"/>
        <w:widowControl w:val="0"/>
        <w:shd w:val="clear" w:color="auto" w:fill="auto"/>
        <w:bidi w:val="0"/>
        <w:spacing w:before="0" w:after="0" w:line="240" w:lineRule="auto"/>
        <w:ind w:left="0" w:right="0" w:firstLine="180"/>
        <w:jc w:val="left"/>
      </w:pPr>
      <w:r>
        <w:rPr>
          <w:color w:val="000000"/>
          <w:spacing w:val="0"/>
          <w:w w:val="100"/>
          <w:position w:val="0"/>
          <w:lang w:val="en-US" w:eastAsia="en-US" w:bidi="en-US"/>
        </w:rPr>
        <w:t>HJ 449-2008</w:t>
      </w:r>
      <w:r>
        <w:rPr>
          <w:color w:val="000000"/>
          <w:spacing w:val="0"/>
          <w:w w:val="100"/>
          <w:position w:val="0"/>
        </w:rPr>
        <w:t>清洁生产标准合</w:t>
      </w:r>
      <w:r>
        <w:rPr>
          <w:color w:val="353A40"/>
          <w:spacing w:val="0"/>
          <w:w w:val="100"/>
          <w:position w:val="0"/>
        </w:rPr>
        <w:t>，釦</w:t>
      </w:r>
      <w:r>
        <w:rPr>
          <w:color w:val="000000"/>
          <w:spacing w:val="0"/>
          <w:w w:val="100"/>
          <w:position w:val="0"/>
        </w:rPr>
        <w:t>卢人造堇工业</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HJ </w:t>
      </w:r>
      <w:r>
        <w:rPr>
          <w:color w:val="000000"/>
          <w:spacing w:val="0"/>
          <w:w w:val="100"/>
          <w:position w:val="0"/>
        </w:rPr>
        <w:t>462工业锅炉及炉窑湿法烟气脱硫</w:t>
      </w:r>
      <w:r>
        <w:rPr>
          <w:color w:val="353A40"/>
          <w:spacing w:val="0"/>
          <w:w w:val="100"/>
          <w:position w:val="0"/>
        </w:rPr>
        <w:t>工程技</w:t>
      </w:r>
      <w:r>
        <w:rPr>
          <w:color w:val="000000"/>
          <w:spacing w:val="0"/>
          <w:w w:val="100"/>
          <w:position w:val="0"/>
        </w:rPr>
        <w:t>术规范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HJ/T </w:t>
      </w:r>
      <w:r>
        <w:rPr>
          <w:color w:val="000000"/>
          <w:spacing w:val="0"/>
          <w:w w:val="100"/>
          <w:position w:val="0"/>
        </w:rPr>
        <w:t>1气体参数测量和采样的固定位装置</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HJ/T </w:t>
      </w:r>
      <w:r>
        <w:rPr>
          <w:color w:val="000000"/>
          <w:spacing w:val="0"/>
          <w:w w:val="100"/>
          <w:position w:val="0"/>
        </w:rPr>
        <w:t>15环境保护产品技术要求超声波明</w:t>
      </w:r>
      <w:r>
        <w:rPr>
          <w:color w:val="353A40"/>
          <w:spacing w:val="0"/>
          <w:w w:val="100"/>
          <w:position w:val="0"/>
        </w:rPr>
        <w:t>渠汚水</w:t>
      </w:r>
      <w:r>
        <w:rPr>
          <w:color w:val="353A40"/>
          <w:spacing w:val="0"/>
          <w:w w:val="100"/>
          <w:position w:val="0"/>
          <w:lang w:val="zh-CN" w:eastAsia="zh-CN" w:bidi="zh-CN"/>
        </w:rPr>
        <w:t>流量计</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HJ/T </w:t>
      </w:r>
      <w:r>
        <w:rPr>
          <w:color w:val="000000"/>
          <w:spacing w:val="0"/>
          <w:w w:val="100"/>
          <w:position w:val="0"/>
        </w:rPr>
        <w:t>92水污染物排放总量监测技术规范</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HJ/T </w:t>
      </w:r>
      <w:r>
        <w:rPr>
          <w:color w:val="000000"/>
          <w:spacing w:val="0"/>
          <w:w w:val="100"/>
          <w:position w:val="0"/>
        </w:rPr>
        <w:t xml:space="preserve">96 </w:t>
      </w:r>
      <w:r>
        <w:rPr>
          <w:color w:val="000000"/>
          <w:spacing w:val="0"/>
          <w:w w:val="100"/>
          <w:position w:val="0"/>
          <w:lang w:val="en-US" w:eastAsia="en-US" w:bidi="en-US"/>
        </w:rPr>
        <w:t>pH</w:t>
      </w:r>
      <w:r>
        <w:rPr>
          <w:color w:val="000000"/>
          <w:spacing w:val="0"/>
          <w:w w:val="100"/>
          <w:position w:val="0"/>
        </w:rPr>
        <w:t>水质自动分析仪技术要求</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HJ/T </w:t>
      </w:r>
      <w:r>
        <w:rPr>
          <w:color w:val="000000"/>
          <w:spacing w:val="0"/>
          <w:w w:val="100"/>
          <w:position w:val="0"/>
        </w:rPr>
        <w:t>101氨氮水质自动分析仪技术要求</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HJ/T </w:t>
      </w:r>
      <w:r>
        <w:rPr>
          <w:color w:val="000000"/>
          <w:spacing w:val="0"/>
          <w:w w:val="100"/>
          <w:position w:val="0"/>
        </w:rPr>
        <w:t>212污染源在线自动监控（监测）系统数据传输标准</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HJ/T </w:t>
      </w:r>
      <w:r>
        <w:rPr>
          <w:color w:val="000000"/>
          <w:spacing w:val="0"/>
          <w:w w:val="100"/>
          <w:position w:val="0"/>
        </w:rPr>
        <w:t>242环境保护产品技术要求污泥脱水用带式压榨过滤机</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HJ/T </w:t>
      </w:r>
      <w:r>
        <w:rPr>
          <w:color w:val="000000"/>
          <w:spacing w:val="0"/>
          <w:w w:val="100"/>
          <w:position w:val="0"/>
        </w:rPr>
        <w:t>251环境保护产品技术要求罗茨鼓风机</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HJ/T </w:t>
      </w:r>
      <w:r>
        <w:rPr>
          <w:color w:val="000000"/>
          <w:spacing w:val="0"/>
          <w:w w:val="100"/>
          <w:position w:val="0"/>
        </w:rPr>
        <w:t>252环境保护产品技术要求中、微孔曝气器</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HJ/T </w:t>
      </w:r>
      <w:r>
        <w:rPr>
          <w:color w:val="000000"/>
          <w:spacing w:val="0"/>
          <w:w w:val="100"/>
          <w:position w:val="0"/>
        </w:rPr>
        <w:t>262环境保护产品技术要求格栅除污机</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HJ/T </w:t>
      </w:r>
      <w:r>
        <w:rPr>
          <w:color w:val="000000"/>
          <w:spacing w:val="0"/>
          <w:w w:val="100"/>
          <w:position w:val="0"/>
        </w:rPr>
        <w:t>265环境保护产品技术要求刮泥机</w:t>
      </w:r>
    </w:p>
    <w:p>
      <w:pPr>
        <w:pStyle w:val="Bodytext10"/>
        <w:keepNext w:val="0"/>
        <w:keepLines w:val="0"/>
        <w:widowControl w:val="0"/>
        <w:shd w:val="clear" w:color="auto" w:fill="auto"/>
        <w:bidi w:val="0"/>
        <w:spacing w:before="0" w:after="80" w:line="240" w:lineRule="auto"/>
        <w:ind w:left="0" w:right="0" w:firstLine="180"/>
        <w:jc w:val="left"/>
      </w:pPr>
      <w:r>
        <w:rPr>
          <w:color w:val="000000"/>
          <w:spacing w:val="0"/>
          <w:w w:val="100"/>
          <w:position w:val="0"/>
          <w:lang w:val="en-US" w:eastAsia="en-US" w:bidi="en-US"/>
        </w:rPr>
        <w:t xml:space="preserve">HJ/T </w:t>
      </w:r>
      <w:r>
        <w:rPr>
          <w:color w:val="000000"/>
          <w:spacing w:val="0"/>
          <w:w w:val="100"/>
          <w:position w:val="0"/>
        </w:rPr>
        <w:t>266环境保护产品技术要求吸泥机</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HJ/T 278</w:t>
      </w:r>
      <w:r>
        <w:rPr>
          <w:color w:val="000000"/>
          <w:spacing w:val="0"/>
          <w:w w:val="100"/>
          <w:position w:val="0"/>
        </w:rPr>
        <w:t>环境保护产品技术要求单级高速曝气离心鼓风机</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 xml:space="preserve">HJ/T </w:t>
      </w:r>
      <w:r>
        <w:rPr>
          <w:color w:val="000000"/>
          <w:spacing w:val="0"/>
          <w:w w:val="100"/>
          <w:position w:val="0"/>
        </w:rPr>
        <w:t>279环境保护产品技术要求推流式潜水搅拌机</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 xml:space="preserve">HJ/T </w:t>
      </w:r>
      <w:r>
        <w:rPr>
          <w:color w:val="000000"/>
          <w:spacing w:val="0"/>
          <w:w w:val="100"/>
          <w:position w:val="0"/>
        </w:rPr>
        <w:t>283环境保护产品技术要求厢式压滤机和板框压滤机</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 xml:space="preserve">HJ/T </w:t>
      </w:r>
      <w:r>
        <w:rPr>
          <w:color w:val="000000"/>
          <w:spacing w:val="0"/>
          <w:w w:val="100"/>
          <w:position w:val="0"/>
        </w:rPr>
        <w:t>288环境保护产品技术要求湿式烟气脱硫除尘装置</w:t>
      </w:r>
    </w:p>
    <w:p>
      <w:pPr>
        <w:pStyle w:val="Bodytext10"/>
        <w:keepNext w:val="0"/>
        <w:keepLines w:val="0"/>
        <w:widowControl w:val="0"/>
        <w:shd w:val="clear" w:color="auto" w:fill="auto"/>
        <w:bidi w:val="0"/>
        <w:spacing w:before="0" w:after="0" w:line="298" w:lineRule="exact"/>
        <w:ind w:left="0" w:right="0"/>
        <w:jc w:val="left"/>
        <w:sectPr>
          <w:headerReference w:type="even" r:id="rId17"/>
          <w:headerReference w:type="default" r:id="rId18"/>
          <w:footerReference w:type="even" r:id="rId19"/>
          <w:footerReference w:type="default" r:id="rId20"/>
          <w:type w:val="nextPage"/>
          <w:pgSz w:w="11900" w:h="16840"/>
          <w:pgMar w:top="1581" w:right="1164" w:bottom="1191" w:left="1228" w:header="0" w:footer="3" w:gutter="0"/>
          <w:pgNumType w:start="2"/>
          <w:cols w:space="720"/>
          <w:noEndnote/>
          <w:titlePg w:val="0"/>
          <w:rtlGutter w:val="0"/>
          <w:docGrid w:linePitch="360"/>
        </w:sectPr>
      </w:pPr>
      <w:r>
        <w:rPr>
          <w:color w:val="000000"/>
          <w:spacing w:val="0"/>
          <w:w w:val="100"/>
          <w:position w:val="0"/>
          <w:lang w:val="en-US" w:eastAsia="en-US" w:bidi="en-US"/>
        </w:rPr>
        <w:t xml:space="preserve">HJ/T </w:t>
      </w:r>
      <w:r>
        <w:rPr>
          <w:color w:val="000000"/>
          <w:spacing w:val="0"/>
          <w:w w:val="100"/>
          <w:position w:val="0"/>
        </w:rPr>
        <w:t>298危险废物鉴别技术规范</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 xml:space="preserve">HJ/T </w:t>
      </w:r>
      <w:r>
        <w:rPr>
          <w:color w:val="000000"/>
          <w:spacing w:val="0"/>
          <w:w w:val="100"/>
          <w:position w:val="0"/>
        </w:rPr>
        <w:t>319环境保护产品技术要求花岗石类湿式烟气脱硫除尘装置</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HJ/T 323-2006</w:t>
      </w:r>
      <w:r>
        <w:rPr>
          <w:color w:val="000000"/>
          <w:spacing w:val="0"/>
          <w:w w:val="100"/>
          <w:position w:val="0"/>
        </w:rPr>
        <w:t>环境保护产品技术要求电除雾器</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 xml:space="preserve">HJ/T </w:t>
      </w:r>
      <w:r>
        <w:rPr>
          <w:color w:val="000000"/>
          <w:spacing w:val="0"/>
          <w:w w:val="100"/>
          <w:position w:val="0"/>
        </w:rPr>
        <w:t>335环境保护产品技术要求污泥浓缩带式脱水一体机</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 xml:space="preserve">HJ/T </w:t>
      </w:r>
      <w:r>
        <w:rPr>
          <w:color w:val="000000"/>
          <w:spacing w:val="0"/>
          <w:w w:val="100"/>
          <w:position w:val="0"/>
        </w:rPr>
        <w:t>336环境保护产品技术要求潜水排污泵</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 xml:space="preserve">HJ/T </w:t>
      </w:r>
      <w:r>
        <w:rPr>
          <w:color w:val="000000"/>
          <w:spacing w:val="0"/>
          <w:w w:val="100"/>
          <w:position w:val="0"/>
        </w:rPr>
        <w:t>354水污染源在线监测系统验收技术规范</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 xml:space="preserve">HJ/T </w:t>
      </w:r>
      <w:r>
        <w:rPr>
          <w:color w:val="000000"/>
          <w:spacing w:val="0"/>
          <w:w w:val="100"/>
          <w:position w:val="0"/>
        </w:rPr>
        <w:t>355水污染源在线监测系统运行与考核技术规范（试行）</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 xml:space="preserve">HJ/T </w:t>
      </w:r>
      <w:r>
        <w:rPr>
          <w:color w:val="000000"/>
          <w:spacing w:val="0"/>
          <w:w w:val="100"/>
          <w:position w:val="0"/>
        </w:rPr>
        <w:t>369环境保护产品技术要求水处理用加药装置</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 xml:space="preserve">HJ/T </w:t>
      </w:r>
      <w:r>
        <w:rPr>
          <w:color w:val="000000"/>
          <w:spacing w:val="0"/>
          <w:w w:val="100"/>
          <w:position w:val="0"/>
        </w:rPr>
        <w:t>377环境保护产品技术要求化学需氧量</w:t>
      </w:r>
      <w:r>
        <w:rPr>
          <w:smallCaps/>
          <w:color w:val="000000"/>
          <w:spacing w:val="0"/>
          <w:w w:val="100"/>
          <w:position w:val="0"/>
          <w:lang w:val="en-US" w:eastAsia="en-US" w:bidi="en-US"/>
        </w:rPr>
        <w:t>（CODb</w:t>
      </w:r>
      <w:r>
        <w:rPr>
          <w:color w:val="000000"/>
          <w:spacing w:val="0"/>
          <w:w w:val="100"/>
          <w:position w:val="0"/>
          <w:lang w:val="en-US" w:eastAsia="en-US" w:bidi="en-US"/>
        </w:rPr>
        <w:t xml:space="preserve"> </w:t>
      </w:r>
      <w:r>
        <w:rPr>
          <w:color w:val="000000"/>
          <w:spacing w:val="0"/>
          <w:w w:val="100"/>
          <w:position w:val="0"/>
        </w:rPr>
        <w:t>）水质在线自动监测仪</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 xml:space="preserve">HJ/T </w:t>
      </w:r>
      <w:r>
        <w:rPr>
          <w:color w:val="000000"/>
          <w:spacing w:val="0"/>
          <w:w w:val="100"/>
          <w:position w:val="0"/>
        </w:rPr>
        <w:t>386环境保护产品技术要求工业废气吸附净化装置</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 xml:space="preserve">HJ/T </w:t>
      </w:r>
      <w:r>
        <w:rPr>
          <w:color w:val="000000"/>
          <w:spacing w:val="0"/>
          <w:w w:val="100"/>
          <w:position w:val="0"/>
        </w:rPr>
        <w:t>387环境保护产品技术要求工业废气吸收净化装置</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 xml:space="preserve">CJJ </w:t>
      </w:r>
      <w:r>
        <w:rPr>
          <w:color w:val="000000"/>
          <w:spacing w:val="0"/>
          <w:w w:val="100"/>
          <w:position w:val="0"/>
        </w:rPr>
        <w:t>60城市污水处理厂运行、维护及其安全技术规程</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 xml:space="preserve">CECS </w:t>
      </w:r>
      <w:r>
        <w:rPr>
          <w:color w:val="000000"/>
          <w:spacing w:val="0"/>
          <w:w w:val="100"/>
          <w:position w:val="0"/>
        </w:rPr>
        <w:t>162给水排水仪表自动化控制工程施工及验收规程</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lang w:val="en-US" w:eastAsia="en-US" w:bidi="en-US"/>
        </w:rPr>
        <w:t xml:space="preserve">JJF </w:t>
      </w:r>
      <w:r>
        <w:rPr>
          <w:color w:val="000000"/>
          <w:spacing w:val="0"/>
          <w:w w:val="100"/>
          <w:position w:val="0"/>
        </w:rPr>
        <w:t>1049温度传感器动态响应校准规范</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rPr>
        <w:t>《危险化学品安全管理条例（2011年修订本）》（2011年国务院令第591号）</w:t>
      </w:r>
    </w:p>
    <w:p>
      <w:pPr>
        <w:pStyle w:val="Bodytext10"/>
        <w:keepNext w:val="0"/>
        <w:keepLines w:val="0"/>
        <w:widowControl w:val="0"/>
        <w:shd w:val="clear" w:color="auto" w:fill="auto"/>
        <w:bidi w:val="0"/>
        <w:spacing w:before="0" w:after="0" w:line="298" w:lineRule="exact"/>
        <w:ind w:left="0" w:right="0"/>
        <w:jc w:val="left"/>
      </w:pPr>
      <w:r>
        <w:rPr>
          <w:color w:val="000000"/>
          <w:spacing w:val="0"/>
          <w:w w:val="100"/>
          <w:position w:val="0"/>
        </w:rPr>
        <w:t>《危险废物转移联单管理办法》（1999年国家环境保护总局令第5号）</w:t>
      </w:r>
    </w:p>
    <w:p>
      <w:pPr>
        <w:pStyle w:val="Bodytext10"/>
        <w:keepNext w:val="0"/>
        <w:keepLines w:val="0"/>
        <w:widowControl w:val="0"/>
        <w:shd w:val="clear" w:color="auto" w:fill="auto"/>
        <w:bidi w:val="0"/>
        <w:spacing w:before="0" w:after="0" w:line="298" w:lineRule="exact"/>
        <w:ind w:left="0" w:right="0" w:firstLine="520"/>
        <w:jc w:val="left"/>
      </w:pPr>
      <w:r>
        <w:rPr>
          <w:color w:val="000000"/>
          <w:spacing w:val="0"/>
          <w:w w:val="100"/>
          <w:position w:val="0"/>
        </w:rPr>
        <w:t>《建设项目竣工环境保护验收管理办法》（2001年国家环境保护总局第13号令）</w:t>
      </w:r>
    </w:p>
    <w:p>
      <w:pPr>
        <w:pStyle w:val="Bodytext10"/>
        <w:keepNext w:val="0"/>
        <w:keepLines w:val="0"/>
        <w:widowControl w:val="0"/>
        <w:shd w:val="clear" w:color="auto" w:fill="auto"/>
        <w:bidi w:val="0"/>
        <w:spacing w:before="0" w:after="0" w:line="298" w:lineRule="exact"/>
        <w:ind w:left="0" w:right="0" w:firstLine="520"/>
        <w:jc w:val="left"/>
      </w:pPr>
      <w:r>
        <w:rPr>
          <w:color w:val="000000"/>
          <w:spacing w:val="0"/>
          <w:w w:val="100"/>
          <w:position w:val="0"/>
        </w:rPr>
        <w:t>《污染源自动监控管理办法》（2005年国家环境保护总局令第28号）</w:t>
      </w:r>
    </w:p>
    <w:p>
      <w:pPr>
        <w:pStyle w:val="Bodytext10"/>
        <w:keepNext w:val="0"/>
        <w:keepLines w:val="0"/>
        <w:widowControl w:val="0"/>
        <w:shd w:val="clear" w:color="auto" w:fill="auto"/>
        <w:bidi w:val="0"/>
        <w:spacing w:before="0" w:after="0" w:line="298" w:lineRule="exact"/>
        <w:ind w:left="0" w:right="0" w:firstLine="520"/>
        <w:jc w:val="left"/>
      </w:pPr>
      <w:r>
        <w:rPr>
          <w:color w:val="000000"/>
          <w:spacing w:val="0"/>
          <w:w w:val="100"/>
          <w:position w:val="0"/>
        </w:rPr>
        <w:t>《排污口规范化整治技术要求（试行）》（环监〔1996） 470号）</w:t>
      </w:r>
    </w:p>
    <w:p>
      <w:pPr>
        <w:pStyle w:val="Bodytext10"/>
        <w:keepNext w:val="0"/>
        <w:keepLines w:val="0"/>
        <w:widowControl w:val="0"/>
        <w:shd w:val="clear" w:color="auto" w:fill="auto"/>
        <w:bidi w:val="0"/>
        <w:spacing w:before="0" w:after="0" w:line="298" w:lineRule="exact"/>
        <w:ind w:left="0" w:right="0" w:firstLine="520"/>
        <w:jc w:val="left"/>
      </w:pPr>
      <w:r>
        <w:rPr>
          <w:color w:val="000000"/>
          <w:spacing w:val="0"/>
          <w:w w:val="100"/>
          <w:position w:val="0"/>
        </w:rPr>
        <w:t>《突发环境事件应急预案管理暂行办法》（环发</w:t>
      </w:r>
      <w:r>
        <w:rPr>
          <w:color w:val="000000"/>
          <w:spacing w:val="0"/>
          <w:w w:val="100"/>
          <w:position w:val="0"/>
          <w:lang w:val="en-US" w:eastAsia="en-US" w:bidi="en-US"/>
        </w:rPr>
        <w:t xml:space="preserve">[2010] </w:t>
      </w:r>
      <w:r>
        <w:rPr>
          <w:color w:val="000000"/>
          <w:spacing w:val="0"/>
          <w:w w:val="100"/>
          <w:position w:val="0"/>
        </w:rPr>
        <w:t>113号）</w:t>
      </w:r>
    </w:p>
    <w:p>
      <w:pPr>
        <w:pStyle w:val="Bodytext10"/>
        <w:keepNext w:val="0"/>
        <w:keepLines w:val="0"/>
        <w:widowControl w:val="0"/>
        <w:shd w:val="clear" w:color="auto" w:fill="auto"/>
        <w:bidi w:val="0"/>
        <w:spacing w:before="0" w:after="0" w:line="298" w:lineRule="exact"/>
        <w:ind w:left="0" w:right="0" w:firstLine="520"/>
        <w:jc w:val="left"/>
      </w:pPr>
      <w:r>
        <w:rPr>
          <w:color w:val="000000"/>
          <w:spacing w:val="0"/>
          <w:w w:val="100"/>
          <w:position w:val="0"/>
        </w:rPr>
        <w:t>《建设项目（工程）竣工验收办法》（计建设</w:t>
      </w:r>
      <w:r>
        <w:rPr>
          <w:color w:val="000000"/>
          <w:spacing w:val="0"/>
          <w:w w:val="100"/>
          <w:position w:val="0"/>
          <w:lang w:val="en-US" w:eastAsia="en-US" w:bidi="en-US"/>
        </w:rPr>
        <w:t xml:space="preserve">[1990] </w:t>
      </w:r>
      <w:r>
        <w:rPr>
          <w:color w:val="000000"/>
          <w:spacing w:val="0"/>
          <w:w w:val="100"/>
          <w:position w:val="0"/>
        </w:rPr>
        <w:t>1215号）</w:t>
      </w:r>
    </w:p>
    <w:p>
      <w:pPr>
        <w:pStyle w:val="Bodytext10"/>
        <w:keepNext w:val="0"/>
        <w:keepLines w:val="0"/>
        <w:widowControl w:val="0"/>
        <w:shd w:val="clear" w:color="auto" w:fill="auto"/>
        <w:bidi w:val="0"/>
        <w:spacing w:before="0" w:after="0" w:line="298" w:lineRule="exact"/>
        <w:ind w:left="0" w:right="0" w:firstLine="520"/>
        <w:jc w:val="left"/>
      </w:pPr>
      <w:r>
        <w:rPr>
          <w:color w:val="000000"/>
          <w:spacing w:val="0"/>
          <w:w w:val="100"/>
          <w:position w:val="0"/>
        </w:rPr>
        <w:t>《福建省合成革与人造革行业环境准入条件》（闽环发（2012） 29号）</w:t>
      </w:r>
    </w:p>
    <w:p>
      <w:pPr>
        <w:pStyle w:val="Bodytext10"/>
        <w:keepNext w:val="0"/>
        <w:keepLines w:val="0"/>
        <w:widowControl w:val="0"/>
        <w:shd w:val="clear" w:color="auto" w:fill="auto"/>
        <w:bidi w:val="0"/>
        <w:spacing w:before="0" w:after="680" w:line="298" w:lineRule="exact"/>
        <w:ind w:left="0" w:right="0" w:firstLine="520"/>
        <w:jc w:val="left"/>
      </w:pPr>
      <w:r>
        <w:rPr>
          <w:color w:val="000000"/>
          <w:spacing w:val="0"/>
          <w:w w:val="100"/>
          <w:position w:val="0"/>
        </w:rPr>
        <w:t>《福建省环保字于工业园区、皮革集中区污水集中处理设施及重点排污企业污水处理设施中控系 统建设和管理要求的</w:t>
      </w:r>
      <w:r>
        <w:rPr>
          <w:color w:val="000000"/>
          <w:spacing w:val="0"/>
          <w:w w:val="100"/>
          <w:position w:val="0"/>
          <w:lang w:val="en-US" w:eastAsia="en-US" w:bidi="en-US"/>
        </w:rPr>
        <w:t xml:space="preserve">mO </w:t>
      </w:r>
      <w:r>
        <w:rPr>
          <w:color w:val="000000"/>
          <w:spacing w:val="0"/>
          <w:w w:val="100"/>
          <w:position w:val="0"/>
        </w:rPr>
        <w:t>（曄环保总量〔2010） 18号）</w:t>
      </w:r>
    </w:p>
    <w:p>
      <w:pPr>
        <w:pStyle w:val="Bodytext10"/>
        <w:keepNext w:val="0"/>
        <w:keepLines w:val="0"/>
        <w:widowControl w:val="0"/>
        <w:shd w:val="clear" w:color="auto" w:fill="auto"/>
        <w:bidi w:val="0"/>
        <w:spacing w:before="0" w:after="300" w:line="240" w:lineRule="auto"/>
        <w:ind w:left="0" w:right="0" w:firstLine="0"/>
        <w:jc w:val="left"/>
      </w:pPr>
      <w:r>
        <w:rPr>
          <w:rFonts w:ascii="Times New Roman" w:eastAsia="Times New Roman" w:hAnsi="Times New Roman" w:cs="Times New Roman"/>
          <w:color w:val="000000"/>
          <w:spacing w:val="0"/>
          <w:w w:val="100"/>
          <w:position w:val="0"/>
          <w:sz w:val="18"/>
          <w:szCs w:val="18"/>
        </w:rPr>
        <w:t>3</w:t>
      </w:r>
      <w:r>
        <w:rPr>
          <w:b/>
          <w:bCs/>
          <w:color w:val="000000"/>
          <w:spacing w:val="0"/>
          <w:w w:val="100"/>
          <w:position w:val="0"/>
        </w:rPr>
        <w:t>术语和定义</w:t>
      </w:r>
    </w:p>
    <w:p>
      <w:pPr>
        <w:pStyle w:val="Bodytext10"/>
        <w:keepNext w:val="0"/>
        <w:keepLines w:val="0"/>
        <w:widowControl w:val="0"/>
        <w:shd w:val="clear" w:color="auto" w:fill="auto"/>
        <w:bidi w:val="0"/>
        <w:spacing w:before="0" w:after="160" w:line="302" w:lineRule="exact"/>
        <w:ind w:left="0" w:right="0"/>
        <w:jc w:val="left"/>
      </w:pPr>
      <w:r>
        <w:rPr>
          <w:color w:val="000000"/>
          <w:spacing w:val="0"/>
          <w:w w:val="100"/>
          <w:position w:val="0"/>
          <w:lang w:val="en-US" w:eastAsia="en-US" w:bidi="en-US"/>
        </w:rPr>
        <w:t>GB 21902-2008, HJ 449-2008</w:t>
      </w:r>
      <w:r>
        <w:rPr>
          <w:color w:val="000000"/>
          <w:spacing w:val="0"/>
          <w:w w:val="100"/>
          <w:position w:val="0"/>
        </w:rPr>
        <w:t>中的术语及下夕</w:t>
      </w:r>
      <w:r>
        <w:rPr>
          <w:color w:val="000000"/>
          <w:spacing w:val="0"/>
          <w:w w:val="100"/>
          <w:position w:val="0"/>
          <w:lang w:val="en-US" w:eastAsia="en-US" w:bidi="en-US"/>
        </w:rPr>
        <w:t>U</w:t>
      </w:r>
      <w:r>
        <w:rPr>
          <w:color w:val="000000"/>
          <w:spacing w:val="0"/>
          <w:w w:val="100"/>
          <w:position w:val="0"/>
        </w:rPr>
        <w:t>'术语対宇义适用于本标准。</w:t>
      </w:r>
    </w:p>
    <w:p>
      <w:pPr>
        <w:pStyle w:val="Bodytext20"/>
        <w:keepNext w:val="0"/>
        <w:keepLines w:val="0"/>
        <w:widowControl w:val="0"/>
        <w:numPr>
          <w:ilvl w:val="0"/>
          <w:numId w:val="3"/>
        </w:numPr>
        <w:shd w:val="clear" w:color="auto" w:fill="auto"/>
        <w:tabs>
          <w:tab w:val="left" w:pos="334"/>
        </w:tabs>
        <w:bidi w:val="0"/>
        <w:spacing w:before="0" w:after="160" w:line="350" w:lineRule="auto"/>
        <w:ind w:left="0" w:right="0" w:firstLine="0"/>
        <w:jc w:val="left"/>
      </w:pPr>
      <w:bookmarkStart w:id="18" w:name="bookmark18"/>
      <w:bookmarkEnd w:id="18"/>
      <w:r>
        <w:rPr>
          <w:rFonts w:ascii="Times New Roman" w:eastAsia="Times New Roman" w:hAnsi="Times New Roman" w:cs="Times New Roman"/>
          <w:color w:val="000000"/>
          <w:spacing w:val="0"/>
          <w:w w:val="100"/>
          <w:position w:val="0"/>
        </w:rPr>
        <w:t>1</w:t>
      </w:r>
    </w:p>
    <w:p>
      <w:pPr>
        <w:pStyle w:val="Bodytext10"/>
        <w:keepNext w:val="0"/>
        <w:keepLines w:val="0"/>
        <w:widowControl w:val="0"/>
        <w:shd w:val="clear" w:color="auto" w:fill="auto"/>
        <w:bidi w:val="0"/>
        <w:spacing w:before="0" w:after="160" w:line="240" w:lineRule="auto"/>
        <w:ind w:left="0" w:right="0"/>
        <w:jc w:val="left"/>
      </w:pPr>
      <w:r>
        <w:rPr>
          <w:b/>
          <w:bCs/>
          <w:color w:val="000000"/>
          <w:spacing w:val="0"/>
          <w:w w:val="100"/>
          <w:position w:val="0"/>
        </w:rPr>
        <w:t>合成革与人造革集控区</w:t>
      </w:r>
    </w:p>
    <w:p>
      <w:pPr>
        <w:pStyle w:val="Bodytext10"/>
        <w:keepNext w:val="0"/>
        <w:keepLines w:val="0"/>
        <w:widowControl w:val="0"/>
        <w:shd w:val="clear" w:color="auto" w:fill="auto"/>
        <w:bidi w:val="0"/>
        <w:spacing w:before="0" w:after="240" w:line="302" w:lineRule="exact"/>
        <w:ind w:left="0" w:right="0"/>
        <w:jc w:val="left"/>
      </w:pPr>
      <w:r>
        <w:rPr>
          <w:color w:val="000000"/>
          <w:spacing w:val="0"/>
          <w:w w:val="100"/>
          <w:position w:val="0"/>
        </w:rPr>
        <w:t>由合成革与人造革工业为主的企业组成，企业分布相对集中、内部功能齐全且相对独立的区域。</w:t>
      </w:r>
    </w:p>
    <w:p>
      <w:pPr>
        <w:pStyle w:val="Bodytext20"/>
        <w:keepNext w:val="0"/>
        <w:keepLines w:val="0"/>
        <w:widowControl w:val="0"/>
        <w:shd w:val="clear" w:color="auto" w:fill="auto"/>
        <w:bidi w:val="0"/>
        <w:spacing w:before="0" w:after="160" w:line="35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rPr>
        <w:t>2</w:t>
      </w:r>
    </w:p>
    <w:p>
      <w:pPr>
        <w:pStyle w:val="Bodytext10"/>
        <w:keepNext w:val="0"/>
        <w:keepLines w:val="0"/>
        <w:widowControl w:val="0"/>
        <w:shd w:val="clear" w:color="auto" w:fill="auto"/>
        <w:bidi w:val="0"/>
        <w:spacing w:before="0" w:after="160" w:line="240" w:lineRule="auto"/>
        <w:ind w:left="0" w:right="0"/>
        <w:jc w:val="left"/>
      </w:pPr>
      <w:r>
        <w:rPr>
          <w:b/>
          <w:bCs/>
          <w:color w:val="000000"/>
          <w:spacing w:val="0"/>
          <w:w w:val="100"/>
          <w:position w:val="0"/>
        </w:rPr>
        <w:t>废水预处理</w:t>
      </w:r>
    </w:p>
    <w:p>
      <w:pPr>
        <w:pStyle w:val="Bodytext10"/>
        <w:keepNext w:val="0"/>
        <w:keepLines w:val="0"/>
        <w:widowControl w:val="0"/>
        <w:shd w:val="clear" w:color="auto" w:fill="auto"/>
        <w:bidi w:val="0"/>
        <w:spacing w:before="0" w:after="0" w:line="302" w:lineRule="exact"/>
        <w:ind w:left="0" w:right="0" w:firstLine="440"/>
        <w:jc w:val="left"/>
      </w:pPr>
      <w:r>
        <w:rPr>
          <w:color w:val="000000"/>
          <w:spacing w:val="0"/>
          <w:w w:val="100"/>
          <w:position w:val="0"/>
        </w:rPr>
        <w:t>为减轻综合废水处理负荷，对回收价值大或污染严重的废水进行初步净化的过程，也称为分类预处 理。</w:t>
      </w:r>
    </w:p>
    <w:p>
      <w:pPr>
        <w:pStyle w:val="Bodytext20"/>
        <w:keepNext w:val="0"/>
        <w:keepLines w:val="0"/>
        <w:widowControl w:val="0"/>
        <w:shd w:val="clear" w:color="auto" w:fill="auto"/>
        <w:bidi w:val="0"/>
        <w:spacing w:before="0" w:after="140" w:line="36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CN" w:eastAsia="zh-CN" w:bidi="zh-CN"/>
        </w:rPr>
        <w:t>3</w:t>
      </w:r>
    </w:p>
    <w:p>
      <w:pPr>
        <w:pStyle w:val="Bodytext10"/>
        <w:keepNext w:val="0"/>
        <w:keepLines w:val="0"/>
        <w:widowControl w:val="0"/>
        <w:shd w:val="clear" w:color="auto" w:fill="auto"/>
        <w:bidi w:val="0"/>
        <w:spacing w:before="0" w:after="140" w:line="240" w:lineRule="auto"/>
        <w:ind w:left="0" w:right="0" w:firstLine="420"/>
        <w:jc w:val="both"/>
      </w:pPr>
      <w:r>
        <w:rPr>
          <w:b/>
          <w:bCs/>
          <w:color w:val="000000"/>
          <w:spacing w:val="0"/>
          <w:w w:val="100"/>
          <w:position w:val="0"/>
        </w:rPr>
        <w:t>废水一级处理</w:t>
      </w:r>
    </w:p>
    <w:p>
      <w:pPr>
        <w:pStyle w:val="Bodytext10"/>
        <w:keepNext w:val="0"/>
        <w:keepLines w:val="0"/>
        <w:widowControl w:val="0"/>
        <w:shd w:val="clear" w:color="auto" w:fill="auto"/>
        <w:bidi w:val="0"/>
        <w:spacing w:before="0" w:after="220" w:line="312" w:lineRule="exact"/>
        <w:ind w:left="0" w:right="0" w:firstLine="420"/>
        <w:jc w:val="left"/>
      </w:pPr>
      <w:r>
        <w:rPr>
          <w:color w:val="000000"/>
          <w:spacing w:val="0"/>
          <w:w w:val="100"/>
          <w:position w:val="0"/>
        </w:rPr>
        <w:t>综合废水处理工程中以固液分离、均质调节等措施为主体的初级处理过程。</w:t>
      </w:r>
    </w:p>
    <w:p>
      <w:pPr>
        <w:pStyle w:val="Bodytext20"/>
        <w:keepNext w:val="0"/>
        <w:keepLines w:val="0"/>
        <w:widowControl w:val="0"/>
        <w:shd w:val="clear" w:color="auto" w:fill="auto"/>
        <w:bidi w:val="0"/>
        <w:spacing w:before="0" w:after="140" w:line="36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rPr>
        <w:t>4</w:t>
      </w:r>
    </w:p>
    <w:p>
      <w:pPr>
        <w:pStyle w:val="Bodytext10"/>
        <w:keepNext w:val="0"/>
        <w:keepLines w:val="0"/>
        <w:widowControl w:val="0"/>
        <w:shd w:val="clear" w:color="auto" w:fill="auto"/>
        <w:bidi w:val="0"/>
        <w:spacing w:before="0" w:after="140" w:line="240" w:lineRule="auto"/>
        <w:ind w:left="0" w:right="0" w:firstLine="420"/>
        <w:jc w:val="both"/>
      </w:pPr>
      <w:r>
        <w:rPr>
          <w:b/>
          <w:bCs/>
          <w:color w:val="000000"/>
          <w:spacing w:val="0"/>
          <w:w w:val="100"/>
          <w:position w:val="0"/>
        </w:rPr>
        <w:t>废水二级处理</w:t>
      </w:r>
    </w:p>
    <w:p>
      <w:pPr>
        <w:pStyle w:val="Bodytext10"/>
        <w:keepNext w:val="0"/>
        <w:keepLines w:val="0"/>
        <w:widowControl w:val="0"/>
        <w:shd w:val="clear" w:color="auto" w:fill="auto"/>
        <w:bidi w:val="0"/>
        <w:spacing w:before="0" w:after="220" w:line="312" w:lineRule="exact"/>
        <w:ind w:left="0" w:right="0" w:firstLine="420"/>
        <w:jc w:val="left"/>
        <w:sectPr>
          <w:headerReference w:type="even" r:id="rId21"/>
          <w:headerReference w:type="default" r:id="rId22"/>
          <w:footerReference w:type="even" r:id="rId23"/>
          <w:footerReference w:type="default" r:id="rId24"/>
          <w:type w:val="nextPage"/>
          <w:pgSz w:w="11900" w:h="16840"/>
          <w:pgMar w:top="1581" w:right="1164" w:bottom="1191" w:left="1228" w:header="0" w:footer="3" w:gutter="0"/>
          <w:pgNumType w:start="3"/>
          <w:cols w:space="720"/>
          <w:noEndnote/>
          <w:titlePg w:val="0"/>
          <w:rtlGutter w:val="0"/>
          <w:docGrid w:linePitch="360"/>
        </w:sectPr>
      </w:pPr>
      <w:r>
        <w:rPr>
          <w:color w:val="000000"/>
          <w:spacing w:val="0"/>
          <w:w w:val="100"/>
          <w:position w:val="0"/>
        </w:rPr>
        <w:t>综合废水处理工程中经一级处理后以生化处理为主体的净化过程。</w:t>
      </w:r>
    </w:p>
    <w:p>
      <w:pPr>
        <w:pStyle w:val="Bodytext20"/>
        <w:keepNext w:val="0"/>
        <w:keepLines w:val="0"/>
        <w:widowControl w:val="0"/>
        <w:shd w:val="clear" w:color="auto" w:fill="auto"/>
        <w:bidi w:val="0"/>
        <w:spacing w:before="0" w:after="140" w:line="360" w:lineRule="auto"/>
        <w:ind w:left="0" w:right="0" w:firstLine="0"/>
        <w:jc w:val="left"/>
      </w:pPr>
      <w:r>
        <w:rPr>
          <w:rFonts w:ascii="Times New Roman" w:eastAsia="Times New Roman" w:hAnsi="Times New Roman" w:cs="Times New Roman"/>
          <w:color w:val="000000"/>
          <w:spacing w:val="0"/>
          <w:w w:val="100"/>
          <w:position w:val="0"/>
        </w:rPr>
        <w:t>3.5</w:t>
      </w:r>
    </w:p>
    <w:p>
      <w:pPr>
        <w:pStyle w:val="Bodytext10"/>
        <w:keepNext w:val="0"/>
        <w:keepLines w:val="0"/>
        <w:widowControl w:val="0"/>
        <w:shd w:val="clear" w:color="auto" w:fill="auto"/>
        <w:bidi w:val="0"/>
        <w:spacing w:before="0" w:after="140" w:line="240" w:lineRule="auto"/>
        <w:ind w:left="0" w:right="0" w:firstLine="440"/>
        <w:jc w:val="both"/>
      </w:pPr>
      <w:r>
        <w:rPr>
          <w:b/>
          <w:bCs/>
          <w:color w:val="000000"/>
          <w:spacing w:val="0"/>
          <w:w w:val="100"/>
          <w:position w:val="0"/>
        </w:rPr>
        <w:t>废水三级处理</w:t>
      </w:r>
    </w:p>
    <w:p>
      <w:pPr>
        <w:pStyle w:val="Bodytext10"/>
        <w:keepNext w:val="0"/>
        <w:keepLines w:val="0"/>
        <w:widowControl w:val="0"/>
        <w:shd w:val="clear" w:color="auto" w:fill="auto"/>
        <w:bidi w:val="0"/>
        <w:spacing w:before="0" w:after="220" w:line="312" w:lineRule="exact"/>
        <w:ind w:left="0" w:right="0" w:firstLine="440"/>
        <w:jc w:val="both"/>
      </w:pPr>
      <w:r>
        <w:rPr>
          <w:color w:val="000000"/>
          <w:spacing w:val="0"/>
          <w:w w:val="100"/>
          <w:position w:val="0"/>
        </w:rPr>
        <w:t>综合废水处理工程中采用混凝沉淀、过滤等措施进一步去除二级处理不能完全去除的污染物的净化 过程。</w:t>
      </w:r>
    </w:p>
    <w:p>
      <w:pPr>
        <w:pStyle w:val="Bodytext20"/>
        <w:keepNext w:val="0"/>
        <w:keepLines w:val="0"/>
        <w:widowControl w:val="0"/>
        <w:shd w:val="clear" w:color="auto" w:fill="auto"/>
        <w:bidi w:val="0"/>
        <w:spacing w:before="0" w:after="140" w:line="36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rPr>
        <w:t>6</w:t>
      </w:r>
    </w:p>
    <w:p>
      <w:pPr>
        <w:pStyle w:val="Bodytext10"/>
        <w:keepNext w:val="0"/>
        <w:keepLines w:val="0"/>
        <w:widowControl w:val="0"/>
        <w:shd w:val="clear" w:color="auto" w:fill="auto"/>
        <w:bidi w:val="0"/>
        <w:spacing w:before="0" w:after="140" w:line="240" w:lineRule="auto"/>
        <w:ind w:left="0" w:right="0" w:firstLine="420"/>
        <w:jc w:val="left"/>
      </w:pPr>
      <w:r>
        <w:rPr>
          <w:b/>
          <w:bCs/>
          <w:color w:val="000000"/>
          <w:spacing w:val="0"/>
          <w:w w:val="100"/>
          <w:position w:val="0"/>
        </w:rPr>
        <w:t>废气预处理</w:t>
      </w:r>
    </w:p>
    <w:p>
      <w:pPr>
        <w:pStyle w:val="Bodytext10"/>
        <w:keepNext w:val="0"/>
        <w:keepLines w:val="0"/>
        <w:widowControl w:val="0"/>
        <w:shd w:val="clear" w:color="auto" w:fill="auto"/>
        <w:bidi w:val="0"/>
        <w:spacing w:before="0" w:after="220" w:line="312" w:lineRule="exact"/>
        <w:ind w:left="0" w:right="0" w:firstLine="420"/>
        <w:jc w:val="left"/>
      </w:pPr>
      <w:r>
        <w:rPr>
          <w:color w:val="000000"/>
          <w:spacing w:val="0"/>
          <w:w w:val="100"/>
          <w:position w:val="0"/>
        </w:rPr>
        <w:t>为满足废气净化处理装置进气要求，采用过滤或稀释等方式的预处理过程。</w:t>
      </w:r>
    </w:p>
    <w:p>
      <w:pPr>
        <w:pStyle w:val="Bodytext20"/>
        <w:keepNext w:val="0"/>
        <w:keepLines w:val="0"/>
        <w:widowControl w:val="0"/>
        <w:numPr>
          <w:ilvl w:val="0"/>
          <w:numId w:val="4"/>
        </w:numPr>
        <w:shd w:val="clear" w:color="auto" w:fill="auto"/>
        <w:tabs>
          <w:tab w:val="left" w:pos="334"/>
        </w:tabs>
        <w:bidi w:val="0"/>
        <w:spacing w:before="0" w:after="140" w:line="360" w:lineRule="auto"/>
        <w:ind w:left="0" w:right="0" w:firstLine="0"/>
        <w:jc w:val="left"/>
      </w:pPr>
      <w:bookmarkStart w:id="19" w:name="bookmark19"/>
      <w:bookmarkEnd w:id="19"/>
      <w:r>
        <w:rPr>
          <w:rFonts w:ascii="Times New Roman" w:eastAsia="Times New Roman" w:hAnsi="Times New Roman" w:cs="Times New Roman"/>
          <w:color w:val="000000"/>
          <w:spacing w:val="0"/>
          <w:w w:val="100"/>
          <w:position w:val="0"/>
        </w:rPr>
        <w:t>7</w:t>
      </w:r>
    </w:p>
    <w:p>
      <w:pPr>
        <w:pStyle w:val="Bodytext10"/>
        <w:keepNext w:val="0"/>
        <w:keepLines w:val="0"/>
        <w:widowControl w:val="0"/>
        <w:shd w:val="clear" w:color="auto" w:fill="auto"/>
        <w:bidi w:val="0"/>
        <w:spacing w:before="0" w:after="140" w:line="240" w:lineRule="auto"/>
        <w:ind w:left="0" w:right="0" w:firstLine="420"/>
        <w:jc w:val="both"/>
      </w:pPr>
      <w:r>
        <w:rPr>
          <w:b/>
          <w:bCs/>
          <w:color w:val="000000"/>
          <w:spacing w:val="0"/>
          <w:w w:val="100"/>
          <w:position w:val="0"/>
        </w:rPr>
        <w:t>废气净化处理</w:t>
      </w:r>
    </w:p>
    <w:p>
      <w:pPr>
        <w:pStyle w:val="Bodytext10"/>
        <w:keepNext w:val="0"/>
        <w:keepLines w:val="0"/>
        <w:widowControl w:val="0"/>
        <w:shd w:val="clear" w:color="auto" w:fill="auto"/>
        <w:bidi w:val="0"/>
        <w:spacing w:before="0" w:after="400" w:line="312" w:lineRule="exact"/>
        <w:ind w:left="0" w:right="0" w:firstLine="420"/>
        <w:jc w:val="left"/>
      </w:pPr>
      <w:r>
        <w:rPr>
          <w:color w:val="000000"/>
          <w:spacing w:val="0"/>
          <w:w w:val="100"/>
          <w:position w:val="0"/>
        </w:rPr>
        <w:t>废气处理工程中采用洗涤、吸附或静电等方式的净化过程。</w:t>
      </w:r>
    </w:p>
    <w:p>
      <w:pPr>
        <w:pStyle w:val="Bodytext10"/>
        <w:keepNext w:val="0"/>
        <w:keepLines w:val="0"/>
        <w:widowControl w:val="0"/>
        <w:shd w:val="clear" w:color="auto" w:fill="auto"/>
        <w:bidi w:val="0"/>
        <w:spacing w:before="0" w:after="400" w:line="240" w:lineRule="auto"/>
        <w:ind w:left="0" w:right="0" w:firstLine="0"/>
        <w:jc w:val="left"/>
      </w:pPr>
      <w:r>
        <w:rPr>
          <w:rFonts w:ascii="Times New Roman" w:eastAsia="Times New Roman" w:hAnsi="Times New Roman" w:cs="Times New Roman"/>
          <w:color w:val="000000"/>
          <w:spacing w:val="0"/>
          <w:w w:val="100"/>
          <w:position w:val="0"/>
          <w:sz w:val="18"/>
          <w:szCs w:val="18"/>
        </w:rPr>
        <w:t>4</w:t>
      </w:r>
      <w:r>
        <w:rPr>
          <w:b/>
          <w:bCs/>
          <w:color w:val="000000"/>
          <w:spacing w:val="0"/>
          <w:w w:val="100"/>
          <w:position w:val="0"/>
        </w:rPr>
        <w:t>污染物与污染负荷</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4.1</w:t>
      </w:r>
      <w:r>
        <w:rPr>
          <w:b/>
          <w:bCs/>
          <w:color w:val="000000"/>
          <w:spacing w:val="0"/>
          <w:w w:val="100"/>
          <w:position w:val="0"/>
        </w:rPr>
        <w:t>废水污染物及污染负荷</w:t>
      </w:r>
    </w:p>
    <w:p>
      <w:pPr>
        <w:pStyle w:val="Bodytext10"/>
        <w:keepNext w:val="0"/>
        <w:keepLines w:val="0"/>
        <w:widowControl w:val="0"/>
        <w:numPr>
          <w:ilvl w:val="0"/>
          <w:numId w:val="4"/>
        </w:numPr>
        <w:shd w:val="clear" w:color="auto" w:fill="auto"/>
        <w:tabs>
          <w:tab w:val="left" w:pos="339"/>
        </w:tabs>
        <w:bidi w:val="0"/>
        <w:spacing w:before="0" w:after="220" w:line="312" w:lineRule="exact"/>
        <w:ind w:left="0" w:right="0" w:firstLine="0"/>
        <w:jc w:val="left"/>
      </w:pPr>
      <w:bookmarkStart w:id="20" w:name="bookmark20"/>
      <w:bookmarkEnd w:id="20"/>
      <w:r>
        <w:rPr>
          <w:rFonts w:ascii="Times New Roman" w:eastAsia="Times New Roman" w:hAnsi="Times New Roman" w:cs="Times New Roman"/>
          <w:color w:val="000000"/>
          <w:spacing w:val="0"/>
          <w:w w:val="100"/>
          <w:position w:val="0"/>
          <w:sz w:val="18"/>
          <w:szCs w:val="18"/>
          <w:lang w:val="en-US" w:eastAsia="en-US" w:bidi="en-US"/>
        </w:rPr>
        <w:t xml:space="preserve">1. </w:t>
      </w:r>
      <w:r>
        <w:rPr>
          <w:rFonts w:ascii="Times New Roman" w:eastAsia="Times New Roman" w:hAnsi="Times New Roman" w:cs="Times New Roman"/>
          <w:color w:val="000000"/>
          <w:spacing w:val="0"/>
          <w:w w:val="100"/>
          <w:position w:val="0"/>
          <w:sz w:val="18"/>
          <w:szCs w:val="18"/>
        </w:rPr>
        <w:t>1</w:t>
      </w:r>
      <w:r>
        <w:rPr>
          <w:color w:val="000000"/>
          <w:spacing w:val="0"/>
          <w:w w:val="100"/>
          <w:position w:val="0"/>
        </w:rPr>
        <w:t>水污染物的产生同生产工岂有关，产生废水的工艺或流程（工序）见表1。</w:t>
      </w:r>
    </w:p>
    <w:p>
      <w:pPr>
        <w:pStyle w:val="Bodytext10"/>
        <w:keepNext w:val="0"/>
        <w:keepLines w:val="0"/>
        <w:widowControl w:val="0"/>
        <w:shd w:val="clear" w:color="auto" w:fill="auto"/>
        <w:bidi w:val="0"/>
        <w:spacing w:before="0" w:after="140" w:line="240" w:lineRule="auto"/>
        <w:ind w:left="2060" w:right="0" w:firstLine="0"/>
        <w:jc w:val="left"/>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rPr>
        <w:t>1</w:t>
      </w:r>
      <w:r>
        <w:rPr>
          <w:b/>
          <w:bCs/>
          <w:color w:val="000000"/>
          <w:spacing w:val="0"/>
          <w:w w:val="100"/>
          <w:position w:val="0"/>
        </w:rPr>
        <w:t>合成革与人造革工业废水产生来源、主要污染物及排放去向</w:t>
      </w:r>
    </w:p>
    <w:tbl>
      <w:tblPr>
        <w:tblStyle w:val="TableNormal"/>
        <w:tblOverlap w:val="never"/>
        <w:jc w:val="center"/>
        <w:tblLayout w:type="fixed"/>
        <w:tblCellMar>
          <w:top w:w="0" w:type="dxa"/>
          <w:left w:w="10" w:type="dxa"/>
          <w:bottom w:w="0" w:type="dxa"/>
          <w:right w:w="10" w:type="dxa"/>
        </w:tblCellMar>
      </w:tblPr>
      <w:tblGrid>
        <w:gridCol w:w="499"/>
        <w:gridCol w:w="1200"/>
        <w:gridCol w:w="2309"/>
        <w:gridCol w:w="2933"/>
        <w:gridCol w:w="2333"/>
      </w:tblGrid>
      <w:tr>
        <w:tblPrEx>
          <w:jc w:val="center"/>
          <w:tblLayout w:type="fixed"/>
          <w:tblCellMar>
            <w:top w:w="0" w:type="dxa"/>
            <w:left w:w="10" w:type="dxa"/>
            <w:bottom w:w="0" w:type="dxa"/>
            <w:right w:w="10" w:type="dxa"/>
          </w:tblCellMar>
        </w:tblPrEx>
        <w:trPr>
          <w:trHeight w:hRule="exact" w:val="336"/>
          <w:jc w:val="center"/>
        </w:trPr>
        <w:tc>
          <w:tcPr>
            <w:tcW w:w="499"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序号</w:t>
            </w:r>
          </w:p>
        </w:tc>
        <w:tc>
          <w:tcPr>
            <w:tcW w:w="1200"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8"/>
                <w:szCs w:val="18"/>
              </w:rPr>
              <w:t>工艺或流程</w:t>
            </w:r>
          </w:p>
        </w:tc>
        <w:tc>
          <w:tcPr>
            <w:tcW w:w="2309"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来源</w:t>
            </w:r>
          </w:p>
        </w:tc>
        <w:tc>
          <w:tcPr>
            <w:tcW w:w="2933"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w:t>
            </w:r>
            <w:r>
              <w:rPr>
                <w:color w:val="000000"/>
                <w:spacing w:val="0"/>
                <w:w w:val="100"/>
                <w:position w:val="0"/>
                <w:sz w:val="18"/>
                <w:szCs w:val="18"/>
              </w:rPr>
              <w:t>.主要污染物</w:t>
            </w:r>
          </w:p>
        </w:tc>
        <w:tc>
          <w:tcPr>
            <w:tcW w:w="2333"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处理措施及排放去向</w:t>
            </w:r>
          </w:p>
        </w:tc>
      </w:tr>
      <w:tr>
        <w:tblPrEx>
          <w:jc w:val="center"/>
          <w:tblLayout w:type="fixed"/>
          <w:tblCellMar>
            <w:top w:w="0" w:type="dxa"/>
            <w:left w:w="10" w:type="dxa"/>
            <w:bottom w:w="0" w:type="dxa"/>
            <w:right w:w="10" w:type="dxa"/>
          </w:tblCellMar>
        </w:tblPrEx>
        <w:trPr>
          <w:trHeight w:hRule="exact" w:val="634"/>
          <w:jc w:val="center"/>
        </w:trPr>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120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100" w:line="240" w:lineRule="auto"/>
              <w:ind w:left="0" w:right="0" w:firstLine="0"/>
              <w:jc w:val="left"/>
              <w:rPr>
                <w:sz w:val="18"/>
                <w:szCs w:val="18"/>
              </w:rPr>
            </w:pPr>
            <w:r>
              <w:rPr>
                <w:color w:val="000000"/>
                <w:spacing w:val="0"/>
                <w:w w:val="100"/>
                <w:position w:val="0"/>
                <w:sz w:val="18"/>
                <w:szCs w:val="18"/>
              </w:rPr>
              <w:t>湿法工艺生</w:t>
            </w:r>
          </w:p>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产线</w:t>
            </w:r>
          </w:p>
        </w:tc>
        <w:tc>
          <w:tcPr>
            <w:tcW w:w="230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center"/>
              <w:rPr>
                <w:sz w:val="18"/>
                <w:szCs w:val="18"/>
              </w:rPr>
            </w:pPr>
            <w:r>
              <w:rPr>
                <w:color w:val="000000"/>
                <w:spacing w:val="0"/>
                <w:w w:val="100"/>
                <w:position w:val="0"/>
                <w:sz w:val="18"/>
                <w:szCs w:val="18"/>
              </w:rPr>
              <w:t>浸水槽、凝固槽、水洗槽等 的工艺废水和清洗水</w:t>
            </w:r>
          </w:p>
        </w:tc>
        <w:tc>
          <w:tcPr>
            <w:tcW w:w="2933"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center"/>
              <w:rPr>
                <w:sz w:val="18"/>
                <w:szCs w:val="18"/>
              </w:rPr>
            </w:pPr>
            <w:r>
              <w:rPr>
                <w:color w:val="000000"/>
                <w:spacing w:val="0"/>
                <w:w w:val="100"/>
                <w:position w:val="0"/>
                <w:sz w:val="18"/>
                <w:szCs w:val="18"/>
              </w:rPr>
              <w:t>化学需</w:t>
            </w:r>
            <w:r>
              <w:rPr>
                <w:color w:val="353A40"/>
                <w:spacing w:val="0"/>
                <w:w w:val="100"/>
                <w:position w:val="0"/>
                <w:sz w:val="18"/>
                <w:szCs w:val="18"/>
              </w:rPr>
              <w:t>氧量、二甲基甲</w:t>
            </w:r>
            <w:r>
              <w:rPr>
                <w:color w:val="000000"/>
                <w:spacing w:val="0"/>
                <w:w w:val="100"/>
                <w:position w:val="0"/>
                <w:sz w:val="18"/>
                <w:szCs w:val="18"/>
              </w:rPr>
              <w:t>酰胺、阴离 子表面活性剤、悬浮物、氨氮</w:t>
            </w:r>
          </w:p>
        </w:tc>
        <w:tc>
          <w:tcPr>
            <w:tcW w:w="2333"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送</w:t>
            </w: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rPr>
              <w:t>回收装置</w:t>
            </w:r>
          </w:p>
        </w:tc>
      </w:tr>
      <w:tr>
        <w:tblPrEx>
          <w:jc w:val="center"/>
          <w:tblLayout w:type="fixed"/>
          <w:tblCellMar>
            <w:top w:w="0" w:type="dxa"/>
            <w:left w:w="10" w:type="dxa"/>
            <w:bottom w:w="0" w:type="dxa"/>
            <w:right w:w="10" w:type="dxa"/>
          </w:tblCellMar>
        </w:tblPrEx>
        <w:trPr>
          <w:trHeight w:hRule="exact" w:val="634"/>
          <w:jc w:val="center"/>
        </w:trPr>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1200"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100" w:line="240" w:lineRule="auto"/>
              <w:ind w:left="0" w:right="0" w:firstLine="220"/>
              <w:jc w:val="left"/>
              <w:rPr>
                <w:sz w:val="18"/>
                <w:szCs w:val="18"/>
              </w:rPr>
            </w:pPr>
            <w:r>
              <w:rPr>
                <w:color w:val="000000"/>
                <w:spacing w:val="0"/>
                <w:w w:val="100"/>
                <w:position w:val="0"/>
                <w:sz w:val="18"/>
                <w:szCs w:val="18"/>
              </w:rPr>
              <w:t>湿揉工艺</w:t>
            </w:r>
          </w:p>
          <w:p>
            <w:pPr>
              <w:pStyle w:val="Other10"/>
              <w:keepNext w:val="0"/>
              <w:keepLines w:val="0"/>
              <w:widowControl w:val="0"/>
              <w:shd w:val="clear" w:color="auto" w:fill="auto"/>
              <w:bidi w:val="0"/>
              <w:spacing w:before="0" w:after="0" w:line="240" w:lineRule="auto"/>
              <w:ind w:left="0" w:right="0" w:firstLine="220"/>
              <w:jc w:val="left"/>
              <w:rPr>
                <w:sz w:val="18"/>
                <w:szCs w:val="18"/>
              </w:rPr>
            </w:pPr>
            <w:r>
              <w:rPr>
                <w:color w:val="000000"/>
                <w:spacing w:val="0"/>
                <w:w w:val="100"/>
                <w:position w:val="0"/>
                <w:sz w:val="18"/>
                <w:szCs w:val="18"/>
              </w:rPr>
              <w:t>（后处理）</w:t>
            </w:r>
          </w:p>
        </w:tc>
        <w:tc>
          <w:tcPr>
            <w:tcW w:w="230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湿揉、洗涤废水</w:t>
            </w:r>
          </w:p>
        </w:tc>
        <w:tc>
          <w:tcPr>
            <w:tcW w:w="2933"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07" w:lineRule="exact"/>
              <w:ind w:left="0" w:right="0" w:firstLine="0"/>
              <w:jc w:val="center"/>
              <w:rPr>
                <w:sz w:val="18"/>
                <w:szCs w:val="18"/>
              </w:rPr>
            </w:pPr>
            <w:r>
              <w:rPr>
                <w:color w:val="000000"/>
                <w:spacing w:val="0"/>
                <w:w w:val="100"/>
                <w:position w:val="0"/>
                <w:sz w:val="18"/>
                <w:szCs w:val="18"/>
              </w:rPr>
              <w:t>化学需氧量、色度、</w:t>
            </w:r>
            <w:r>
              <w:rPr>
                <w:color w:val="353A40"/>
                <w:spacing w:val="0"/>
                <w:w w:val="100"/>
                <w:position w:val="0"/>
                <w:sz w:val="18"/>
                <w:szCs w:val="18"/>
              </w:rPr>
              <w:t>有机溶剂、</w:t>
            </w:r>
            <w:r>
              <w:rPr>
                <w:color w:val="000000"/>
                <w:spacing w:val="0"/>
                <w:w w:val="100"/>
                <w:position w:val="0"/>
                <w:sz w:val="18"/>
                <w:szCs w:val="18"/>
              </w:rPr>
              <w:t>閔 离子表面活性剂、悬浮物</w:t>
            </w:r>
            <w:r>
              <w:rPr>
                <w:color w:val="000000"/>
                <w:spacing w:val="0"/>
                <w:w w:val="100"/>
                <w:position w:val="0"/>
                <w:sz w:val="18"/>
                <w:szCs w:val="18"/>
                <w:lang w:val="en-US" w:eastAsia="en-US" w:bidi="en-US"/>
              </w:rPr>
              <w:t>•</w:t>
            </w:r>
          </w:p>
        </w:tc>
        <w:tc>
          <w:tcPr>
            <w:tcW w:w="2333"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送污水站处理</w:t>
            </w:r>
          </w:p>
        </w:tc>
      </w:tr>
      <w:tr>
        <w:tblPrEx>
          <w:jc w:val="center"/>
          <w:tblLayout w:type="fixed"/>
          <w:tblCellMar>
            <w:top w:w="0" w:type="dxa"/>
            <w:left w:w="10" w:type="dxa"/>
            <w:bottom w:w="0" w:type="dxa"/>
            <w:right w:w="10" w:type="dxa"/>
          </w:tblCellMar>
        </w:tblPrEx>
        <w:trPr>
          <w:trHeight w:hRule="exact" w:val="634"/>
          <w:jc w:val="center"/>
        </w:trPr>
        <w:tc>
          <w:tcPr>
            <w:tcW w:w="49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1200"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8"/>
                <w:szCs w:val="18"/>
              </w:rPr>
            </w:pPr>
            <w:r>
              <w:rPr>
                <w:color w:val="000000"/>
                <w:spacing w:val="0"/>
                <w:w w:val="100"/>
                <w:position w:val="0"/>
                <w:sz w:val="18"/>
                <w:szCs w:val="18"/>
              </w:rPr>
              <w:t>超纤：甲苯 抽岀工艺</w:t>
            </w:r>
          </w:p>
        </w:tc>
        <w:tc>
          <w:tcPr>
            <w:tcW w:w="230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水封水、甲苯回收水</w:t>
            </w:r>
          </w:p>
        </w:tc>
        <w:tc>
          <w:tcPr>
            <w:tcW w:w="293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8"/>
                <w:szCs w:val="18"/>
              </w:rPr>
              <w:t>甲苯、二甲基甲酰胺、化学需氧量</w:t>
            </w:r>
          </w:p>
        </w:tc>
        <w:tc>
          <w:tcPr>
            <w:tcW w:w="2333"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353A40"/>
                <w:spacing w:val="0"/>
                <w:w w:val="100"/>
                <w:position w:val="0"/>
                <w:sz w:val="18"/>
                <w:szCs w:val="18"/>
              </w:rPr>
              <w:t>送污水</w:t>
            </w:r>
            <w:r>
              <w:rPr>
                <w:color w:val="000000"/>
                <w:spacing w:val="0"/>
                <w:w w:val="100"/>
                <w:position w:val="0"/>
                <w:sz w:val="18"/>
                <w:szCs w:val="18"/>
              </w:rPr>
              <w:t>站处理</w:t>
            </w:r>
          </w:p>
        </w:tc>
      </w:tr>
      <w:tr>
        <w:tblPrEx>
          <w:jc w:val="center"/>
          <w:tblLayout w:type="fixed"/>
          <w:tblCellMar>
            <w:top w:w="0" w:type="dxa"/>
            <w:left w:w="10" w:type="dxa"/>
            <w:bottom w:w="0" w:type="dxa"/>
            <w:right w:w="10" w:type="dxa"/>
          </w:tblCellMar>
        </w:tblPrEx>
        <w:trPr>
          <w:trHeight w:hRule="exact" w:val="643"/>
          <w:jc w:val="center"/>
        </w:trPr>
        <w:tc>
          <w:tcPr>
            <w:tcW w:w="499"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8"/>
                <w:szCs w:val="18"/>
              </w:rPr>
            </w:pPr>
            <w:r>
              <w:rPr>
                <w:rFonts w:ascii="Times New Roman" w:eastAsia="Times New Roman" w:hAnsi="Times New Roman" w:cs="Times New Roman"/>
                <w:color w:val="000000"/>
                <w:spacing w:val="0"/>
                <w:w w:val="100"/>
                <w:position w:val="0"/>
                <w:sz w:val="18"/>
                <w:szCs w:val="18"/>
              </w:rPr>
              <w:t>4</w:t>
            </w:r>
          </w:p>
        </w:tc>
        <w:tc>
          <w:tcPr>
            <w:tcW w:w="1200"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326" w:lineRule="exact"/>
              <w:ind w:left="0" w:right="0" w:firstLine="0"/>
              <w:jc w:val="center"/>
              <w:rPr>
                <w:sz w:val="18"/>
                <w:szCs w:val="18"/>
              </w:rPr>
            </w:pPr>
            <w:r>
              <w:rPr>
                <w:color w:val="000000"/>
                <w:spacing w:val="0"/>
                <w:w w:val="100"/>
                <w:position w:val="0"/>
                <w:sz w:val="18"/>
                <w:szCs w:val="18"/>
              </w:rPr>
              <w:t>超纤：碱减 量工艺</w:t>
            </w:r>
          </w:p>
        </w:tc>
        <w:tc>
          <w:tcPr>
            <w:tcW w:w="2309"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工艺废水和清洗水</w:t>
            </w:r>
          </w:p>
        </w:tc>
        <w:tc>
          <w:tcPr>
            <w:tcW w:w="2933"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二甲基甲酰胺、化学需氧量</w:t>
            </w:r>
          </w:p>
        </w:tc>
        <w:tc>
          <w:tcPr>
            <w:tcW w:w="2333"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送</w:t>
            </w: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rPr>
              <w:t>回收装置</w:t>
            </w:r>
          </w:p>
        </w:tc>
      </w:tr>
    </w:tbl>
    <w:p>
      <w:pPr>
        <w:sectPr>
          <w:headerReference w:type="even" r:id="rId25"/>
          <w:headerReference w:type="default" r:id="rId26"/>
          <w:footerReference w:type="even" r:id="rId27"/>
          <w:footerReference w:type="default" r:id="rId28"/>
          <w:type w:val="nextPage"/>
          <w:pgSz w:w="11900" w:h="16840"/>
          <w:pgMar w:top="1581" w:right="1164" w:bottom="1191" w:left="1228" w:header="0" w:footer="3" w:gutter="0"/>
          <w:pgNumType w:start="4"/>
          <w:cols w:space="720"/>
          <w:noEndnote/>
          <w:titlePg w:val="0"/>
          <w:rtlGutter w:val="0"/>
          <w:docGrid w:linePitch="360"/>
        </w:sectPr>
      </w:pPr>
    </w:p>
    <w:p>
      <w:pPr>
        <w:pStyle w:val="Bodytext10"/>
        <w:keepNext w:val="0"/>
        <w:keepLines w:val="0"/>
        <w:widowControl w:val="0"/>
        <w:shd w:val="clear" w:color="auto" w:fill="auto"/>
        <w:bidi w:val="0"/>
        <w:spacing w:before="0" w:after="18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lang w:val="zh-CN" w:eastAsia="zh-CN" w:bidi="zh-CN"/>
        </w:rPr>
        <w:t>1</w:t>
      </w:r>
      <w:r>
        <w:rPr>
          <w:b/>
          <w:bCs/>
          <w:color w:val="000000"/>
          <w:spacing w:val="0"/>
          <w:w w:val="100"/>
          <w:position w:val="0"/>
        </w:rPr>
        <w:t>合成革与人造革工业废水产生来源、主要污染物及排放去向（续）</w:t>
      </w:r>
    </w:p>
    <w:tbl>
      <w:tblPr>
        <w:tblStyle w:val="TableNormal"/>
        <w:tblOverlap w:val="never"/>
        <w:jc w:val="center"/>
        <w:tblLayout w:type="fixed"/>
        <w:tblCellMar>
          <w:top w:w="0" w:type="dxa"/>
          <w:left w:w="10" w:type="dxa"/>
          <w:bottom w:w="0" w:type="dxa"/>
          <w:right w:w="10" w:type="dxa"/>
        </w:tblCellMar>
      </w:tblPr>
      <w:tblGrid>
        <w:gridCol w:w="686"/>
        <w:gridCol w:w="1363"/>
        <w:gridCol w:w="1949"/>
        <w:gridCol w:w="2933"/>
        <w:gridCol w:w="2328"/>
      </w:tblGrid>
      <w:tr>
        <w:tblPrEx>
          <w:jc w:val="center"/>
          <w:tblLayout w:type="fixed"/>
          <w:tblCellMar>
            <w:top w:w="0" w:type="dxa"/>
            <w:left w:w="10" w:type="dxa"/>
            <w:bottom w:w="0" w:type="dxa"/>
            <w:right w:w="10" w:type="dxa"/>
          </w:tblCellMar>
        </w:tblPrEx>
        <w:trPr>
          <w:trHeight w:hRule="exact" w:val="326"/>
          <w:jc w:val="center"/>
        </w:trPr>
        <w:tc>
          <w:tcPr>
            <w:tcW w:w="68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序号</w:t>
            </w:r>
          </w:p>
        </w:tc>
        <w:tc>
          <w:tcPr>
            <w:tcW w:w="1363"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工艺或流程</w:t>
            </w:r>
          </w:p>
        </w:tc>
        <w:tc>
          <w:tcPr>
            <w:tcW w:w="1949"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来源</w:t>
            </w:r>
          </w:p>
        </w:tc>
        <w:tc>
          <w:tcPr>
            <w:tcW w:w="2933"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主要污染物</w:t>
            </w:r>
          </w:p>
        </w:tc>
        <w:tc>
          <w:tcPr>
            <w:tcW w:w="2328"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处理措施及排放去向</w:t>
            </w:r>
          </w:p>
        </w:tc>
      </w:tr>
      <w:tr>
        <w:tblPrEx>
          <w:jc w:val="center"/>
          <w:tblLayout w:type="fixed"/>
          <w:tblCellMar>
            <w:top w:w="0" w:type="dxa"/>
            <w:left w:w="10" w:type="dxa"/>
            <w:bottom w:w="0" w:type="dxa"/>
            <w:right w:w="10" w:type="dxa"/>
          </w:tblCellMar>
        </w:tblPrEx>
        <w:trPr>
          <w:trHeight w:hRule="exact" w:val="634"/>
          <w:jc w:val="center"/>
        </w:trPr>
        <w:tc>
          <w:tcPr>
            <w:tcW w:w="68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136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废气净化治理</w:t>
            </w:r>
          </w:p>
        </w:tc>
        <w:tc>
          <w:tcPr>
            <w:tcW w:w="194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100" w:line="240" w:lineRule="auto"/>
              <w:ind w:left="0" w:right="0" w:firstLine="0"/>
              <w:jc w:val="center"/>
              <w:rPr>
                <w:sz w:val="18"/>
                <w:szCs w:val="18"/>
              </w:rPr>
            </w:pPr>
            <w:r>
              <w:rPr>
                <w:color w:val="000000"/>
                <w:spacing w:val="0"/>
                <w:w w:val="100"/>
                <w:position w:val="0"/>
                <w:sz w:val="18"/>
                <w:szCs w:val="18"/>
              </w:rPr>
              <w:t>水洗涤式废气净化淋</w:t>
            </w:r>
          </w:p>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洗水</w:t>
            </w:r>
          </w:p>
        </w:tc>
        <w:tc>
          <w:tcPr>
            <w:tcW w:w="2933"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center"/>
              <w:rPr>
                <w:sz w:val="18"/>
                <w:szCs w:val="18"/>
              </w:rPr>
            </w:pPr>
            <w:r>
              <w:rPr>
                <w:color w:val="000000"/>
                <w:spacing w:val="0"/>
                <w:w w:val="100"/>
                <w:position w:val="0"/>
                <w:sz w:val="18"/>
                <w:szCs w:val="18"/>
              </w:rPr>
              <w:t>化学需氧量、有机溶剂（二甲基甲 酰胺）、悬浮物</w:t>
            </w:r>
          </w:p>
        </w:tc>
        <w:tc>
          <w:tcPr>
            <w:tcW w:w="232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送</w:t>
            </w: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rPr>
              <w:t>回收装置</w:t>
            </w:r>
          </w:p>
        </w:tc>
      </w:tr>
      <w:tr>
        <w:tblPrEx>
          <w:jc w:val="center"/>
          <w:tblLayout w:type="fixed"/>
          <w:tblCellMar>
            <w:top w:w="0" w:type="dxa"/>
            <w:left w:w="10" w:type="dxa"/>
            <w:bottom w:w="0" w:type="dxa"/>
            <w:right w:w="10" w:type="dxa"/>
          </w:tblCellMar>
        </w:tblPrEx>
        <w:trPr>
          <w:trHeight w:hRule="exact" w:val="634"/>
          <w:jc w:val="center"/>
        </w:trPr>
        <w:tc>
          <w:tcPr>
            <w:tcW w:w="68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8"/>
                <w:szCs w:val="18"/>
              </w:rPr>
            </w:pPr>
            <w:r>
              <w:rPr>
                <w:rFonts w:ascii="Times New Roman" w:eastAsia="Times New Roman" w:hAnsi="Times New Roman" w:cs="Times New Roman"/>
                <w:color w:val="000000"/>
                <w:spacing w:val="0"/>
                <w:w w:val="100"/>
                <w:position w:val="0"/>
                <w:sz w:val="18"/>
                <w:szCs w:val="18"/>
              </w:rPr>
              <w:t>6</w:t>
            </w:r>
          </w:p>
        </w:tc>
        <w:tc>
          <w:tcPr>
            <w:tcW w:w="1363"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rPr>
              <w:t>精馏</w:t>
            </w:r>
          </w:p>
        </w:tc>
        <w:tc>
          <w:tcPr>
            <w:tcW w:w="1949"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100" w:line="240" w:lineRule="auto"/>
              <w:ind w:left="0" w:right="0" w:firstLine="0"/>
              <w:jc w:val="left"/>
              <w:rPr>
                <w:sz w:val="18"/>
                <w:szCs w:val="18"/>
              </w:rPr>
            </w:pPr>
            <w:r>
              <w:rPr>
                <w:color w:val="000000"/>
                <w:spacing w:val="0"/>
                <w:w w:val="100"/>
                <w:position w:val="0"/>
                <w:sz w:val="18"/>
                <w:szCs w:val="18"/>
              </w:rPr>
              <w:t>精馏塔的塔顶水、真空</w:t>
            </w:r>
          </w:p>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泵岀水</w:t>
            </w:r>
          </w:p>
        </w:tc>
        <w:tc>
          <w:tcPr>
            <w:tcW w:w="2933"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8"/>
                <w:szCs w:val="18"/>
              </w:rPr>
            </w:pPr>
            <w:r>
              <w:rPr>
                <w:color w:val="000000"/>
                <w:spacing w:val="0"/>
                <w:w w:val="100"/>
                <w:position w:val="0"/>
                <w:sz w:val="18"/>
                <w:szCs w:val="18"/>
              </w:rPr>
              <w:t>化学需氧量、二甲基甲酰胺、二甲 胺</w:t>
            </w:r>
          </w:p>
        </w:tc>
        <w:tc>
          <w:tcPr>
            <w:tcW w:w="232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生产回用或送污水站处理</w:t>
            </w:r>
          </w:p>
        </w:tc>
      </w:tr>
      <w:tr>
        <w:tblPrEx>
          <w:jc w:val="center"/>
          <w:tblLayout w:type="fixed"/>
          <w:tblCellMar>
            <w:top w:w="0" w:type="dxa"/>
            <w:left w:w="10" w:type="dxa"/>
            <w:bottom w:w="0" w:type="dxa"/>
            <w:right w:w="10" w:type="dxa"/>
          </w:tblCellMar>
        </w:tblPrEx>
        <w:trPr>
          <w:trHeight w:hRule="exact" w:val="946"/>
          <w:jc w:val="center"/>
        </w:trPr>
        <w:tc>
          <w:tcPr>
            <w:tcW w:w="68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8"/>
                <w:szCs w:val="18"/>
              </w:rPr>
            </w:pPr>
            <w:r>
              <w:rPr>
                <w:rFonts w:ascii="Times New Roman" w:eastAsia="Times New Roman" w:hAnsi="Times New Roman" w:cs="Times New Roman"/>
                <w:color w:val="000000"/>
                <w:spacing w:val="0"/>
                <w:w w:val="100"/>
                <w:position w:val="0"/>
                <w:sz w:val="18"/>
                <w:szCs w:val="18"/>
              </w:rPr>
              <w:t>7</w:t>
            </w:r>
          </w:p>
        </w:tc>
        <w:tc>
          <w:tcPr>
            <w:tcW w:w="1363" w:type="dxa"/>
            <w:vMerge/>
            <w:tcBorders>
              <w:left w:val="single" w:sz="4" w:space="0" w:color="auto"/>
            </w:tcBorders>
            <w:shd w:val="clear" w:color="auto" w:fill="FFFFFF"/>
            <w:vAlign w:val="center"/>
          </w:tcPr>
          <w:p/>
        </w:tc>
        <w:tc>
          <w:tcPr>
            <w:tcW w:w="1949"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22" w:lineRule="exact"/>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rPr>
              <w:t>回收废水储罐 （池）的非定期排放、 精馏塔清洗水</w:t>
            </w:r>
          </w:p>
        </w:tc>
        <w:tc>
          <w:tcPr>
            <w:tcW w:w="293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center"/>
              <w:rPr>
                <w:sz w:val="18"/>
                <w:szCs w:val="18"/>
              </w:rPr>
            </w:pPr>
            <w:r>
              <w:rPr>
                <w:color w:val="000000"/>
                <w:spacing w:val="0"/>
                <w:w w:val="100"/>
                <w:position w:val="0"/>
                <w:sz w:val="18"/>
                <w:szCs w:val="18"/>
              </w:rPr>
              <w:t>二甲基甲酰胺、悬浮物、化学需氧 量</w:t>
            </w:r>
          </w:p>
        </w:tc>
        <w:tc>
          <w:tcPr>
            <w:tcW w:w="232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送污水站处理</w:t>
            </w:r>
          </w:p>
        </w:tc>
      </w:tr>
      <w:tr>
        <w:tblPrEx>
          <w:jc w:val="center"/>
          <w:tblLayout w:type="fixed"/>
          <w:tblCellMar>
            <w:top w:w="0" w:type="dxa"/>
            <w:left w:w="10" w:type="dxa"/>
            <w:bottom w:w="0" w:type="dxa"/>
            <w:right w:w="10" w:type="dxa"/>
          </w:tblCellMar>
        </w:tblPrEx>
        <w:trPr>
          <w:trHeight w:hRule="exact" w:val="638"/>
          <w:jc w:val="center"/>
        </w:trPr>
        <w:tc>
          <w:tcPr>
            <w:tcW w:w="68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8"/>
                <w:szCs w:val="18"/>
              </w:rPr>
            </w:pPr>
            <w:r>
              <w:rPr>
                <w:rFonts w:ascii="Times New Roman" w:eastAsia="Times New Roman" w:hAnsi="Times New Roman" w:cs="Times New Roman"/>
                <w:color w:val="000000"/>
                <w:spacing w:val="0"/>
                <w:w w:val="100"/>
                <w:position w:val="0"/>
                <w:sz w:val="18"/>
                <w:szCs w:val="18"/>
              </w:rPr>
              <w:t>8</w:t>
            </w:r>
          </w:p>
        </w:tc>
        <w:tc>
          <w:tcPr>
            <w:tcW w:w="1363"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36" w:lineRule="exact"/>
              <w:ind w:left="0" w:right="0" w:firstLine="0"/>
              <w:jc w:val="center"/>
              <w:rPr>
                <w:sz w:val="18"/>
                <w:szCs w:val="18"/>
              </w:rPr>
            </w:pPr>
            <w:r>
              <w:rPr>
                <w:color w:val="000000"/>
                <w:spacing w:val="0"/>
                <w:w w:val="100"/>
                <w:position w:val="0"/>
                <w:sz w:val="18"/>
                <w:szCs w:val="18"/>
              </w:rPr>
              <w:t>冷却循环水系 统</w:t>
            </w:r>
          </w:p>
        </w:tc>
        <w:tc>
          <w:tcPr>
            <w:tcW w:w="194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冷却水的非定期排放</w:t>
            </w:r>
          </w:p>
        </w:tc>
        <w:tc>
          <w:tcPr>
            <w:tcW w:w="2933"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8"/>
                <w:szCs w:val="18"/>
              </w:rPr>
            </w:pPr>
            <w:r>
              <w:rPr>
                <w:color w:val="000000"/>
                <w:spacing w:val="0"/>
                <w:w w:val="100"/>
                <w:position w:val="0"/>
                <w:sz w:val="18"/>
                <w:szCs w:val="18"/>
              </w:rPr>
              <w:t>同所用水有关，一般为少量二甲基 甲酰胺、悬浮物、化学需氧量</w:t>
            </w:r>
          </w:p>
        </w:tc>
        <w:tc>
          <w:tcPr>
            <w:tcW w:w="232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送污水站处理</w:t>
            </w:r>
          </w:p>
        </w:tc>
      </w:tr>
      <w:tr>
        <w:tblPrEx>
          <w:jc w:val="center"/>
          <w:tblLayout w:type="fixed"/>
          <w:tblCellMar>
            <w:top w:w="0" w:type="dxa"/>
            <w:left w:w="10" w:type="dxa"/>
            <w:bottom w:w="0" w:type="dxa"/>
            <w:right w:w="10" w:type="dxa"/>
          </w:tblCellMar>
        </w:tblPrEx>
        <w:trPr>
          <w:trHeight w:hRule="exact" w:val="629"/>
          <w:jc w:val="center"/>
        </w:trPr>
        <w:tc>
          <w:tcPr>
            <w:tcW w:w="68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8"/>
                <w:szCs w:val="18"/>
              </w:rPr>
            </w:pPr>
            <w:r>
              <w:rPr>
                <w:rFonts w:ascii="Times New Roman" w:eastAsia="Times New Roman" w:hAnsi="Times New Roman" w:cs="Times New Roman"/>
                <w:color w:val="000000"/>
                <w:spacing w:val="0"/>
                <w:w w:val="100"/>
                <w:position w:val="0"/>
                <w:sz w:val="18"/>
                <w:szCs w:val="18"/>
              </w:rPr>
              <w:t>9</w:t>
            </w:r>
          </w:p>
        </w:tc>
        <w:tc>
          <w:tcPr>
            <w:tcW w:w="136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清洗</w:t>
            </w:r>
          </w:p>
        </w:tc>
        <w:tc>
          <w:tcPr>
            <w:tcW w:w="1949"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8"/>
                <w:szCs w:val="18"/>
              </w:rPr>
            </w:pPr>
            <w:r>
              <w:rPr>
                <w:color w:val="000000"/>
                <w:spacing w:val="0"/>
                <w:w w:val="100"/>
                <w:position w:val="0"/>
                <w:sz w:val="18"/>
                <w:szCs w:val="18"/>
              </w:rPr>
              <w:t>地面冲洗水、容器洗涤 水、设备洗涤水</w:t>
            </w:r>
          </w:p>
        </w:tc>
        <w:tc>
          <w:tcPr>
            <w:tcW w:w="293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化学需氧量、有机溶剂、悬浮物</w:t>
            </w:r>
          </w:p>
        </w:tc>
        <w:tc>
          <w:tcPr>
            <w:tcW w:w="232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送污水站处理</w:t>
            </w:r>
          </w:p>
        </w:tc>
      </w:tr>
      <w:tr>
        <w:tblPrEx>
          <w:jc w:val="center"/>
          <w:tblLayout w:type="fixed"/>
          <w:tblCellMar>
            <w:top w:w="0" w:type="dxa"/>
            <w:left w:w="10" w:type="dxa"/>
            <w:bottom w:w="0" w:type="dxa"/>
            <w:right w:w="10" w:type="dxa"/>
          </w:tblCellMar>
        </w:tblPrEx>
        <w:trPr>
          <w:trHeight w:hRule="exact" w:val="326"/>
          <w:jc w:val="center"/>
        </w:trPr>
        <w:tc>
          <w:tcPr>
            <w:tcW w:w="68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10</w:t>
            </w:r>
          </w:p>
        </w:tc>
        <w:tc>
          <w:tcPr>
            <w:tcW w:w="1363"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锅炉废水</w:t>
            </w:r>
          </w:p>
        </w:tc>
        <w:tc>
          <w:tcPr>
            <w:tcW w:w="1949"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锅炉废气治理废水</w:t>
            </w:r>
          </w:p>
        </w:tc>
        <w:tc>
          <w:tcPr>
            <w:tcW w:w="2933"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化学需氧量、悬浮物</w:t>
            </w:r>
          </w:p>
        </w:tc>
        <w:tc>
          <w:tcPr>
            <w:tcW w:w="2328"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送污水站处理</w:t>
            </w:r>
          </w:p>
        </w:tc>
      </w:tr>
      <w:tr>
        <w:tblPrEx>
          <w:jc w:val="center"/>
          <w:tblLayout w:type="fixed"/>
          <w:tblCellMar>
            <w:top w:w="0" w:type="dxa"/>
            <w:left w:w="10" w:type="dxa"/>
            <w:bottom w:w="0" w:type="dxa"/>
            <w:right w:w="10" w:type="dxa"/>
          </w:tblCellMar>
        </w:tblPrEx>
        <w:trPr>
          <w:trHeight w:hRule="exact" w:val="331"/>
          <w:jc w:val="center"/>
        </w:trPr>
        <w:tc>
          <w:tcPr>
            <w:tcW w:w="686"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rPr>
              <w:t>11</w:t>
            </w:r>
          </w:p>
        </w:tc>
        <w:tc>
          <w:tcPr>
            <w:tcW w:w="1363"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生活废水</w:t>
            </w:r>
          </w:p>
        </w:tc>
        <w:tc>
          <w:tcPr>
            <w:tcW w:w="1949"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员工生活废水</w:t>
            </w:r>
          </w:p>
        </w:tc>
        <w:tc>
          <w:tcPr>
            <w:tcW w:w="2933"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化学需氧量、悬浮物、氨氮</w:t>
            </w:r>
          </w:p>
        </w:tc>
        <w:tc>
          <w:tcPr>
            <w:tcW w:w="2328" w:type="dxa"/>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送污水站处理</w:t>
            </w:r>
          </w:p>
        </w:tc>
      </w:tr>
    </w:tbl>
    <w:p>
      <w:pPr>
        <w:widowControl w:val="0"/>
        <w:spacing w:after="239" w:line="1" w:lineRule="exact"/>
      </w:pPr>
    </w:p>
    <w:p>
      <w:pPr>
        <w:pStyle w:val="Bodytext10"/>
        <w:keepNext w:val="0"/>
        <w:keepLines w:val="0"/>
        <w:widowControl w:val="0"/>
        <w:shd w:val="clear" w:color="auto" w:fill="auto"/>
        <w:bidi w:val="0"/>
        <w:spacing w:before="0" w:after="240" w:line="326"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4.1.2</w:t>
      </w:r>
      <w:r>
        <w:rPr>
          <w:color w:val="000000"/>
          <w:spacing w:val="0"/>
          <w:w w:val="100"/>
          <w:position w:val="0"/>
        </w:rPr>
        <w:t>废水水质可采取实测数据的加权平均值来确定。没有实测条件的，典型合成革与人造革工业废 水产生量及废水水质可参照表2。</w:t>
      </w:r>
    </w:p>
    <w:p>
      <w:pPr>
        <w:pStyle w:val="Bodytext10"/>
        <w:keepNext w:val="0"/>
        <w:keepLines w:val="0"/>
        <w:widowControl w:val="0"/>
        <w:shd w:val="clear" w:color="auto" w:fill="auto"/>
        <w:bidi w:val="0"/>
        <w:spacing w:before="0" w:after="18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rPr>
        <w:t>2</w:t>
      </w:r>
      <w:r>
        <w:rPr>
          <w:b/>
          <w:bCs/>
          <w:color w:val="000000"/>
          <w:spacing w:val="0"/>
          <w:w w:val="100"/>
          <w:position w:val="0"/>
        </w:rPr>
        <w:t>典型合成革与人造革工业废水产生量及废水水质</w:t>
      </w:r>
    </w:p>
    <w:tbl>
      <w:tblPr>
        <w:tblStyle w:val="TableNormal"/>
        <w:tblOverlap w:val="never"/>
        <w:jc w:val="center"/>
        <w:tblLayout w:type="fixed"/>
        <w:tblCellMar>
          <w:top w:w="0" w:type="dxa"/>
          <w:left w:w="10" w:type="dxa"/>
          <w:bottom w:w="0" w:type="dxa"/>
          <w:right w:w="10" w:type="dxa"/>
        </w:tblCellMar>
      </w:tblPr>
      <w:tblGrid>
        <w:gridCol w:w="1934"/>
        <w:gridCol w:w="1829"/>
        <w:gridCol w:w="1368"/>
        <w:gridCol w:w="1162"/>
        <w:gridCol w:w="1051"/>
        <w:gridCol w:w="1003"/>
        <w:gridCol w:w="922"/>
      </w:tblGrid>
      <w:tr>
        <w:tblPrEx>
          <w:jc w:val="center"/>
          <w:tblLayout w:type="fixed"/>
          <w:tblCellMar>
            <w:top w:w="0" w:type="dxa"/>
            <w:left w:w="10" w:type="dxa"/>
            <w:bottom w:w="0" w:type="dxa"/>
            <w:right w:w="10" w:type="dxa"/>
          </w:tblCellMar>
        </w:tblPrEx>
        <w:trPr>
          <w:trHeight w:hRule="exact" w:val="326"/>
          <w:jc w:val="center"/>
        </w:trPr>
        <w:tc>
          <w:tcPr>
            <w:tcW w:w="1934"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520"/>
              <w:jc w:val="left"/>
              <w:rPr>
                <w:sz w:val="18"/>
                <w:szCs w:val="18"/>
              </w:rPr>
            </w:pPr>
            <w:r>
              <w:rPr>
                <w:color w:val="000000"/>
                <w:spacing w:val="0"/>
                <w:w w:val="100"/>
                <w:position w:val="0"/>
                <w:sz w:val="18"/>
                <w:szCs w:val="18"/>
              </w:rPr>
              <w:t>产生过程</w:t>
            </w:r>
          </w:p>
        </w:tc>
        <w:tc>
          <w:tcPr>
            <w:tcW w:w="1829"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jc w:val="left"/>
              <w:rPr>
                <w:sz w:val="18"/>
                <w:szCs w:val="18"/>
              </w:rPr>
            </w:pPr>
            <w:r>
              <w:rPr>
                <w:color w:val="000000"/>
                <w:spacing w:val="0"/>
                <w:w w:val="100"/>
                <w:position w:val="0"/>
                <w:sz w:val="18"/>
                <w:szCs w:val="18"/>
              </w:rPr>
              <w:t>废水产生量</w:t>
            </w:r>
          </w:p>
        </w:tc>
        <w:tc>
          <w:tcPr>
            <w:tcW w:w="1368"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16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COD”</w:t>
            </w:r>
            <w:r>
              <w:rPr>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 xml:space="preserve"> mg/L</w:t>
            </w:r>
          </w:p>
        </w:tc>
        <w:tc>
          <w:tcPr>
            <w:tcW w:w="1162"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BOD</w:t>
            </w:r>
            <w:r>
              <w:rPr>
                <w:rFonts w:ascii="Times New Roman" w:eastAsia="Times New Roman" w:hAnsi="Times New Roman" w:cs="Times New Roman"/>
                <w:color w:val="000000"/>
                <w:spacing w:val="0"/>
                <w:w w:val="100"/>
                <w:position w:val="0"/>
                <w:sz w:val="18"/>
                <w:szCs w:val="18"/>
                <w:vertAlign w:val="subscript"/>
                <w:lang w:val="en-US" w:eastAsia="en-US" w:bidi="en-US"/>
              </w:rPr>
              <w:t>5</w:t>
            </w:r>
            <w:r>
              <w:rPr>
                <w:rFonts w:ascii="Times New Roman" w:eastAsia="Times New Roman" w:hAnsi="Times New Roman" w:cs="Times New Roman"/>
                <w:color w:val="000000"/>
                <w:spacing w:val="0"/>
                <w:w w:val="100"/>
                <w:position w:val="0"/>
                <w:sz w:val="18"/>
                <w:szCs w:val="18"/>
                <w:lang w:val="en-US" w:eastAsia="en-US" w:bidi="en-US"/>
              </w:rPr>
              <w:t>, mg/L</w:t>
            </w:r>
          </w:p>
        </w:tc>
        <w:tc>
          <w:tcPr>
            <w:tcW w:w="105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SS, mg/L</w:t>
            </w:r>
          </w:p>
        </w:tc>
        <w:tc>
          <w:tcPr>
            <w:tcW w:w="1003"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right"/>
              <w:rPr>
                <w:sz w:val="18"/>
                <w:szCs w:val="18"/>
              </w:rPr>
            </w:pPr>
            <w:r>
              <w:rPr>
                <w:color w:val="000000"/>
                <w:spacing w:val="0"/>
                <w:w w:val="100"/>
                <w:position w:val="0"/>
                <w:sz w:val="18"/>
                <w:szCs w:val="18"/>
              </w:rPr>
              <w:t>氨氮，</w:t>
            </w:r>
            <w:r>
              <w:rPr>
                <w:rFonts w:ascii="Times New Roman" w:eastAsia="Times New Roman" w:hAnsi="Times New Roman" w:cs="Times New Roman"/>
                <w:color w:val="000000"/>
                <w:spacing w:val="0"/>
                <w:w w:val="100"/>
                <w:position w:val="0"/>
                <w:sz w:val="18"/>
                <w:szCs w:val="18"/>
                <w:lang w:val="en-US" w:eastAsia="en-US" w:bidi="en-US"/>
              </w:rPr>
              <w:t>mg/L</w:t>
            </w:r>
          </w:p>
        </w:tc>
        <w:tc>
          <w:tcPr>
            <w:tcW w:w="922"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right"/>
              <w:rPr>
                <w:sz w:val="18"/>
                <w:szCs w:val="18"/>
              </w:rPr>
            </w:pPr>
            <w:r>
              <w:rPr>
                <w:rFonts w:ascii="Times New Roman" w:eastAsia="Times New Roman" w:hAnsi="Times New Roman" w:cs="Times New Roman"/>
                <w:color w:val="000000"/>
                <w:spacing w:val="0"/>
                <w:w w:val="100"/>
                <w:position w:val="0"/>
                <w:sz w:val="18"/>
                <w:szCs w:val="18"/>
                <w:lang w:val="en-US" w:eastAsia="en-US" w:bidi="en-US"/>
              </w:rPr>
              <w:t>DMF, mg/L</w:t>
            </w:r>
          </w:p>
        </w:tc>
      </w:tr>
      <w:tr>
        <w:tblPrEx>
          <w:jc w:val="center"/>
          <w:tblLayout w:type="fixed"/>
          <w:tblCellMar>
            <w:top w:w="0" w:type="dxa"/>
            <w:left w:w="10" w:type="dxa"/>
            <w:bottom w:w="0" w:type="dxa"/>
            <w:right w:w="10" w:type="dxa"/>
          </w:tblCellMar>
        </w:tblPrEx>
        <w:trPr>
          <w:trHeight w:hRule="exact" w:val="634"/>
          <w:jc w:val="center"/>
        </w:trPr>
        <w:tc>
          <w:tcPr>
            <w:tcW w:w="193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8"/>
                <w:szCs w:val="18"/>
              </w:rPr>
              <w:t>湿法生产线工艺废水</w:t>
            </w:r>
          </w:p>
        </w:tc>
        <w:tc>
          <w:tcPr>
            <w:tcW w:w="182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26" w:lineRule="exact"/>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50m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sz w:val="18"/>
                <w:szCs w:val="18"/>
                <w:lang w:val="en-US" w:eastAsia="en-US" w:bidi="en-US"/>
              </w:rPr>
              <w:t xml:space="preserve"> /d^ 70m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sz w:val="18"/>
                <w:szCs w:val="18"/>
                <w:lang w:val="en-US" w:eastAsia="en-US" w:bidi="en-US"/>
              </w:rPr>
              <w:t xml:space="preserve"> /d </w:t>
            </w:r>
            <w:r>
              <w:rPr>
                <w:color w:val="000000"/>
                <w:spacing w:val="0"/>
                <w:w w:val="100"/>
                <w:position w:val="0"/>
                <w:sz w:val="18"/>
                <w:szCs w:val="18"/>
              </w:rPr>
              <w:t>按每条生产线</w:t>
            </w:r>
          </w:p>
        </w:tc>
        <w:tc>
          <w:tcPr>
            <w:tcW w:w="136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250000</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350000</w:t>
            </w:r>
          </w:p>
        </w:tc>
        <w:tc>
          <w:tcPr>
            <w:tcW w:w="11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pPr>
            <w:r>
              <w:rPr>
                <w:color w:val="000000"/>
                <w:spacing w:val="0"/>
                <w:w w:val="100"/>
                <w:position w:val="0"/>
              </w:rPr>
              <w:t>一</w:t>
            </w:r>
          </w:p>
        </w:tc>
        <w:tc>
          <w:tcPr>
            <w:tcW w:w="105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200</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300</w:t>
            </w:r>
          </w:p>
        </w:tc>
        <w:tc>
          <w:tcPr>
            <w:tcW w:w="100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40"/>
              <w:jc w:val="both"/>
            </w:pPr>
            <w:r>
              <w:rPr>
                <w:color w:val="000000"/>
                <w:spacing w:val="0"/>
                <w:w w:val="100"/>
                <w:position w:val="0"/>
              </w:rPr>
              <w:t>一</w:t>
            </w:r>
          </w:p>
        </w:tc>
        <w:tc>
          <w:tcPr>
            <w:tcW w:w="92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180000</w:t>
            </w:r>
            <w:r>
              <w:rPr>
                <w:color w:val="000000"/>
                <w:spacing w:val="0"/>
                <w:w w:val="100"/>
                <w:position w:val="0"/>
                <w:sz w:val="18"/>
                <w:szCs w:val="18"/>
              </w:rPr>
              <w:t>〜</w:t>
            </w:r>
          </w:p>
          <w:p>
            <w:pPr>
              <w:pStyle w:val="Other10"/>
              <w:keepNext w:val="0"/>
              <w:keepLines w:val="0"/>
              <w:widowControl w:val="0"/>
              <w:shd w:val="clear" w:color="auto" w:fill="auto"/>
              <w:bidi w:val="0"/>
              <w:spacing w:before="0" w:after="0" w:line="240" w:lineRule="auto"/>
              <w:ind w:left="0" w:right="0" w:firstLine="160"/>
              <w:jc w:val="left"/>
              <w:rPr>
                <w:sz w:val="18"/>
                <w:szCs w:val="18"/>
              </w:rPr>
            </w:pPr>
            <w:r>
              <w:rPr>
                <w:rFonts w:ascii="Times New Roman" w:eastAsia="Times New Roman" w:hAnsi="Times New Roman" w:cs="Times New Roman"/>
                <w:color w:val="000000"/>
                <w:spacing w:val="0"/>
                <w:w w:val="100"/>
                <w:position w:val="0"/>
                <w:sz w:val="18"/>
                <w:szCs w:val="18"/>
              </w:rPr>
              <w:t>220000</w:t>
            </w:r>
          </w:p>
        </w:tc>
      </w:tr>
      <w:tr>
        <w:tblPrEx>
          <w:jc w:val="center"/>
          <w:tblLayout w:type="fixed"/>
          <w:tblCellMar>
            <w:top w:w="0" w:type="dxa"/>
            <w:left w:w="10" w:type="dxa"/>
            <w:bottom w:w="0" w:type="dxa"/>
            <w:right w:w="10" w:type="dxa"/>
          </w:tblCellMar>
        </w:tblPrEx>
        <w:trPr>
          <w:trHeight w:hRule="exact" w:val="634"/>
          <w:jc w:val="center"/>
        </w:trPr>
        <w:tc>
          <w:tcPr>
            <w:tcW w:w="193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8"/>
                <w:szCs w:val="18"/>
              </w:rPr>
              <w:t>湿法生产线设备清洗水</w:t>
            </w:r>
          </w:p>
        </w:tc>
        <w:tc>
          <w:tcPr>
            <w:tcW w:w="1829"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10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0. Snr</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sz w:val="18"/>
                <w:szCs w:val="18"/>
                <w:lang w:val="en-US" w:eastAsia="en-US" w:bidi="en-US"/>
              </w:rPr>
              <w:t xml:space="preserve"> /d</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lang w:val="en-US" w:eastAsia="en-US" w:bidi="en-US"/>
              </w:rPr>
              <w:t>0. 5m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sz w:val="18"/>
                <w:szCs w:val="18"/>
                <w:lang w:val="en-US" w:eastAsia="en-US" w:bidi="en-US"/>
              </w:rPr>
              <w:t xml:space="preserve"> /d</w:t>
            </w:r>
          </w:p>
          <w:p>
            <w:pPr>
              <w:pStyle w:val="Other10"/>
              <w:keepNext w:val="0"/>
              <w:keepLines w:val="0"/>
              <w:widowControl w:val="0"/>
              <w:shd w:val="clear" w:color="auto" w:fill="auto"/>
              <w:bidi w:val="0"/>
              <w:spacing w:before="0" w:after="0" w:line="240" w:lineRule="auto"/>
              <w:ind w:left="0" w:right="0" w:firstLine="300"/>
              <w:jc w:val="left"/>
              <w:rPr>
                <w:sz w:val="18"/>
                <w:szCs w:val="18"/>
              </w:rPr>
            </w:pPr>
            <w:r>
              <w:rPr>
                <w:color w:val="000000"/>
                <w:spacing w:val="0"/>
                <w:w w:val="100"/>
                <w:position w:val="0"/>
                <w:sz w:val="18"/>
                <w:szCs w:val="18"/>
              </w:rPr>
              <w:t>按每条生产线</w:t>
            </w:r>
          </w:p>
        </w:tc>
        <w:tc>
          <w:tcPr>
            <w:tcW w:w="136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10000</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14000</w:t>
            </w:r>
          </w:p>
        </w:tc>
        <w:tc>
          <w:tcPr>
            <w:tcW w:w="11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3000</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5500</w:t>
            </w:r>
          </w:p>
        </w:tc>
        <w:tc>
          <w:tcPr>
            <w:tcW w:w="105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300—500</w:t>
            </w:r>
          </w:p>
        </w:tc>
        <w:tc>
          <w:tcPr>
            <w:tcW w:w="100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100</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180</w:t>
            </w:r>
          </w:p>
        </w:tc>
        <w:tc>
          <w:tcPr>
            <w:tcW w:w="92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500—750</w:t>
            </w:r>
          </w:p>
        </w:tc>
      </w:tr>
      <w:tr>
        <w:tblPrEx>
          <w:jc w:val="center"/>
          <w:tblLayout w:type="fixed"/>
          <w:tblCellMar>
            <w:top w:w="0" w:type="dxa"/>
            <w:left w:w="10" w:type="dxa"/>
            <w:bottom w:w="0" w:type="dxa"/>
            <w:right w:w="10" w:type="dxa"/>
          </w:tblCellMar>
        </w:tblPrEx>
        <w:trPr>
          <w:trHeight w:hRule="exact" w:val="634"/>
          <w:jc w:val="center"/>
        </w:trPr>
        <w:tc>
          <w:tcPr>
            <w:tcW w:w="193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36" w:lineRule="exact"/>
              <w:ind w:left="0" w:right="0" w:firstLine="0"/>
              <w:jc w:val="center"/>
              <w:rPr>
                <w:sz w:val="18"/>
                <w:szCs w:val="18"/>
              </w:rPr>
            </w:pPr>
            <w:r>
              <w:rPr>
                <w:color w:val="000000"/>
                <w:spacing w:val="0"/>
                <w:w w:val="100"/>
                <w:position w:val="0"/>
                <w:sz w:val="18"/>
                <w:szCs w:val="18"/>
              </w:rPr>
              <w:t>湿法生产线</w:t>
            </w: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rPr>
              <w:t>废</w:t>
            </w:r>
            <w:r>
              <w:rPr>
                <w:color w:val="353A40"/>
                <w:spacing w:val="0"/>
                <w:w w:val="100"/>
                <w:position w:val="0"/>
                <w:sz w:val="18"/>
                <w:szCs w:val="18"/>
                <w:lang w:val="zh-CN" w:eastAsia="zh-CN" w:bidi="zh-CN"/>
              </w:rPr>
              <w:t xml:space="preserve">气淋. </w:t>
            </w:r>
            <w:r>
              <w:rPr>
                <w:color w:val="000000"/>
                <w:spacing w:val="0"/>
                <w:w w:val="100"/>
                <w:position w:val="0"/>
                <w:sz w:val="18"/>
                <w:szCs w:val="18"/>
              </w:rPr>
              <w:t>洗废水</w:t>
            </w:r>
          </w:p>
        </w:tc>
        <w:tc>
          <w:tcPr>
            <w:tcW w:w="182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26" w:lineRule="exact"/>
              <w:ind w:left="0" w:right="0" w:firstLine="0"/>
              <w:jc w:val="center"/>
              <w:rPr>
                <w:sz w:val="18"/>
                <w:szCs w:val="18"/>
              </w:rPr>
            </w:pPr>
            <w:r>
              <w:rPr>
                <w:rFonts w:ascii="Times New Roman" w:eastAsia="Times New Roman" w:hAnsi="Times New Roman" w:cs="Times New Roman"/>
                <w:color w:val="6D747C"/>
                <w:spacing w:val="0"/>
                <w:w w:val="100"/>
                <w:position w:val="0"/>
                <w:sz w:val="18"/>
                <w:szCs w:val="18"/>
                <w:lang w:val="en-US" w:eastAsia="en-US" w:bidi="en-US"/>
              </w:rPr>
              <w:t xml:space="preserve">1. </w:t>
            </w:r>
            <w:r>
              <w:rPr>
                <w:rFonts w:ascii="Times New Roman" w:eastAsia="Times New Roman" w:hAnsi="Times New Roman" w:cs="Times New Roman"/>
                <w:color w:val="000000"/>
                <w:spacing w:val="0"/>
                <w:w w:val="100"/>
                <w:position w:val="0"/>
                <w:sz w:val="18"/>
                <w:szCs w:val="18"/>
                <w:lang w:val="en-US" w:eastAsia="en-US" w:bidi="en-US"/>
              </w:rPr>
              <w:t>0m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sz w:val="18"/>
                <w:szCs w:val="18"/>
                <w:lang w:val="en-US" w:eastAsia="en-US" w:bidi="en-US"/>
              </w:rPr>
              <w:t xml:space="preserve"> /d^l. 2m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sz w:val="18"/>
                <w:szCs w:val="18"/>
                <w:lang w:val="en-US" w:eastAsia="en-US" w:bidi="en-US"/>
              </w:rPr>
              <w:t xml:space="preserve"> /d </w:t>
            </w:r>
            <w:r>
              <w:rPr>
                <w:color w:val="000000"/>
                <w:spacing w:val="0"/>
                <w:w w:val="100"/>
                <w:position w:val="0"/>
                <w:sz w:val="18"/>
                <w:szCs w:val="18"/>
              </w:rPr>
              <w:t>按每条生产线</w:t>
            </w:r>
          </w:p>
        </w:tc>
        <w:tc>
          <w:tcPr>
            <w:tcW w:w="136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180000—250000</w:t>
            </w:r>
          </w:p>
        </w:tc>
        <w:tc>
          <w:tcPr>
            <w:tcW w:w="11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pPr>
            <w:r>
              <w:rPr>
                <w:color w:val="000000"/>
                <w:spacing w:val="0"/>
                <w:w w:val="100"/>
                <w:position w:val="0"/>
              </w:rPr>
              <w:t>一</w:t>
            </w:r>
          </w:p>
        </w:tc>
        <w:tc>
          <w:tcPr>
            <w:tcW w:w="105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both"/>
            </w:pPr>
            <w:r>
              <w:rPr>
                <w:color w:val="000000"/>
                <w:spacing w:val="0"/>
                <w:w w:val="100"/>
                <w:position w:val="0"/>
              </w:rPr>
              <w:t>一</w:t>
            </w:r>
          </w:p>
        </w:tc>
        <w:tc>
          <w:tcPr>
            <w:tcW w:w="100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40"/>
              <w:jc w:val="both"/>
            </w:pPr>
            <w:r>
              <w:rPr>
                <w:color w:val="000000"/>
                <w:spacing w:val="0"/>
                <w:w w:val="100"/>
                <w:position w:val="0"/>
              </w:rPr>
              <w:t>一</w:t>
            </w:r>
          </w:p>
        </w:tc>
        <w:tc>
          <w:tcPr>
            <w:tcW w:w="92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120000</w:t>
            </w:r>
            <w:r>
              <w:rPr>
                <w:color w:val="000000"/>
                <w:spacing w:val="0"/>
                <w:w w:val="100"/>
                <w:position w:val="0"/>
                <w:sz w:val="18"/>
                <w:szCs w:val="18"/>
              </w:rPr>
              <w:t>〜</w:t>
            </w:r>
          </w:p>
          <w:p>
            <w:pPr>
              <w:pStyle w:val="Other10"/>
              <w:keepNext w:val="0"/>
              <w:keepLines w:val="0"/>
              <w:widowControl w:val="0"/>
              <w:shd w:val="clear" w:color="auto" w:fill="auto"/>
              <w:bidi w:val="0"/>
              <w:spacing w:before="0" w:after="0" w:line="240" w:lineRule="auto"/>
              <w:ind w:left="0" w:right="0" w:firstLine="160"/>
              <w:jc w:val="left"/>
              <w:rPr>
                <w:sz w:val="18"/>
                <w:szCs w:val="18"/>
              </w:rPr>
            </w:pPr>
            <w:r>
              <w:rPr>
                <w:rFonts w:ascii="Times New Roman" w:eastAsia="Times New Roman" w:hAnsi="Times New Roman" w:cs="Times New Roman"/>
                <w:color w:val="000000"/>
                <w:spacing w:val="0"/>
                <w:w w:val="100"/>
                <w:position w:val="0"/>
                <w:sz w:val="18"/>
                <w:szCs w:val="18"/>
              </w:rPr>
              <w:t>180000</w:t>
            </w:r>
          </w:p>
        </w:tc>
      </w:tr>
      <w:tr>
        <w:tblPrEx>
          <w:jc w:val="center"/>
          <w:tblLayout w:type="fixed"/>
          <w:tblCellMar>
            <w:top w:w="0" w:type="dxa"/>
            <w:left w:w="10" w:type="dxa"/>
            <w:bottom w:w="0" w:type="dxa"/>
            <w:right w:w="10" w:type="dxa"/>
          </w:tblCellMar>
        </w:tblPrEx>
        <w:trPr>
          <w:trHeight w:hRule="exact" w:val="634"/>
          <w:jc w:val="center"/>
        </w:trPr>
        <w:tc>
          <w:tcPr>
            <w:tcW w:w="193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36" w:lineRule="exact"/>
              <w:ind w:left="0" w:right="0" w:firstLine="0"/>
              <w:jc w:val="center"/>
              <w:rPr>
                <w:sz w:val="18"/>
                <w:szCs w:val="18"/>
              </w:rPr>
            </w:pPr>
            <w:r>
              <w:rPr>
                <w:color w:val="000000"/>
                <w:spacing w:val="0"/>
                <w:w w:val="100"/>
                <w:position w:val="0"/>
                <w:sz w:val="18"/>
                <w:szCs w:val="18"/>
              </w:rPr>
              <w:t>干法生产线</w:t>
            </w: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rPr>
              <w:t>废气淋 洗废水</w:t>
            </w:r>
          </w:p>
        </w:tc>
        <w:tc>
          <w:tcPr>
            <w:tcW w:w="182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20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10m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sz w:val="18"/>
                <w:szCs w:val="18"/>
                <w:lang w:val="en-US" w:eastAsia="en-US" w:bidi="en-US"/>
              </w:rPr>
              <w:t xml:space="preserve"> /d^ 12m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sz w:val="18"/>
                <w:szCs w:val="18"/>
                <w:lang w:val="en-US" w:eastAsia="en-US" w:bidi="en-US"/>
              </w:rPr>
              <w:t xml:space="preserve"> /d</w:t>
            </w:r>
          </w:p>
          <w:p>
            <w:pPr>
              <w:pStyle w:val="Other10"/>
              <w:keepNext w:val="0"/>
              <w:keepLines w:val="0"/>
              <w:widowControl w:val="0"/>
              <w:shd w:val="clear" w:color="auto" w:fill="auto"/>
              <w:bidi w:val="0"/>
              <w:spacing w:before="0" w:after="0" w:line="240" w:lineRule="auto"/>
              <w:ind w:left="0" w:right="0" w:firstLine="300"/>
              <w:jc w:val="left"/>
              <w:rPr>
                <w:sz w:val="18"/>
                <w:szCs w:val="18"/>
              </w:rPr>
            </w:pPr>
            <w:r>
              <w:rPr>
                <w:color w:val="000000"/>
                <w:spacing w:val="0"/>
                <w:w w:val="100"/>
                <w:position w:val="0"/>
                <w:sz w:val="18"/>
                <w:szCs w:val="18"/>
              </w:rPr>
              <w:t>按每条生产线</w:t>
            </w:r>
          </w:p>
        </w:tc>
        <w:tc>
          <w:tcPr>
            <w:tcW w:w="136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200000—300000</w:t>
            </w:r>
          </w:p>
        </w:tc>
        <w:tc>
          <w:tcPr>
            <w:tcW w:w="11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pPr>
            <w:r>
              <w:rPr>
                <w:color w:val="000000"/>
                <w:spacing w:val="0"/>
                <w:w w:val="100"/>
                <w:position w:val="0"/>
              </w:rPr>
              <w:t>一</w:t>
            </w:r>
          </w:p>
        </w:tc>
        <w:tc>
          <w:tcPr>
            <w:tcW w:w="105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both"/>
            </w:pPr>
            <w:r>
              <w:rPr>
                <w:color w:val="000000"/>
                <w:spacing w:val="0"/>
                <w:w w:val="100"/>
                <w:position w:val="0"/>
              </w:rPr>
              <w:t>一</w:t>
            </w:r>
          </w:p>
        </w:tc>
        <w:tc>
          <w:tcPr>
            <w:tcW w:w="100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40"/>
              <w:jc w:val="both"/>
            </w:pPr>
            <w:r>
              <w:rPr>
                <w:color w:val="000000"/>
                <w:spacing w:val="0"/>
                <w:w w:val="100"/>
                <w:position w:val="0"/>
              </w:rPr>
              <w:t>一</w:t>
            </w:r>
          </w:p>
        </w:tc>
        <w:tc>
          <w:tcPr>
            <w:tcW w:w="92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150000—</w:t>
            </w:r>
          </w:p>
          <w:p>
            <w:pPr>
              <w:pStyle w:val="Other10"/>
              <w:keepNext w:val="0"/>
              <w:keepLines w:val="0"/>
              <w:widowControl w:val="0"/>
              <w:shd w:val="clear" w:color="auto" w:fill="auto"/>
              <w:bidi w:val="0"/>
              <w:spacing w:before="0" w:after="0" w:line="240" w:lineRule="auto"/>
              <w:ind w:left="0" w:right="0" w:firstLine="160"/>
              <w:jc w:val="left"/>
              <w:rPr>
                <w:sz w:val="18"/>
                <w:szCs w:val="18"/>
              </w:rPr>
            </w:pPr>
            <w:r>
              <w:rPr>
                <w:rFonts w:ascii="Times New Roman" w:eastAsia="Times New Roman" w:hAnsi="Times New Roman" w:cs="Times New Roman"/>
                <w:color w:val="000000"/>
                <w:spacing w:val="0"/>
                <w:w w:val="100"/>
                <w:position w:val="0"/>
                <w:sz w:val="18"/>
                <w:szCs w:val="18"/>
              </w:rPr>
              <w:t>200000</w:t>
            </w:r>
          </w:p>
        </w:tc>
      </w:tr>
      <w:tr>
        <w:tblPrEx>
          <w:jc w:val="center"/>
          <w:tblLayout w:type="fixed"/>
          <w:tblCellMar>
            <w:top w:w="0" w:type="dxa"/>
            <w:left w:w="10" w:type="dxa"/>
            <w:bottom w:w="0" w:type="dxa"/>
            <w:right w:w="10" w:type="dxa"/>
          </w:tblCellMar>
        </w:tblPrEx>
        <w:trPr>
          <w:trHeight w:hRule="exact" w:val="634"/>
          <w:jc w:val="center"/>
        </w:trPr>
        <w:tc>
          <w:tcPr>
            <w:tcW w:w="193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8"/>
                <w:szCs w:val="18"/>
              </w:rPr>
              <w:t>后处理湿揉工艺废水</w:t>
            </w:r>
          </w:p>
        </w:tc>
        <w:tc>
          <w:tcPr>
            <w:tcW w:w="1829"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26" w:lineRule="exact"/>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35m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sz w:val="18"/>
                <w:szCs w:val="18"/>
                <w:lang w:val="en-US" w:eastAsia="en-US" w:bidi="en-US"/>
              </w:rPr>
              <w:t xml:space="preserve"> /d^ 50m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sz w:val="18"/>
                <w:szCs w:val="18"/>
                <w:lang w:val="en-US" w:eastAsia="en-US" w:bidi="en-US"/>
              </w:rPr>
              <w:t xml:space="preserve"> /d </w:t>
            </w:r>
            <w:r>
              <w:rPr>
                <w:color w:val="000000"/>
                <w:spacing w:val="0"/>
                <w:w w:val="100"/>
                <w:position w:val="0"/>
                <w:sz w:val="18"/>
                <w:szCs w:val="18"/>
              </w:rPr>
              <w:t>按每条生产线</w:t>
            </w:r>
          </w:p>
        </w:tc>
        <w:tc>
          <w:tcPr>
            <w:tcW w:w="136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8"/>
                <w:szCs w:val="18"/>
              </w:rPr>
            </w:pPr>
            <w:r>
              <w:rPr>
                <w:rFonts w:ascii="Times New Roman" w:eastAsia="Times New Roman" w:hAnsi="Times New Roman" w:cs="Times New Roman"/>
                <w:color w:val="353A40"/>
                <w:spacing w:val="0"/>
                <w:w w:val="100"/>
                <w:position w:val="0"/>
                <w:sz w:val="18"/>
                <w:szCs w:val="18"/>
                <w:lang w:val="en-US" w:eastAsia="en-US" w:bidi="en-US"/>
              </w:rPr>
              <w:t>800—1200</w:t>
            </w:r>
          </w:p>
        </w:tc>
        <w:tc>
          <w:tcPr>
            <w:tcW w:w="11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180—300</w:t>
            </w:r>
          </w:p>
        </w:tc>
        <w:tc>
          <w:tcPr>
            <w:tcW w:w="105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200</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300</w:t>
            </w:r>
          </w:p>
        </w:tc>
        <w:tc>
          <w:tcPr>
            <w:tcW w:w="100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8"/>
                <w:szCs w:val="18"/>
              </w:rPr>
            </w:pPr>
            <w:r>
              <w:rPr>
                <w:rFonts w:ascii="Times New Roman" w:eastAsia="Times New Roman" w:hAnsi="Times New Roman" w:cs="Times New Roman"/>
                <w:color w:val="000000"/>
                <w:spacing w:val="0"/>
                <w:w w:val="100"/>
                <w:position w:val="0"/>
                <w:sz w:val="18"/>
                <w:szCs w:val="18"/>
              </w:rPr>
              <w:t xml:space="preserve">25 </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45</w:t>
            </w:r>
          </w:p>
        </w:tc>
        <w:tc>
          <w:tcPr>
            <w:tcW w:w="92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both"/>
            </w:pPr>
            <w:r>
              <w:rPr>
                <w:color w:val="000000"/>
                <w:spacing w:val="0"/>
                <w:w w:val="100"/>
                <w:position w:val="0"/>
              </w:rPr>
              <w:t>一</w:t>
            </w:r>
          </w:p>
        </w:tc>
      </w:tr>
      <w:tr>
        <w:tblPrEx>
          <w:jc w:val="center"/>
          <w:tblLayout w:type="fixed"/>
          <w:tblCellMar>
            <w:top w:w="0" w:type="dxa"/>
            <w:left w:w="10" w:type="dxa"/>
            <w:bottom w:w="0" w:type="dxa"/>
            <w:right w:w="10" w:type="dxa"/>
          </w:tblCellMar>
        </w:tblPrEx>
        <w:trPr>
          <w:trHeight w:hRule="exact" w:val="322"/>
          <w:jc w:val="center"/>
        </w:trPr>
        <w:tc>
          <w:tcPr>
            <w:tcW w:w="193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rPr>
              <w:t>精增塔顶水</w:t>
            </w:r>
          </w:p>
        </w:tc>
        <w:tc>
          <w:tcPr>
            <w:tcW w:w="182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10m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sz w:val="18"/>
                <w:szCs w:val="18"/>
                <w:lang w:val="en-US" w:eastAsia="en-US" w:bidi="en-US"/>
              </w:rPr>
              <w:t xml:space="preserve"> /h^l5m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sz w:val="18"/>
                <w:szCs w:val="18"/>
                <w:lang w:val="en-US" w:eastAsia="en-US" w:bidi="en-US"/>
              </w:rPr>
              <w:t xml:space="preserve"> /h</w:t>
            </w:r>
          </w:p>
        </w:tc>
        <w:tc>
          <w:tcPr>
            <w:tcW w:w="136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8"/>
                <w:szCs w:val="18"/>
              </w:rPr>
            </w:pPr>
            <w:r>
              <w:rPr>
                <w:rFonts w:ascii="Times New Roman" w:eastAsia="Times New Roman" w:hAnsi="Times New Roman" w:cs="Times New Roman"/>
                <w:color w:val="000000"/>
                <w:spacing w:val="0"/>
                <w:w w:val="100"/>
                <w:position w:val="0"/>
                <w:sz w:val="18"/>
                <w:szCs w:val="18"/>
              </w:rPr>
              <w:t>1000</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2000</w:t>
            </w:r>
          </w:p>
        </w:tc>
        <w:tc>
          <w:tcPr>
            <w:tcW w:w="11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8"/>
                <w:szCs w:val="18"/>
              </w:rPr>
            </w:pPr>
            <w:r>
              <w:rPr>
                <w:rFonts w:ascii="Times New Roman" w:eastAsia="Times New Roman" w:hAnsi="Times New Roman" w:cs="Times New Roman"/>
                <w:color w:val="353A40"/>
                <w:spacing w:val="0"/>
                <w:w w:val="100"/>
                <w:position w:val="0"/>
                <w:sz w:val="18"/>
                <w:szCs w:val="18"/>
              </w:rPr>
              <w:t>300</w:t>
            </w:r>
            <w:r>
              <w:rPr>
                <w:color w:val="353A40"/>
                <w:spacing w:val="0"/>
                <w:w w:val="100"/>
                <w:position w:val="0"/>
                <w:sz w:val="18"/>
                <w:szCs w:val="18"/>
              </w:rPr>
              <w:t>〜</w:t>
            </w:r>
            <w:r>
              <w:rPr>
                <w:rFonts w:ascii="Times New Roman" w:eastAsia="Times New Roman" w:hAnsi="Times New Roman" w:cs="Times New Roman"/>
                <w:color w:val="000000"/>
                <w:spacing w:val="0"/>
                <w:w w:val="100"/>
                <w:position w:val="0"/>
                <w:sz w:val="18"/>
                <w:szCs w:val="18"/>
              </w:rPr>
              <w:t>500</w:t>
            </w:r>
          </w:p>
        </w:tc>
        <w:tc>
          <w:tcPr>
            <w:tcW w:w="105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both"/>
            </w:pPr>
            <w:r>
              <w:rPr>
                <w:color w:val="000000"/>
                <w:spacing w:val="0"/>
                <w:w w:val="100"/>
                <w:position w:val="0"/>
              </w:rPr>
              <w:t>一</w:t>
            </w:r>
          </w:p>
        </w:tc>
        <w:tc>
          <w:tcPr>
            <w:tcW w:w="100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 xml:space="preserve">80 </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120</w:t>
            </w:r>
          </w:p>
        </w:tc>
        <w:tc>
          <w:tcPr>
            <w:tcW w:w="92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both"/>
            </w:pPr>
            <w:r>
              <w:rPr>
                <w:color w:val="000000"/>
                <w:spacing w:val="0"/>
                <w:w w:val="100"/>
                <w:position w:val="0"/>
              </w:rPr>
              <w:t>一</w:t>
            </w:r>
          </w:p>
        </w:tc>
      </w:tr>
      <w:tr>
        <w:tblPrEx>
          <w:jc w:val="center"/>
          <w:tblLayout w:type="fixed"/>
          <w:tblCellMar>
            <w:top w:w="0" w:type="dxa"/>
            <w:left w:w="10" w:type="dxa"/>
            <w:bottom w:w="0" w:type="dxa"/>
            <w:right w:w="10" w:type="dxa"/>
          </w:tblCellMar>
        </w:tblPrEx>
        <w:trPr>
          <w:trHeight w:hRule="exact" w:val="634"/>
          <w:jc w:val="center"/>
        </w:trPr>
        <w:tc>
          <w:tcPr>
            <w:tcW w:w="193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rPr>
              <w:t>精馅真空泵岀水</w:t>
            </w:r>
          </w:p>
        </w:tc>
        <w:tc>
          <w:tcPr>
            <w:tcW w:w="1829"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31" w:lineRule="exact"/>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40m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sz w:val="18"/>
                <w:szCs w:val="18"/>
                <w:lang w:val="en-US" w:eastAsia="en-US" w:bidi="en-US"/>
              </w:rPr>
              <w:t xml:space="preserve"> </w:t>
            </w:r>
            <w:r>
              <w:rPr>
                <w:color w:val="000000"/>
                <w:spacing w:val="0"/>
                <w:w w:val="100"/>
                <w:position w:val="0"/>
                <w:sz w:val="18"/>
                <w:szCs w:val="18"/>
              </w:rPr>
              <w:t>/次〜</w:t>
            </w:r>
            <w:r>
              <w:rPr>
                <w:rFonts w:ascii="Times New Roman" w:eastAsia="Times New Roman" w:hAnsi="Times New Roman" w:cs="Times New Roman"/>
                <w:color w:val="000000"/>
                <w:spacing w:val="0"/>
                <w:w w:val="100"/>
                <w:position w:val="0"/>
                <w:sz w:val="18"/>
                <w:szCs w:val="18"/>
                <w:lang w:val="en-US" w:eastAsia="en-US" w:bidi="en-US"/>
              </w:rPr>
              <w:t xml:space="preserve">50m3 / </w:t>
            </w:r>
            <w:r>
              <w:rPr>
                <w:color w:val="000000"/>
                <w:spacing w:val="0"/>
                <w:w w:val="100"/>
                <w:position w:val="0"/>
                <w:sz w:val="18"/>
                <w:szCs w:val="18"/>
              </w:rPr>
              <w:t>次 按</w:t>
            </w:r>
            <w:r>
              <w:rPr>
                <w:rFonts w:ascii="Times New Roman" w:eastAsia="Times New Roman" w:hAnsi="Times New Roman" w:cs="Times New Roman"/>
                <w:color w:val="000000"/>
                <w:spacing w:val="0"/>
                <w:w w:val="100"/>
                <w:position w:val="0"/>
                <w:sz w:val="18"/>
                <w:szCs w:val="18"/>
                <w:lang w:val="en-US" w:eastAsia="en-US" w:bidi="en-US"/>
              </w:rPr>
              <w:t>10</w:t>
            </w:r>
            <w:r>
              <w:rPr>
                <w:color w:val="000000"/>
                <w:spacing w:val="0"/>
                <w:w w:val="100"/>
                <w:position w:val="0"/>
                <w:sz w:val="18"/>
                <w:szCs w:val="18"/>
              </w:rPr>
              <w:t>天一次</w:t>
            </w:r>
          </w:p>
        </w:tc>
        <w:tc>
          <w:tcPr>
            <w:tcW w:w="136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80000</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150000</w:t>
            </w:r>
          </w:p>
        </w:tc>
        <w:tc>
          <w:tcPr>
            <w:tcW w:w="1162" w:type="dxa"/>
            <w:tcBorders>
              <w:top w:val="single" w:sz="4" w:space="0" w:color="auto"/>
              <w:left w:val="single" w:sz="4" w:space="0" w:color="auto"/>
            </w:tcBorders>
            <w:shd w:val="clear" w:color="auto" w:fill="FFFFFF"/>
            <w:vAlign w:val="top"/>
          </w:tcPr>
          <w:p>
            <w:pPr>
              <w:widowControl w:val="0"/>
              <w:rPr>
                <w:sz w:val="10"/>
                <w:szCs w:val="10"/>
              </w:rPr>
            </w:pPr>
          </w:p>
        </w:tc>
        <w:tc>
          <w:tcPr>
            <w:tcW w:w="105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460" w:firstLine="0"/>
              <w:jc w:val="right"/>
            </w:pPr>
            <w:r>
              <w:rPr>
                <w:color w:val="000000"/>
                <w:spacing w:val="0"/>
                <w:w w:val="100"/>
                <w:position w:val="0"/>
                <w:lang w:val="en-US" w:eastAsia="en-US" w:bidi="en-US"/>
              </w:rPr>
              <w:t>.</w:t>
            </w:r>
            <w:r>
              <w:rPr>
                <w:color w:val="000000"/>
                <w:spacing w:val="0"/>
                <w:w w:val="100"/>
                <w:position w:val="0"/>
              </w:rPr>
              <w:t>—</w:t>
            </w:r>
          </w:p>
        </w:tc>
        <w:tc>
          <w:tcPr>
            <w:tcW w:w="1003"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40"/>
              <w:jc w:val="both"/>
            </w:pPr>
            <w:r>
              <w:rPr>
                <w:color w:val="000000"/>
                <w:spacing w:val="0"/>
                <w:w w:val="100"/>
                <w:position w:val="0"/>
              </w:rPr>
              <w:t>一</w:t>
            </w:r>
          </w:p>
        </w:tc>
        <w:tc>
          <w:tcPr>
            <w:tcW w:w="92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100" w:line="240" w:lineRule="auto"/>
              <w:ind w:left="0" w:right="140" w:firstLine="0"/>
              <w:jc w:val="right"/>
              <w:rPr>
                <w:sz w:val="18"/>
                <w:szCs w:val="18"/>
              </w:rPr>
            </w:pPr>
            <w:r>
              <w:rPr>
                <w:rFonts w:ascii="Times New Roman" w:eastAsia="Times New Roman" w:hAnsi="Times New Roman" w:cs="Times New Roman"/>
                <w:color w:val="000000"/>
                <w:spacing w:val="0"/>
                <w:w w:val="100"/>
                <w:position w:val="0"/>
                <w:sz w:val="18"/>
                <w:szCs w:val="18"/>
              </w:rPr>
              <w:t>50000</w:t>
            </w:r>
            <w:r>
              <w:rPr>
                <w:color w:val="000000"/>
                <w:spacing w:val="0"/>
                <w:w w:val="100"/>
                <w:position w:val="0"/>
                <w:sz w:val="18"/>
                <w:szCs w:val="18"/>
              </w:rPr>
              <w:t>〜</w:t>
            </w:r>
          </w:p>
          <w:p>
            <w:pPr>
              <w:pStyle w:val="Other10"/>
              <w:keepNext w:val="0"/>
              <w:keepLines w:val="0"/>
              <w:widowControl w:val="0"/>
              <w:shd w:val="clear" w:color="auto" w:fill="auto"/>
              <w:bidi w:val="0"/>
              <w:spacing w:before="0" w:after="0" w:line="240" w:lineRule="auto"/>
              <w:ind w:left="0" w:right="0" w:firstLine="160"/>
              <w:jc w:val="left"/>
              <w:rPr>
                <w:sz w:val="18"/>
                <w:szCs w:val="18"/>
              </w:rPr>
            </w:pPr>
            <w:r>
              <w:rPr>
                <w:rFonts w:ascii="Times New Roman" w:eastAsia="Times New Roman" w:hAnsi="Times New Roman" w:cs="Times New Roman"/>
                <w:color w:val="000000"/>
                <w:spacing w:val="0"/>
                <w:w w:val="100"/>
                <w:position w:val="0"/>
                <w:sz w:val="18"/>
                <w:szCs w:val="18"/>
              </w:rPr>
              <w:t>100000</w:t>
            </w:r>
          </w:p>
        </w:tc>
      </w:tr>
      <w:tr>
        <w:tblPrEx>
          <w:jc w:val="center"/>
          <w:tblLayout w:type="fixed"/>
          <w:tblCellMar>
            <w:top w:w="0" w:type="dxa"/>
            <w:left w:w="10" w:type="dxa"/>
            <w:bottom w:w="0" w:type="dxa"/>
            <w:right w:w="10" w:type="dxa"/>
          </w:tblCellMar>
        </w:tblPrEx>
        <w:trPr>
          <w:trHeight w:hRule="exact" w:val="643"/>
          <w:jc w:val="center"/>
        </w:trPr>
        <w:tc>
          <w:tcPr>
            <w:tcW w:w="1934"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10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rPr>
              <w:t>精馅塔、精馅釜清洗</w:t>
            </w:r>
          </w:p>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废水</w:t>
            </w:r>
          </w:p>
        </w:tc>
        <w:tc>
          <w:tcPr>
            <w:tcW w:w="1829"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322" w:lineRule="exact"/>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25m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sz w:val="18"/>
                <w:szCs w:val="18"/>
                <w:lang w:val="en-US" w:eastAsia="en-US" w:bidi="en-US"/>
              </w:rPr>
              <w:t xml:space="preserve"> </w:t>
            </w:r>
            <w:r>
              <w:rPr>
                <w:color w:val="000000"/>
                <w:spacing w:val="0"/>
                <w:w w:val="100"/>
                <w:position w:val="0"/>
                <w:sz w:val="18"/>
                <w:szCs w:val="18"/>
              </w:rPr>
              <w:t>/次〜如旅/次 按</w:t>
            </w:r>
            <w:r>
              <w:rPr>
                <w:rFonts w:ascii="Times New Roman" w:eastAsia="Times New Roman" w:hAnsi="Times New Roman" w:cs="Times New Roman"/>
                <w:color w:val="000000"/>
                <w:spacing w:val="0"/>
                <w:w w:val="100"/>
                <w:position w:val="0"/>
                <w:sz w:val="18"/>
                <w:szCs w:val="18"/>
              </w:rPr>
              <w:t>10</w:t>
            </w:r>
            <w:r>
              <w:rPr>
                <w:color w:val="000000"/>
                <w:spacing w:val="0"/>
                <w:w w:val="100"/>
                <w:position w:val="0"/>
                <w:sz w:val="18"/>
                <w:szCs w:val="18"/>
              </w:rPr>
              <w:t>天一次</w:t>
            </w:r>
          </w:p>
        </w:tc>
        <w:tc>
          <w:tcPr>
            <w:tcW w:w="1368"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16000</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25000</w:t>
            </w:r>
          </w:p>
        </w:tc>
        <w:tc>
          <w:tcPr>
            <w:tcW w:w="11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5600</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9000</w:t>
            </w:r>
          </w:p>
        </w:tc>
        <w:tc>
          <w:tcPr>
            <w:tcW w:w="105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353A40"/>
                <w:spacing w:val="0"/>
                <w:w w:val="100"/>
                <w:position w:val="0"/>
                <w:sz w:val="18"/>
                <w:szCs w:val="18"/>
                <w:lang w:val="en-US" w:eastAsia="en-US" w:bidi="en-US"/>
              </w:rPr>
              <w:t>1500—2000</w:t>
            </w:r>
          </w:p>
        </w:tc>
        <w:tc>
          <w:tcPr>
            <w:tcW w:w="1003"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600—1000</w:t>
            </w:r>
          </w:p>
        </w:tc>
        <w:tc>
          <w:tcPr>
            <w:tcW w:w="922" w:type="dxa"/>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10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 xml:space="preserve">2500 </w:t>
            </w:r>
            <w:r>
              <w:rPr>
                <w:color w:val="000000"/>
                <w:spacing w:val="0"/>
                <w:w w:val="100"/>
                <w:position w:val="0"/>
                <w:sz w:val="18"/>
                <w:szCs w:val="18"/>
              </w:rPr>
              <w:t>〜</w:t>
            </w:r>
          </w:p>
          <w:p>
            <w:pPr>
              <w:pStyle w:val="Other10"/>
              <w:keepNext w:val="0"/>
              <w:keepLines w:val="0"/>
              <w:widowControl w:val="0"/>
              <w:shd w:val="clear" w:color="auto" w:fill="auto"/>
              <w:bidi w:val="0"/>
              <w:spacing w:before="0" w:after="0" w:line="240" w:lineRule="auto"/>
              <w:ind w:left="0" w:right="240" w:firstLine="0"/>
              <w:jc w:val="right"/>
              <w:rPr>
                <w:sz w:val="18"/>
                <w:szCs w:val="18"/>
              </w:rPr>
            </w:pPr>
            <w:r>
              <w:rPr>
                <w:rFonts w:ascii="Times New Roman" w:eastAsia="Times New Roman" w:hAnsi="Times New Roman" w:cs="Times New Roman"/>
                <w:color w:val="000000"/>
                <w:spacing w:val="0"/>
                <w:w w:val="100"/>
                <w:position w:val="0"/>
                <w:sz w:val="18"/>
                <w:szCs w:val="18"/>
              </w:rPr>
              <w:t>3500</w:t>
            </w:r>
          </w:p>
        </w:tc>
      </w:tr>
    </w:tbl>
    <w:p>
      <w:pPr>
        <w:widowControl w:val="0"/>
        <w:spacing w:after="179" w:line="1" w:lineRule="exact"/>
      </w:pPr>
    </w:p>
    <w:p>
      <w:pPr>
        <w:pStyle w:val="Bodytext10"/>
        <w:keepNext w:val="0"/>
        <w:keepLines w:val="0"/>
        <w:widowControl w:val="0"/>
        <w:shd w:val="clear" w:color="auto" w:fill="auto"/>
        <w:bidi w:val="0"/>
        <w:spacing w:before="0" w:after="18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4.2</w:t>
      </w:r>
      <w:r>
        <w:rPr>
          <w:b/>
          <w:bCs/>
          <w:color w:val="000000"/>
          <w:spacing w:val="0"/>
          <w:w w:val="100"/>
          <w:position w:val="0"/>
        </w:rPr>
        <w:t>废气污染物及污染负荷</w:t>
      </w:r>
    </w:p>
    <w:p>
      <w:pPr>
        <w:pStyle w:val="Bodytext10"/>
        <w:keepNext w:val="0"/>
        <w:keepLines w:val="0"/>
        <w:widowControl w:val="0"/>
        <w:shd w:val="clear" w:color="auto" w:fill="auto"/>
        <w:bidi w:val="0"/>
        <w:spacing w:before="0" w:after="180" w:line="307"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4.2.1</w:t>
      </w:r>
      <w:r>
        <w:rPr>
          <w:color w:val="000000"/>
          <w:spacing w:val="0"/>
          <w:w w:val="100"/>
          <w:position w:val="0"/>
        </w:rPr>
        <w:t>合成革与人造革工业废气包括配料、涂覆、烘干废气以及精馅塔废气等，产生废气的工艺或流 程（工序）见表3。</w:t>
      </w:r>
    </w:p>
    <w:p>
      <w:pPr>
        <w:pStyle w:val="Bodytext10"/>
        <w:keepNext w:val="0"/>
        <w:keepLines w:val="0"/>
        <w:widowControl w:val="0"/>
        <w:shd w:val="clear" w:color="auto" w:fill="auto"/>
        <w:bidi w:val="0"/>
        <w:spacing w:before="0" w:after="22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lang w:val="zh-CN" w:eastAsia="zh-CN" w:bidi="zh-CN"/>
        </w:rPr>
        <w:t>3</w:t>
      </w:r>
      <w:r>
        <w:rPr>
          <w:b/>
          <w:bCs/>
          <w:color w:val="000000"/>
          <w:spacing w:val="0"/>
          <w:w w:val="100"/>
          <w:position w:val="0"/>
        </w:rPr>
        <w:t>合成革与人造革工业废气产生来源和主要污染物</w:t>
      </w:r>
    </w:p>
    <w:tbl>
      <w:tblPr>
        <w:tblStyle w:val="TableNormal"/>
        <w:tblOverlap w:val="never"/>
        <w:jc w:val="center"/>
        <w:tblLayout w:type="fixed"/>
        <w:tblCellMar>
          <w:top w:w="0" w:type="dxa"/>
          <w:left w:w="10" w:type="dxa"/>
          <w:bottom w:w="0" w:type="dxa"/>
          <w:right w:w="10" w:type="dxa"/>
        </w:tblCellMar>
      </w:tblPr>
      <w:tblGrid>
        <w:gridCol w:w="1838"/>
        <w:gridCol w:w="3691"/>
        <w:gridCol w:w="3518"/>
      </w:tblGrid>
      <w:tr>
        <w:tblPrEx>
          <w:jc w:val="center"/>
          <w:tblLayout w:type="fixed"/>
          <w:tblCellMar>
            <w:top w:w="0" w:type="dxa"/>
            <w:left w:w="10" w:type="dxa"/>
            <w:bottom w:w="0" w:type="dxa"/>
            <w:right w:w="10" w:type="dxa"/>
          </w:tblCellMar>
        </w:tblPrEx>
        <w:trPr>
          <w:trHeight w:hRule="exact" w:val="326"/>
          <w:jc w:val="center"/>
        </w:trPr>
        <w:tc>
          <w:tcPr>
            <w:tcW w:w="1838"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类别</w:t>
            </w:r>
          </w:p>
        </w:tc>
        <w:tc>
          <w:tcPr>
            <w:tcW w:w="369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工艺或设施</w:t>
            </w:r>
          </w:p>
        </w:tc>
        <w:tc>
          <w:tcPr>
            <w:tcW w:w="3518"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主要污染物</w:t>
            </w:r>
          </w:p>
        </w:tc>
      </w:tr>
    </w:tbl>
    <w:p>
      <w:pPr>
        <w:sectPr>
          <w:headerReference w:type="even" r:id="rId29"/>
          <w:headerReference w:type="default" r:id="rId30"/>
          <w:footerReference w:type="even" r:id="rId31"/>
          <w:footerReference w:type="default" r:id="rId32"/>
          <w:pgSz w:w="11900" w:h="16840"/>
          <w:pgMar w:top="1581" w:right="1164" w:bottom="1191" w:left="1228" w:header="0" w:footer="3" w:gutter="0"/>
          <w:pgNumType w:start="5"/>
          <w:cols w:space="720"/>
          <w:noEndnote/>
          <w:rtlGutter w:val="0"/>
          <w:docGrid w:linePitch="360"/>
        </w:sectPr>
      </w:pPr>
    </w:p>
    <w:tbl>
      <w:tblPr>
        <w:tblStyle w:val="TableNormal"/>
        <w:tblOverlap w:val="never"/>
        <w:jc w:val="center"/>
        <w:tblLayout w:type="fixed"/>
        <w:tblCellMar>
          <w:top w:w="0" w:type="dxa"/>
          <w:left w:w="10" w:type="dxa"/>
          <w:bottom w:w="0" w:type="dxa"/>
          <w:right w:w="10" w:type="dxa"/>
        </w:tblCellMar>
      </w:tblPr>
      <w:tblGrid>
        <w:gridCol w:w="1838"/>
        <w:gridCol w:w="3691"/>
        <w:gridCol w:w="3518"/>
      </w:tblGrid>
      <w:tr>
        <w:tblPrEx>
          <w:jc w:val="center"/>
          <w:tblLayout w:type="fixed"/>
          <w:tblCellMar>
            <w:top w:w="0" w:type="dxa"/>
            <w:left w:w="10" w:type="dxa"/>
            <w:bottom w:w="0" w:type="dxa"/>
            <w:right w:w="10" w:type="dxa"/>
          </w:tblCellMar>
        </w:tblPrEx>
        <w:trPr>
          <w:trHeight w:hRule="exact" w:val="322"/>
          <w:jc w:val="center"/>
        </w:trPr>
        <w:tc>
          <w:tcPr>
            <w:tcW w:w="1838"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聚氯乙烯生产线</w:t>
            </w:r>
          </w:p>
        </w:tc>
        <w:tc>
          <w:tcPr>
            <w:tcW w:w="369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配料区域、涂覆区域、烘箱</w:t>
            </w:r>
          </w:p>
        </w:tc>
        <w:tc>
          <w:tcPr>
            <w:tcW w:w="3518"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98" w:lineRule="exact"/>
              <w:ind w:left="0" w:right="0" w:firstLine="0"/>
              <w:jc w:val="left"/>
              <w:rPr>
                <w:sz w:val="18"/>
                <w:szCs w:val="18"/>
              </w:rPr>
            </w:pPr>
            <w:r>
              <w:rPr>
                <w:color w:val="000000"/>
                <w:spacing w:val="0"/>
                <w:w w:val="100"/>
                <w:position w:val="0"/>
                <w:sz w:val="18"/>
                <w:szCs w:val="18"/>
              </w:rPr>
              <w:t>增塑剂烟雾（邻苯二甲酸二辛酯等）、氯乙 烯、挥发有机物</w:t>
            </w:r>
            <w:r>
              <w:rPr>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lang w:val="en-US" w:eastAsia="en-US" w:bidi="en-US"/>
              </w:rPr>
              <w:t>、</w:t>
            </w:r>
            <w:r>
              <w:rPr>
                <w:color w:val="000000"/>
                <w:spacing w:val="0"/>
                <w:w w:val="100"/>
                <w:position w:val="0"/>
                <w:sz w:val="18"/>
                <w:szCs w:val="18"/>
              </w:rPr>
              <w:t>甲苯、二甲苯等）</w:t>
            </w:r>
          </w:p>
        </w:tc>
      </w:tr>
      <w:tr>
        <w:tblPrEx>
          <w:jc w:val="center"/>
          <w:tblLayout w:type="fixed"/>
          <w:tblCellMar>
            <w:top w:w="0" w:type="dxa"/>
            <w:left w:w="10" w:type="dxa"/>
            <w:bottom w:w="0" w:type="dxa"/>
            <w:right w:w="10" w:type="dxa"/>
          </w:tblCellMar>
        </w:tblPrEx>
        <w:trPr>
          <w:trHeight w:hRule="exact" w:val="634"/>
          <w:jc w:val="center"/>
        </w:trPr>
        <w:tc>
          <w:tcPr>
            <w:tcW w:w="1838" w:type="dxa"/>
            <w:vMerge/>
            <w:tcBorders>
              <w:left w:val="single" w:sz="4" w:space="0" w:color="auto"/>
            </w:tcBorders>
            <w:shd w:val="clear" w:color="auto" w:fill="FFFFFF"/>
            <w:vAlign w:val="center"/>
          </w:tcPr>
          <w:p/>
        </w:tc>
        <w:tc>
          <w:tcPr>
            <w:tcW w:w="369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center"/>
              <w:rPr>
                <w:sz w:val="18"/>
                <w:szCs w:val="18"/>
              </w:rPr>
            </w:pPr>
            <w:r>
              <w:rPr>
                <w:color w:val="000000"/>
                <w:spacing w:val="0"/>
                <w:w w:val="100"/>
                <w:position w:val="0"/>
                <w:sz w:val="18"/>
                <w:szCs w:val="18"/>
              </w:rPr>
              <w:t>密炼机、开炼机、其他烘干装置涂覆区域和 烘箱之间的贴合、传输区域</w:t>
            </w:r>
          </w:p>
        </w:tc>
        <w:tc>
          <w:tcPr>
            <w:tcW w:w="3518"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322"/>
          <w:jc w:val="center"/>
        </w:trPr>
        <w:tc>
          <w:tcPr>
            <w:tcW w:w="1838"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聚氨酯干法工艺</w:t>
            </w:r>
          </w:p>
        </w:tc>
        <w:tc>
          <w:tcPr>
            <w:tcW w:w="369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配料区域、涂覆区域、烘箱</w:t>
            </w:r>
          </w:p>
        </w:tc>
        <w:tc>
          <w:tcPr>
            <w:tcW w:w="3518"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8"/>
                <w:szCs w:val="18"/>
              </w:rPr>
              <w:t>挥发有机物</w:t>
            </w:r>
            <w:r>
              <w:rPr>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lang w:val="en-US" w:eastAsia="en-US" w:bidi="en-US"/>
              </w:rPr>
              <w:t>、</w:t>
            </w:r>
            <w:r>
              <w:rPr>
                <w:color w:val="000000"/>
                <w:spacing w:val="0"/>
                <w:w w:val="100"/>
                <w:position w:val="0"/>
                <w:sz w:val="18"/>
                <w:szCs w:val="18"/>
              </w:rPr>
              <w:t>甲苯、二甲苯、丁酮等）</w:t>
            </w:r>
          </w:p>
        </w:tc>
      </w:tr>
      <w:tr>
        <w:tblPrEx>
          <w:jc w:val="center"/>
          <w:tblLayout w:type="fixed"/>
          <w:tblCellMar>
            <w:top w:w="0" w:type="dxa"/>
            <w:left w:w="10" w:type="dxa"/>
            <w:bottom w:w="0" w:type="dxa"/>
            <w:right w:w="10" w:type="dxa"/>
          </w:tblCellMar>
        </w:tblPrEx>
        <w:trPr>
          <w:trHeight w:hRule="exact" w:val="326"/>
          <w:jc w:val="center"/>
        </w:trPr>
        <w:tc>
          <w:tcPr>
            <w:tcW w:w="1838" w:type="dxa"/>
            <w:vMerge/>
            <w:tcBorders>
              <w:left w:val="single" w:sz="4" w:space="0" w:color="auto"/>
            </w:tcBorders>
            <w:shd w:val="clear" w:color="auto" w:fill="FFFFFF"/>
            <w:vAlign w:val="center"/>
          </w:tcPr>
          <w:p/>
        </w:tc>
        <w:tc>
          <w:tcPr>
            <w:tcW w:w="369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涂覆区域和烘箱之间的贴合、传输区域</w:t>
            </w:r>
          </w:p>
        </w:tc>
        <w:tc>
          <w:tcPr>
            <w:tcW w:w="3518"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317"/>
          <w:jc w:val="center"/>
        </w:trPr>
        <w:tc>
          <w:tcPr>
            <w:tcW w:w="1838"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聚氨酯湿法工艺</w:t>
            </w:r>
          </w:p>
        </w:tc>
        <w:tc>
          <w:tcPr>
            <w:tcW w:w="369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配料区域、涂覆区域</w:t>
            </w:r>
          </w:p>
        </w:tc>
        <w:tc>
          <w:tcPr>
            <w:tcW w:w="3518"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挥发有机物</w:t>
            </w:r>
            <w:r>
              <w:rPr>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DMF）</w:t>
            </w:r>
          </w:p>
        </w:tc>
      </w:tr>
      <w:tr>
        <w:tblPrEx>
          <w:jc w:val="center"/>
          <w:tblLayout w:type="fixed"/>
          <w:tblCellMar>
            <w:top w:w="0" w:type="dxa"/>
            <w:left w:w="10" w:type="dxa"/>
            <w:bottom w:w="0" w:type="dxa"/>
            <w:right w:w="10" w:type="dxa"/>
          </w:tblCellMar>
        </w:tblPrEx>
        <w:trPr>
          <w:trHeight w:hRule="exact" w:val="326"/>
          <w:jc w:val="center"/>
        </w:trPr>
        <w:tc>
          <w:tcPr>
            <w:tcW w:w="1838" w:type="dxa"/>
            <w:vMerge/>
            <w:tcBorders>
              <w:left w:val="single" w:sz="4" w:space="0" w:color="auto"/>
            </w:tcBorders>
            <w:shd w:val="clear" w:color="auto" w:fill="FFFFFF"/>
            <w:vAlign w:val="center"/>
          </w:tcPr>
          <w:p/>
        </w:tc>
        <w:tc>
          <w:tcPr>
            <w:tcW w:w="369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预含浸槽、含浸槽、凝固槽、水洗槽</w:t>
            </w:r>
          </w:p>
        </w:tc>
        <w:tc>
          <w:tcPr>
            <w:tcW w:w="3518"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挥发有机物</w:t>
            </w:r>
            <w:r>
              <w:rPr>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DMF）</w:t>
            </w:r>
          </w:p>
        </w:tc>
      </w:tr>
      <w:tr>
        <w:tblPrEx>
          <w:jc w:val="center"/>
          <w:tblLayout w:type="fixed"/>
          <w:tblCellMar>
            <w:top w:w="0" w:type="dxa"/>
            <w:left w:w="10" w:type="dxa"/>
            <w:bottom w:w="0" w:type="dxa"/>
            <w:right w:w="10" w:type="dxa"/>
          </w:tblCellMar>
        </w:tblPrEx>
        <w:trPr>
          <w:trHeight w:hRule="exact" w:val="322"/>
          <w:jc w:val="center"/>
        </w:trPr>
        <w:tc>
          <w:tcPr>
            <w:tcW w:w="1838" w:type="dxa"/>
            <w:vMerge/>
            <w:tcBorders>
              <w:left w:val="single" w:sz="4" w:space="0" w:color="auto"/>
            </w:tcBorders>
            <w:shd w:val="clear" w:color="auto" w:fill="FFFFFF"/>
            <w:vAlign w:val="center"/>
          </w:tcPr>
          <w:p/>
        </w:tc>
        <w:tc>
          <w:tcPr>
            <w:tcW w:w="369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烘箱、预含浸后烘干</w:t>
            </w:r>
          </w:p>
        </w:tc>
        <w:tc>
          <w:tcPr>
            <w:tcW w:w="3518"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挥发有机物</w:t>
            </w:r>
            <w:r>
              <w:rPr>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lang w:val="en-US" w:eastAsia="en-US" w:bidi="en-US"/>
              </w:rPr>
              <w:t>、</w:t>
            </w:r>
            <w:r>
              <w:rPr>
                <w:color w:val="000000"/>
                <w:spacing w:val="0"/>
                <w:w w:val="100"/>
                <w:position w:val="0"/>
                <w:sz w:val="18"/>
                <w:szCs w:val="18"/>
              </w:rPr>
              <w:t>油烟</w:t>
            </w:r>
          </w:p>
        </w:tc>
      </w:tr>
      <w:tr>
        <w:tblPrEx>
          <w:jc w:val="center"/>
          <w:tblLayout w:type="fixed"/>
          <w:tblCellMar>
            <w:top w:w="0" w:type="dxa"/>
            <w:left w:w="10" w:type="dxa"/>
            <w:bottom w:w="0" w:type="dxa"/>
            <w:right w:w="10" w:type="dxa"/>
          </w:tblCellMar>
        </w:tblPrEx>
        <w:trPr>
          <w:trHeight w:hRule="exact" w:val="322"/>
          <w:jc w:val="center"/>
        </w:trPr>
        <w:tc>
          <w:tcPr>
            <w:tcW w:w="1838"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后处理工艺</w:t>
            </w:r>
          </w:p>
        </w:tc>
        <w:tc>
          <w:tcPr>
            <w:tcW w:w="369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磨皮区域</w:t>
            </w:r>
          </w:p>
        </w:tc>
        <w:tc>
          <w:tcPr>
            <w:tcW w:w="3518"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粉尘</w:t>
            </w:r>
          </w:p>
        </w:tc>
      </w:tr>
      <w:tr>
        <w:tblPrEx>
          <w:jc w:val="center"/>
          <w:tblLayout w:type="fixed"/>
          <w:tblCellMar>
            <w:top w:w="0" w:type="dxa"/>
            <w:left w:w="10" w:type="dxa"/>
            <w:bottom w:w="0" w:type="dxa"/>
            <w:right w:w="10" w:type="dxa"/>
          </w:tblCellMar>
        </w:tblPrEx>
        <w:trPr>
          <w:trHeight w:hRule="exact" w:val="322"/>
          <w:jc w:val="center"/>
        </w:trPr>
        <w:tc>
          <w:tcPr>
            <w:tcW w:w="1838" w:type="dxa"/>
            <w:vMerge/>
            <w:tcBorders>
              <w:left w:val="single" w:sz="4" w:space="0" w:color="auto"/>
            </w:tcBorders>
            <w:shd w:val="clear" w:color="auto" w:fill="FFFFFF"/>
            <w:vAlign w:val="center"/>
          </w:tcPr>
          <w:p/>
        </w:tc>
        <w:tc>
          <w:tcPr>
            <w:tcW w:w="369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涂饰区域、印刷区域、烘箱</w:t>
            </w:r>
          </w:p>
        </w:tc>
        <w:tc>
          <w:tcPr>
            <w:tcW w:w="3518" w:type="dxa"/>
            <w:vMerge w:val="restart"/>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326" w:lineRule="exact"/>
              <w:ind w:left="0" w:right="0" w:firstLine="0"/>
              <w:jc w:val="center"/>
              <w:rPr>
                <w:sz w:val="18"/>
                <w:szCs w:val="18"/>
              </w:rPr>
            </w:pPr>
            <w:r>
              <w:rPr>
                <w:color w:val="000000"/>
                <w:spacing w:val="0"/>
                <w:w w:val="100"/>
                <w:position w:val="0"/>
                <w:sz w:val="18"/>
                <w:szCs w:val="18"/>
              </w:rPr>
              <w:t>挥发有机物</w:t>
            </w:r>
            <w:r>
              <w:rPr>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lang w:val="en-US" w:eastAsia="en-US" w:bidi="en-US"/>
              </w:rPr>
              <w:t>、</w:t>
            </w:r>
            <w:r>
              <w:rPr>
                <w:color w:val="000000"/>
                <w:spacing w:val="0"/>
                <w:w w:val="100"/>
                <w:position w:val="0"/>
                <w:sz w:val="18"/>
                <w:szCs w:val="18"/>
              </w:rPr>
              <w:t>甲苯、二甲苯、丁酮、 乙酸丁脂等）</w:t>
            </w:r>
          </w:p>
        </w:tc>
      </w:tr>
      <w:tr>
        <w:tblPrEx>
          <w:jc w:val="center"/>
          <w:tblLayout w:type="fixed"/>
          <w:tblCellMar>
            <w:top w:w="0" w:type="dxa"/>
            <w:left w:w="10" w:type="dxa"/>
            <w:bottom w:w="0" w:type="dxa"/>
            <w:right w:w="10" w:type="dxa"/>
          </w:tblCellMar>
        </w:tblPrEx>
        <w:trPr>
          <w:trHeight w:hRule="exact" w:val="322"/>
          <w:jc w:val="center"/>
        </w:trPr>
        <w:tc>
          <w:tcPr>
            <w:tcW w:w="1838" w:type="dxa"/>
            <w:vMerge/>
            <w:tcBorders>
              <w:left w:val="single" w:sz="4" w:space="0" w:color="auto"/>
            </w:tcBorders>
            <w:shd w:val="clear" w:color="auto" w:fill="FFFFFF"/>
            <w:vAlign w:val="center"/>
          </w:tcPr>
          <w:p/>
        </w:tc>
        <w:tc>
          <w:tcPr>
            <w:tcW w:w="369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涂饰印刷区域同烘箱之间的传输区域</w:t>
            </w:r>
          </w:p>
        </w:tc>
        <w:tc>
          <w:tcPr>
            <w:tcW w:w="3518" w:type="dxa"/>
            <w:vMerge/>
            <w:tcBorders>
              <w:left w:val="single" w:sz="4" w:space="0" w:color="auto"/>
              <w:right w:val="single" w:sz="4" w:space="0" w:color="auto"/>
            </w:tcBorders>
            <w:shd w:val="clear" w:color="auto" w:fill="FFFFFF"/>
            <w:vAlign w:val="top"/>
          </w:tcPr>
          <w:p/>
        </w:tc>
      </w:tr>
      <w:tr>
        <w:tblPrEx>
          <w:jc w:val="center"/>
          <w:tblLayout w:type="fixed"/>
          <w:tblCellMar>
            <w:top w:w="0" w:type="dxa"/>
            <w:left w:w="10" w:type="dxa"/>
            <w:bottom w:w="0" w:type="dxa"/>
            <w:right w:w="10" w:type="dxa"/>
          </w:tblCellMar>
        </w:tblPrEx>
        <w:trPr>
          <w:trHeight w:hRule="exact" w:val="322"/>
          <w:jc w:val="center"/>
        </w:trPr>
        <w:tc>
          <w:tcPr>
            <w:tcW w:w="1838"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rPr>
              <w:t>精馏回收</w:t>
            </w:r>
          </w:p>
        </w:tc>
        <w:tc>
          <w:tcPr>
            <w:tcW w:w="369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精馏塔真空泵尾气、脱胺塔尾气</w:t>
            </w:r>
          </w:p>
        </w:tc>
        <w:tc>
          <w:tcPr>
            <w:tcW w:w="3518"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挥发有机物</w:t>
            </w:r>
            <w:r>
              <w:rPr>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sz w:val="18"/>
                <w:szCs w:val="18"/>
                <w:lang w:val="en-US" w:eastAsia="en-US" w:bidi="en-US"/>
              </w:rPr>
              <w:t>、</w:t>
            </w:r>
            <w:r>
              <w:rPr>
                <w:color w:val="000000"/>
                <w:spacing w:val="0"/>
                <w:w w:val="100"/>
                <w:position w:val="0"/>
                <w:sz w:val="18"/>
                <w:szCs w:val="18"/>
              </w:rPr>
              <w:t>二甲胺等）</w:t>
            </w:r>
          </w:p>
        </w:tc>
      </w:tr>
      <w:tr>
        <w:tblPrEx>
          <w:jc w:val="center"/>
          <w:tblLayout w:type="fixed"/>
          <w:tblCellMar>
            <w:top w:w="0" w:type="dxa"/>
            <w:left w:w="10" w:type="dxa"/>
            <w:bottom w:w="0" w:type="dxa"/>
            <w:right w:w="10" w:type="dxa"/>
          </w:tblCellMar>
        </w:tblPrEx>
        <w:trPr>
          <w:trHeight w:hRule="exact" w:val="322"/>
          <w:jc w:val="center"/>
        </w:trPr>
        <w:tc>
          <w:tcPr>
            <w:tcW w:w="1838"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锅炉</w:t>
            </w:r>
          </w:p>
        </w:tc>
        <w:tc>
          <w:tcPr>
            <w:tcW w:w="369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锅炉废气</w:t>
            </w:r>
          </w:p>
        </w:tc>
        <w:tc>
          <w:tcPr>
            <w:tcW w:w="3518"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烟尘、</w:t>
            </w:r>
            <w:r>
              <w:rPr>
                <w:rFonts w:ascii="Times New Roman" w:eastAsia="Times New Roman" w:hAnsi="Times New Roman" w:cs="Times New Roman"/>
                <w:color w:val="000000"/>
                <w:spacing w:val="0"/>
                <w:w w:val="100"/>
                <w:position w:val="0"/>
                <w:sz w:val="18"/>
                <w:szCs w:val="18"/>
                <w:lang w:val="en-US" w:eastAsia="en-US" w:bidi="en-US"/>
              </w:rPr>
              <w:t>SQ</w:t>
            </w:r>
            <w:r>
              <w:rPr>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NQ</w:t>
            </w:r>
          </w:p>
        </w:tc>
      </w:tr>
      <w:tr>
        <w:tblPrEx>
          <w:jc w:val="center"/>
          <w:tblLayout w:type="fixed"/>
          <w:tblCellMar>
            <w:top w:w="0" w:type="dxa"/>
            <w:left w:w="10" w:type="dxa"/>
            <w:bottom w:w="0" w:type="dxa"/>
            <w:right w:w="10" w:type="dxa"/>
          </w:tblCellMar>
        </w:tblPrEx>
        <w:trPr>
          <w:trHeight w:hRule="exact" w:val="643"/>
          <w:jc w:val="center"/>
        </w:trPr>
        <w:tc>
          <w:tcPr>
            <w:tcW w:w="1838"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污水站</w:t>
            </w:r>
          </w:p>
        </w:tc>
        <w:tc>
          <w:tcPr>
            <w:tcW w:w="3691"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312" w:lineRule="exact"/>
              <w:ind w:left="0" w:right="0" w:firstLine="0"/>
              <w:jc w:val="center"/>
              <w:rPr>
                <w:sz w:val="18"/>
                <w:szCs w:val="18"/>
              </w:rPr>
            </w:pPr>
            <w:r>
              <w:rPr>
                <w:color w:val="000000"/>
                <w:spacing w:val="0"/>
                <w:w w:val="100"/>
                <w:position w:val="0"/>
                <w:sz w:val="18"/>
                <w:szCs w:val="18"/>
              </w:rPr>
              <w:t>格栅间、初沉池、调节池、厌氧池、曝气池、 污泥池和污泥脱水房</w:t>
            </w:r>
          </w:p>
        </w:tc>
        <w:tc>
          <w:tcPr>
            <w:tcW w:w="3518"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挥发有机物、恶臭（氨、硫化氢）等</w:t>
            </w:r>
          </w:p>
        </w:tc>
      </w:tr>
    </w:tbl>
    <w:p>
      <w:pPr>
        <w:widowControl w:val="0"/>
        <w:spacing w:after="259" w:line="1" w:lineRule="exact"/>
      </w:pPr>
    </w:p>
    <w:p>
      <w:pPr>
        <w:pStyle w:val="Bodytext10"/>
        <w:keepNext w:val="0"/>
        <w:keepLines w:val="0"/>
        <w:widowControl w:val="0"/>
        <w:numPr>
          <w:ilvl w:val="0"/>
          <w:numId w:val="5"/>
        </w:numPr>
        <w:shd w:val="clear" w:color="auto" w:fill="auto"/>
        <w:tabs>
          <w:tab w:val="left" w:pos="339"/>
        </w:tabs>
        <w:bidi w:val="0"/>
        <w:spacing w:before="0" w:after="220" w:line="312" w:lineRule="exact"/>
        <w:ind w:left="0" w:right="0" w:firstLine="0"/>
        <w:jc w:val="both"/>
      </w:pPr>
      <w:bookmarkStart w:id="21" w:name="bookmark21"/>
      <w:bookmarkEnd w:id="21"/>
      <w:r>
        <w:rPr>
          <w:rFonts w:ascii="Times New Roman" w:eastAsia="Times New Roman" w:hAnsi="Times New Roman" w:cs="Times New Roman"/>
          <w:color w:val="000000"/>
          <w:spacing w:val="0"/>
          <w:w w:val="100"/>
          <w:position w:val="0"/>
          <w:sz w:val="18"/>
          <w:szCs w:val="18"/>
          <w:lang w:val="en-US" w:eastAsia="en-US" w:bidi="en-US"/>
        </w:rPr>
        <w:t xml:space="preserve">2. </w:t>
      </w:r>
      <w:r>
        <w:rPr>
          <w:rFonts w:ascii="Times New Roman" w:eastAsia="Times New Roman" w:hAnsi="Times New Roman" w:cs="Times New Roman"/>
          <w:color w:val="000000"/>
          <w:spacing w:val="0"/>
          <w:w w:val="100"/>
          <w:position w:val="0"/>
          <w:sz w:val="18"/>
          <w:szCs w:val="18"/>
        </w:rPr>
        <w:t xml:space="preserve">2 </w:t>
      </w:r>
      <w:r>
        <w:rPr>
          <w:color w:val="000000"/>
          <w:spacing w:val="0"/>
          <w:w w:val="100"/>
          <w:position w:val="0"/>
        </w:rPr>
        <w:t>一般地，典型的合成革与人造革每条干法生产线废气收集量约</w:t>
      </w:r>
      <w:r>
        <w:rPr>
          <w:color w:val="000000"/>
          <w:spacing w:val="0"/>
          <w:w w:val="100"/>
          <w:position w:val="0"/>
          <w:lang w:val="en-US" w:eastAsia="en-US" w:bidi="en-US"/>
        </w:rPr>
        <w:t>50000m</w:t>
      </w:r>
      <w:r>
        <w:rPr>
          <w:color w:val="000000"/>
          <w:spacing w:val="0"/>
          <w:w w:val="100"/>
          <w:position w:val="0"/>
          <w:vertAlign w:val="superscript"/>
          <w:lang w:val="en-US" w:eastAsia="en-US" w:bidi="en-US"/>
        </w:rPr>
        <w:t>3</w:t>
      </w:r>
      <w:r>
        <w:rPr>
          <w:color w:val="000000"/>
          <w:spacing w:val="0"/>
          <w:w w:val="100"/>
          <w:position w:val="0"/>
          <w:lang w:val="en-US" w:eastAsia="en-US" w:bidi="en-US"/>
        </w:rPr>
        <w:t>/h,</w:t>
      </w:r>
      <w:r>
        <w:rPr>
          <w:color w:val="000000"/>
          <w:spacing w:val="0"/>
          <w:w w:val="100"/>
          <w:position w:val="0"/>
        </w:rPr>
        <w:t>废气中</w:t>
      </w:r>
      <w:r>
        <w:rPr>
          <w:color w:val="000000"/>
          <w:spacing w:val="0"/>
          <w:w w:val="100"/>
          <w:position w:val="0"/>
          <w:lang w:val="en-US" w:eastAsia="en-US" w:bidi="en-US"/>
        </w:rPr>
        <w:t>DMF</w:t>
      </w:r>
      <w:r>
        <w:rPr>
          <w:color w:val="000000"/>
          <w:spacing w:val="0"/>
          <w:w w:val="100"/>
          <w:position w:val="0"/>
        </w:rPr>
        <w:t>浓度范围 约</w:t>
      </w:r>
      <w:r>
        <w:rPr>
          <w:color w:val="000000"/>
          <w:spacing w:val="0"/>
          <w:w w:val="100"/>
          <w:position w:val="0"/>
          <w:lang w:val="en-US" w:eastAsia="en-US" w:bidi="en-US"/>
        </w:rPr>
        <w:t>200mg/m</w:t>
      </w:r>
      <w:r>
        <w:rPr>
          <w:color w:val="000000"/>
          <w:spacing w:val="0"/>
          <w:w w:val="100"/>
          <w:position w:val="0"/>
          <w:vertAlign w:val="superscript"/>
          <w:lang w:val="en-US" w:eastAsia="en-US" w:bidi="en-US"/>
        </w:rPr>
        <w:t>3</w:t>
      </w:r>
      <w:r>
        <w:rPr>
          <w:color w:val="000000"/>
          <w:spacing w:val="0"/>
          <w:w w:val="100"/>
          <w:position w:val="0"/>
          <w:lang w:val="en-US" w:eastAsia="en-US" w:bidi="en-US"/>
        </w:rPr>
        <w:t>~4000mg/m</w:t>
      </w:r>
      <w:r>
        <w:rPr>
          <w:color w:val="000000"/>
          <w:spacing w:val="0"/>
          <w:w w:val="100"/>
          <w:position w:val="0"/>
          <w:vertAlign w:val="superscript"/>
          <w:lang w:val="en-US" w:eastAsia="en-US" w:bidi="en-US"/>
        </w:rPr>
        <w:t>3</w:t>
      </w:r>
      <w:r>
        <w:rPr>
          <w:color w:val="000000"/>
          <w:spacing w:val="0"/>
          <w:w w:val="100"/>
          <w:position w:val="0"/>
          <w:lang w:val="en-US" w:eastAsia="en-US" w:bidi="en-US"/>
        </w:rPr>
        <w:t>；</w:t>
      </w:r>
      <w:r>
        <w:rPr>
          <w:color w:val="000000"/>
          <w:spacing w:val="0"/>
          <w:w w:val="100"/>
          <w:position w:val="0"/>
        </w:rPr>
        <w:t>每条湿法生产线废气收集量约</w:t>
      </w:r>
      <w:r>
        <w:rPr>
          <w:color w:val="000000"/>
          <w:spacing w:val="0"/>
          <w:w w:val="100"/>
          <w:position w:val="0"/>
          <w:lang w:val="en-US" w:eastAsia="en-US" w:bidi="en-US"/>
        </w:rPr>
        <w:t>25000m</w:t>
      </w:r>
      <w:r>
        <w:rPr>
          <w:color w:val="000000"/>
          <w:spacing w:val="0"/>
          <w:w w:val="100"/>
          <w:position w:val="0"/>
          <w:vertAlign w:val="superscript"/>
          <w:lang w:val="en-US" w:eastAsia="en-US" w:bidi="en-US"/>
        </w:rPr>
        <w:t>3</w:t>
      </w:r>
      <w:r>
        <w:rPr>
          <w:color w:val="000000"/>
          <w:spacing w:val="0"/>
          <w:w w:val="100"/>
          <w:position w:val="0"/>
          <w:lang w:val="en-US" w:eastAsia="en-US" w:bidi="en-US"/>
        </w:rPr>
        <w:t>/h,</w:t>
      </w:r>
      <w:r>
        <w:rPr>
          <w:color w:val="000000"/>
          <w:spacing w:val="0"/>
          <w:w w:val="100"/>
          <w:position w:val="0"/>
        </w:rPr>
        <w:t>废气中</w:t>
      </w:r>
      <w:r>
        <w:rPr>
          <w:color w:val="000000"/>
          <w:spacing w:val="0"/>
          <w:w w:val="100"/>
          <w:position w:val="0"/>
          <w:lang w:val="en-US" w:eastAsia="en-US" w:bidi="en-US"/>
        </w:rPr>
        <w:t>DMF</w:t>
      </w:r>
      <w:r>
        <w:rPr>
          <w:color w:val="000000"/>
          <w:spacing w:val="0"/>
          <w:w w:val="100"/>
          <w:position w:val="0"/>
        </w:rPr>
        <w:t>浓度范围约</w:t>
      </w:r>
      <w:r>
        <w:rPr>
          <w:color w:val="000000"/>
          <w:spacing w:val="0"/>
          <w:w w:val="100"/>
          <w:position w:val="0"/>
          <w:lang w:val="en-US" w:eastAsia="en-US" w:bidi="en-US"/>
        </w:rPr>
        <w:t>100mg/m</w:t>
      </w:r>
      <w:r>
        <w:rPr>
          <w:color w:val="000000"/>
          <w:spacing w:val="0"/>
          <w:w w:val="100"/>
          <w:position w:val="0"/>
          <w:vertAlign w:val="superscript"/>
          <w:lang w:val="en-US" w:eastAsia="en-US" w:bidi="en-US"/>
        </w:rPr>
        <w:t>3</w:t>
      </w:r>
      <w:r>
        <w:rPr>
          <w:color w:val="000000"/>
          <w:spacing w:val="0"/>
          <w:w w:val="100"/>
          <w:position w:val="0"/>
          <w:lang w:val="en-US" w:eastAsia="en-US" w:bidi="en-US"/>
        </w:rPr>
        <w:t>~ 500mg/m%</w:t>
      </w:r>
    </w:p>
    <w:p>
      <w:pPr>
        <w:pStyle w:val="Bodytext10"/>
        <w:keepNext w:val="0"/>
        <w:keepLines w:val="0"/>
        <w:widowControl w:val="0"/>
        <w:numPr>
          <w:ilvl w:val="0"/>
          <w:numId w:val="6"/>
        </w:numPr>
        <w:shd w:val="clear" w:color="auto" w:fill="auto"/>
        <w:tabs>
          <w:tab w:val="left" w:pos="339"/>
        </w:tabs>
        <w:bidi w:val="0"/>
        <w:spacing w:before="0" w:after="120" w:line="240" w:lineRule="auto"/>
        <w:ind w:left="0" w:right="0" w:firstLine="0"/>
        <w:jc w:val="both"/>
      </w:pPr>
      <w:bookmarkStart w:id="22" w:name="bookmark22"/>
      <w:bookmarkEnd w:id="22"/>
      <w:r>
        <w:rPr>
          <w:rFonts w:ascii="Times New Roman" w:eastAsia="Times New Roman" w:hAnsi="Times New Roman" w:cs="Times New Roman"/>
          <w:color w:val="000000"/>
          <w:spacing w:val="0"/>
          <w:w w:val="100"/>
          <w:position w:val="0"/>
          <w:sz w:val="18"/>
          <w:szCs w:val="18"/>
        </w:rPr>
        <w:t>3</w:t>
      </w:r>
      <w:r>
        <w:rPr>
          <w:b/>
          <w:bCs/>
          <w:color w:val="000000"/>
          <w:spacing w:val="0"/>
          <w:w w:val="100"/>
          <w:position w:val="0"/>
        </w:rPr>
        <w:t>固体废物</w:t>
      </w:r>
    </w:p>
    <w:p>
      <w:pPr>
        <w:pStyle w:val="Bodytext10"/>
        <w:keepNext w:val="0"/>
        <w:keepLines w:val="0"/>
        <w:widowControl w:val="0"/>
        <w:shd w:val="clear" w:color="auto" w:fill="auto"/>
        <w:bidi w:val="0"/>
        <w:spacing w:before="0" w:after="260" w:line="331" w:lineRule="exact"/>
        <w:ind w:left="0" w:right="0" w:firstLine="440"/>
        <w:jc w:val="both"/>
      </w:pPr>
      <w:r>
        <w:rPr>
          <w:color w:val="000000"/>
          <w:spacing w:val="0"/>
          <w:w w:val="100"/>
          <w:position w:val="0"/>
        </w:rPr>
        <w:t>主要包括</w:t>
      </w:r>
      <w:r>
        <w:rPr>
          <w:color w:val="000000"/>
          <w:spacing w:val="0"/>
          <w:w w:val="100"/>
          <w:position w:val="0"/>
          <w:lang w:val="en-US" w:eastAsia="en-US" w:bidi="en-US"/>
        </w:rPr>
        <w:t>DMF</w:t>
      </w:r>
      <w:r>
        <w:rPr>
          <w:color w:val="000000"/>
          <w:spacing w:val="0"/>
          <w:w w:val="100"/>
          <w:position w:val="0"/>
        </w:rPr>
        <w:t>废水精馅塔釜残渣、</w:t>
      </w:r>
      <w:r>
        <w:rPr>
          <w:color w:val="000000"/>
          <w:spacing w:val="0"/>
          <w:w w:val="100"/>
          <w:position w:val="0"/>
          <w:lang w:val="en-US" w:eastAsia="en-US" w:bidi="en-US"/>
        </w:rPr>
        <w:t>DMF</w:t>
      </w:r>
      <w:r>
        <w:rPr>
          <w:color w:val="000000"/>
          <w:spacing w:val="0"/>
          <w:w w:val="100"/>
          <w:position w:val="0"/>
        </w:rPr>
        <w:t>废水存储罐沉淀残渣、</w:t>
      </w:r>
      <w:r>
        <w:rPr>
          <w:color w:val="000000"/>
          <w:spacing w:val="0"/>
          <w:w w:val="100"/>
          <w:position w:val="0"/>
          <w:lang w:val="en-US" w:eastAsia="en-US" w:bidi="en-US"/>
        </w:rPr>
        <w:t>DMF</w:t>
      </w:r>
      <w:r>
        <w:rPr>
          <w:color w:val="000000"/>
          <w:spacing w:val="0"/>
          <w:w w:val="100"/>
          <w:position w:val="0"/>
        </w:rPr>
        <w:t>废水过滤渣、浆料废渣、污水处理 污泥、磨皮粉尘、颜料包装袋（桶）、皮革边角料、废离型纸、锅炉煤灰渣等。</w:t>
      </w:r>
    </w:p>
    <w:p>
      <w:pPr>
        <w:pStyle w:val="Bodytext20"/>
        <w:keepNext w:val="0"/>
        <w:keepLines w:val="0"/>
        <w:widowControl w:val="0"/>
        <w:shd w:val="clear" w:color="auto" w:fill="auto"/>
        <w:bidi w:val="0"/>
        <w:spacing w:before="0" w:after="12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4.</w:t>
      </w:r>
      <w:r>
        <w:rPr>
          <w:rFonts w:ascii="Times New Roman" w:eastAsia="Times New Roman" w:hAnsi="Times New Roman" w:cs="Times New Roman"/>
          <w:color w:val="000000"/>
          <w:spacing w:val="0"/>
          <w:w w:val="100"/>
          <w:position w:val="0"/>
          <w:sz w:val="18"/>
          <w:szCs w:val="18"/>
        </w:rPr>
        <w:t>4</w:t>
      </w:r>
      <w:r>
        <w:rPr>
          <w:rFonts w:ascii="SimSun" w:eastAsia="SimSun" w:hAnsi="SimSun" w:cs="SimSun"/>
          <w:b/>
          <w:bCs/>
          <w:color w:val="000000"/>
          <w:spacing w:val="0"/>
          <w:w w:val="100"/>
          <w:position w:val="0"/>
          <w:sz w:val="20"/>
          <w:szCs w:val="20"/>
        </w:rPr>
        <w:t>噪声</w:t>
      </w:r>
    </w:p>
    <w:p>
      <w:pPr>
        <w:pStyle w:val="Bodytext10"/>
        <w:keepNext w:val="0"/>
        <w:keepLines w:val="0"/>
        <w:widowControl w:val="0"/>
        <w:shd w:val="clear" w:color="auto" w:fill="auto"/>
        <w:bidi w:val="0"/>
        <w:spacing w:before="0" w:after="380" w:line="317" w:lineRule="exact"/>
        <w:ind w:left="0" w:right="0" w:firstLine="440"/>
        <w:jc w:val="both"/>
      </w:pPr>
      <w:r>
        <w:rPr>
          <w:color w:val="000000"/>
          <w:spacing w:val="0"/>
          <w:w w:val="100"/>
          <w:position w:val="0"/>
        </w:rPr>
        <w:t>噪声源主要有生产车</w:t>
      </w:r>
      <w:r>
        <w:rPr>
          <w:color w:val="353A40"/>
          <w:spacing w:val="0"/>
          <w:w w:val="100"/>
          <w:position w:val="0"/>
        </w:rPr>
        <w:t>间运转设备、锅炉</w:t>
      </w:r>
      <w:r>
        <w:rPr>
          <w:color w:val="000000"/>
          <w:spacing w:val="0"/>
          <w:w w:val="100"/>
          <w:position w:val="0"/>
        </w:rPr>
        <w:t>风机、循环水冷却塔、空压机、污水站鼓风机、</w:t>
      </w:r>
      <w:r>
        <w:rPr>
          <w:color w:val="000000"/>
          <w:spacing w:val="0"/>
          <w:w w:val="100"/>
          <w:position w:val="0"/>
          <w:lang w:val="en-US" w:eastAsia="en-US" w:bidi="en-US"/>
        </w:rPr>
        <w:t>DMF</w:t>
      </w:r>
      <w:r>
        <w:rPr>
          <w:color w:val="000000"/>
          <w:spacing w:val="0"/>
          <w:w w:val="100"/>
          <w:position w:val="0"/>
        </w:rPr>
        <w:t>回收系 统机泵、废气收集净化系统风机等。</w:t>
      </w:r>
    </w:p>
    <w:p>
      <w:pPr>
        <w:pStyle w:val="Bodytext10"/>
        <w:keepNext w:val="0"/>
        <w:keepLines w:val="0"/>
        <w:widowControl w:val="0"/>
        <w:shd w:val="clear" w:color="auto" w:fill="auto"/>
        <w:bidi w:val="0"/>
        <w:spacing w:before="0" w:after="380" w:line="240" w:lineRule="auto"/>
        <w:ind w:left="0" w:right="0" w:firstLine="0"/>
        <w:jc w:val="left"/>
      </w:pPr>
      <w:r>
        <w:rPr>
          <w:rFonts w:ascii="Times New Roman" w:eastAsia="Times New Roman" w:hAnsi="Times New Roman" w:cs="Times New Roman"/>
          <w:color w:val="000000"/>
          <w:spacing w:val="0"/>
          <w:w w:val="100"/>
          <w:position w:val="0"/>
          <w:sz w:val="18"/>
          <w:szCs w:val="18"/>
        </w:rPr>
        <w:t>5</w:t>
      </w:r>
      <w:r>
        <w:rPr>
          <w:b/>
          <w:bCs/>
          <w:color w:val="000000"/>
          <w:spacing w:val="0"/>
          <w:w w:val="100"/>
          <w:position w:val="0"/>
        </w:rPr>
        <w:t>总体要求</w:t>
      </w:r>
    </w:p>
    <w:p>
      <w:pPr>
        <w:pStyle w:val="Bodytext20"/>
        <w:keepNext w:val="0"/>
        <w:keepLines w:val="0"/>
        <w:widowControl w:val="0"/>
        <w:numPr>
          <w:ilvl w:val="0"/>
          <w:numId w:val="6"/>
        </w:numPr>
        <w:shd w:val="clear" w:color="auto" w:fill="auto"/>
        <w:tabs>
          <w:tab w:val="left" w:pos="339"/>
        </w:tabs>
        <w:bidi w:val="0"/>
        <w:spacing w:before="0" w:after="120" w:line="240" w:lineRule="auto"/>
        <w:ind w:left="0" w:right="0" w:firstLine="0"/>
        <w:jc w:val="left"/>
        <w:rPr>
          <w:sz w:val="20"/>
          <w:szCs w:val="20"/>
        </w:rPr>
      </w:pPr>
      <w:bookmarkStart w:id="23" w:name="bookmark23"/>
      <w:bookmarkEnd w:id="23"/>
      <w:r>
        <w:rPr>
          <w:rFonts w:ascii="Times New Roman" w:eastAsia="Times New Roman" w:hAnsi="Times New Roman" w:cs="Times New Roman"/>
          <w:color w:val="000000"/>
          <w:spacing w:val="0"/>
          <w:w w:val="100"/>
          <w:position w:val="0"/>
          <w:sz w:val="18"/>
          <w:szCs w:val="18"/>
        </w:rPr>
        <w:t xml:space="preserve">1 </w:t>
      </w:r>
      <w:r>
        <w:rPr>
          <w:rFonts w:ascii="SimSun" w:eastAsia="SimSun" w:hAnsi="SimSun" w:cs="SimSun"/>
          <w:b/>
          <w:bCs/>
          <w:color w:val="000000"/>
          <w:spacing w:val="0"/>
          <w:w w:val="100"/>
          <w:position w:val="0"/>
          <w:sz w:val="20"/>
          <w:szCs w:val="20"/>
        </w:rPr>
        <w:t>一般规定</w:t>
      </w:r>
    </w:p>
    <w:p>
      <w:pPr>
        <w:pStyle w:val="Bodytext10"/>
        <w:keepNext w:val="0"/>
        <w:keepLines w:val="0"/>
        <w:widowControl w:val="0"/>
        <w:numPr>
          <w:ilvl w:val="0"/>
          <w:numId w:val="5"/>
        </w:numPr>
        <w:shd w:val="clear" w:color="auto" w:fill="auto"/>
        <w:tabs>
          <w:tab w:val="left" w:pos="334"/>
        </w:tabs>
        <w:bidi w:val="0"/>
        <w:spacing w:before="0" w:after="0" w:line="326" w:lineRule="exact"/>
        <w:ind w:left="0" w:right="0" w:firstLine="0"/>
        <w:jc w:val="left"/>
      </w:pPr>
      <w:bookmarkStart w:id="24" w:name="bookmark24"/>
      <w:bookmarkEnd w:id="24"/>
      <w:r>
        <w:rPr>
          <w:rFonts w:ascii="Times New Roman" w:eastAsia="Times New Roman" w:hAnsi="Times New Roman" w:cs="Times New Roman"/>
          <w:color w:val="000000"/>
          <w:spacing w:val="0"/>
          <w:w w:val="100"/>
          <w:position w:val="0"/>
          <w:sz w:val="18"/>
          <w:szCs w:val="18"/>
          <w:lang w:val="en-US" w:eastAsia="en-US" w:bidi="en-US"/>
        </w:rPr>
        <w:t xml:space="preserve">1. </w:t>
      </w:r>
      <w:r>
        <w:rPr>
          <w:rFonts w:ascii="Times New Roman" w:eastAsia="Times New Roman" w:hAnsi="Times New Roman" w:cs="Times New Roman"/>
          <w:color w:val="000000"/>
          <w:spacing w:val="0"/>
          <w:w w:val="100"/>
          <w:position w:val="0"/>
          <w:sz w:val="18"/>
          <w:szCs w:val="18"/>
        </w:rPr>
        <w:t>1</w:t>
      </w:r>
      <w:r>
        <w:rPr>
          <w:color w:val="000000"/>
          <w:spacing w:val="0"/>
          <w:w w:val="100"/>
          <w:position w:val="0"/>
        </w:rPr>
        <w:t>合成革与人造革工业应按照</w:t>
      </w:r>
      <w:r>
        <w:rPr>
          <w:color w:val="000000"/>
          <w:spacing w:val="0"/>
          <w:w w:val="100"/>
          <w:position w:val="0"/>
          <w:lang w:val="en-US" w:eastAsia="en-US" w:bidi="en-US"/>
        </w:rPr>
        <w:t>HJ 449-</w:t>
      </w:r>
      <w:r>
        <w:rPr>
          <w:color w:val="000000"/>
          <w:spacing w:val="0"/>
          <w:w w:val="100"/>
          <w:position w:val="0"/>
        </w:rPr>
        <w:t xml:space="preserve">2008、闽环发（2012） </w:t>
      </w:r>
      <w:r>
        <w:rPr>
          <w:color w:val="353A40"/>
          <w:spacing w:val="0"/>
          <w:w w:val="100"/>
          <w:position w:val="0"/>
        </w:rPr>
        <w:t>29</w:t>
      </w:r>
      <w:r>
        <w:rPr>
          <w:color w:val="000000"/>
          <w:spacing w:val="0"/>
          <w:w w:val="100"/>
          <w:position w:val="0"/>
        </w:rPr>
        <w:t>号</w:t>
      </w:r>
      <w:r>
        <w:rPr>
          <w:color w:val="353A40"/>
          <w:spacing w:val="0"/>
          <w:w w:val="100"/>
          <w:position w:val="0"/>
        </w:rPr>
        <w:t>的要求</w:t>
      </w:r>
      <w:r>
        <w:rPr>
          <w:color w:val="000000"/>
          <w:spacing w:val="0"/>
          <w:w w:val="100"/>
          <w:position w:val="0"/>
        </w:rPr>
        <w:t>采用清洁生产技术，节 约能源，提高资源、能源利用率，降低污染负荷。</w:t>
      </w:r>
    </w:p>
    <w:p>
      <w:pPr>
        <w:pStyle w:val="Bodytext10"/>
        <w:keepNext w:val="0"/>
        <w:keepLines w:val="0"/>
        <w:widowControl w:val="0"/>
        <w:shd w:val="clear" w:color="auto" w:fill="auto"/>
        <w:bidi w:val="0"/>
        <w:spacing w:before="0" w:after="0" w:line="319"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5.1.2</w:t>
      </w:r>
      <w:r>
        <w:rPr>
          <w:color w:val="000000"/>
          <w:spacing w:val="0"/>
          <w:w w:val="100"/>
          <w:position w:val="0"/>
        </w:rPr>
        <w:t>合成革与人造革工业污染治理工程建设应符合环境影响评价批复文件的要求，</w:t>
      </w:r>
      <w:r>
        <w:rPr>
          <w:color w:val="353A40"/>
          <w:spacing w:val="0"/>
          <w:w w:val="100"/>
          <w:position w:val="0"/>
        </w:rPr>
        <w:t>遵循</w:t>
      </w:r>
      <w:r>
        <w:rPr>
          <w:color w:val="000000"/>
          <w:spacing w:val="0"/>
          <w:w w:val="100"/>
          <w:position w:val="0"/>
          <w:lang w:val="zh-CN" w:eastAsia="zh-CN" w:bidi="zh-CN"/>
        </w:rPr>
        <w:t>“三</w:t>
      </w:r>
      <w:r>
        <w:rPr>
          <w:color w:val="000000"/>
          <w:spacing w:val="0"/>
          <w:w w:val="100"/>
          <w:position w:val="0"/>
        </w:rPr>
        <w:t>同时” 制度，并以企业生产情况及总体规划为依据，统筹污染物分类处理和集中处理、现有工程和新（扩、改） 建工程的关系。</w:t>
      </w:r>
    </w:p>
    <w:p>
      <w:pPr>
        <w:pStyle w:val="Bodytext10"/>
        <w:keepNext w:val="0"/>
        <w:keepLines w:val="0"/>
        <w:widowControl w:val="0"/>
        <w:shd w:val="clear" w:color="auto" w:fill="auto"/>
        <w:bidi w:val="0"/>
        <w:spacing w:before="0" w:after="0" w:line="331"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5.1.3</w:t>
      </w:r>
      <w:r>
        <w:rPr>
          <w:color w:val="000000"/>
          <w:spacing w:val="0"/>
          <w:w w:val="100"/>
          <w:position w:val="0"/>
        </w:rPr>
        <w:t>新建、扩建合成革与人造革企业应进入设区市统一规划的集控区内，集中生产，污染集中治理。 合成革与人造革工业污染治理工程建设应符合《福建省合成革与人造革行业环境准入条件》的要求。</w:t>
      </w:r>
    </w:p>
    <w:p>
      <w:pPr>
        <w:pStyle w:val="Bodytext10"/>
        <w:keepNext w:val="0"/>
        <w:keepLines w:val="0"/>
        <w:widowControl w:val="0"/>
        <w:numPr>
          <w:ilvl w:val="0"/>
          <w:numId w:val="7"/>
        </w:numPr>
        <w:shd w:val="clear" w:color="auto" w:fill="auto"/>
        <w:tabs>
          <w:tab w:val="left" w:pos="334"/>
        </w:tabs>
        <w:bidi w:val="0"/>
        <w:spacing w:before="0" w:after="220" w:line="319" w:lineRule="exact"/>
        <w:ind w:left="0" w:right="0" w:firstLine="0"/>
        <w:jc w:val="left"/>
      </w:pPr>
      <w:bookmarkStart w:id="25" w:name="bookmark25"/>
      <w:bookmarkEnd w:id="25"/>
      <w:r>
        <w:rPr>
          <w:rFonts w:ascii="Times New Roman" w:eastAsia="Times New Roman" w:hAnsi="Times New Roman" w:cs="Times New Roman"/>
          <w:color w:val="000000"/>
          <w:spacing w:val="0"/>
          <w:w w:val="100"/>
          <w:position w:val="0"/>
          <w:sz w:val="18"/>
          <w:szCs w:val="18"/>
          <w:lang w:val="en-US" w:eastAsia="en-US" w:bidi="en-US"/>
        </w:rPr>
        <w:t>1.4</w:t>
      </w:r>
      <w:r>
        <w:rPr>
          <w:color w:val="000000"/>
          <w:spacing w:val="0"/>
          <w:w w:val="100"/>
          <w:position w:val="0"/>
        </w:rPr>
        <w:t>合成革与人造革工业污染治理工程排放的污染物应符合</w:t>
      </w:r>
      <w:r>
        <w:rPr>
          <w:color w:val="000000"/>
          <w:spacing w:val="0"/>
          <w:w w:val="100"/>
          <w:position w:val="0"/>
          <w:lang w:val="en-US" w:eastAsia="en-US" w:bidi="en-US"/>
        </w:rPr>
        <w:t xml:space="preserve">GB </w:t>
      </w:r>
      <w:r>
        <w:rPr>
          <w:color w:val="000000"/>
          <w:spacing w:val="0"/>
          <w:w w:val="100"/>
          <w:position w:val="0"/>
        </w:rPr>
        <w:t>21902要求。</w:t>
      </w:r>
    </w:p>
    <w:p>
      <w:pPr>
        <w:pStyle w:val="Bodytext10"/>
        <w:keepNext w:val="0"/>
        <w:keepLines w:val="0"/>
        <w:widowControl w:val="0"/>
        <w:shd w:val="clear" w:color="auto" w:fill="auto"/>
        <w:bidi w:val="0"/>
        <w:spacing w:before="0" w:after="0" w:line="316"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5.1.5</w:t>
      </w:r>
      <w:r>
        <w:rPr>
          <w:color w:val="000000"/>
          <w:spacing w:val="0"/>
          <w:w w:val="100"/>
          <w:position w:val="0"/>
        </w:rPr>
        <w:t>污染物排放口（源）和固体废物贮存、堆放场应按照《排污口规范化整治技术要求》（试行） 规范化建设。排污口图形标志的设置应符合</w:t>
      </w:r>
      <w:r>
        <w:rPr>
          <w:color w:val="000000"/>
          <w:spacing w:val="0"/>
          <w:w w:val="100"/>
          <w:position w:val="0"/>
          <w:lang w:val="en-US" w:eastAsia="en-US" w:bidi="en-US"/>
        </w:rPr>
        <w:t>GB 15562.1</w:t>
      </w:r>
      <w:r>
        <w:rPr>
          <w:color w:val="000000"/>
          <w:spacing w:val="0"/>
          <w:w w:val="100"/>
          <w:position w:val="0"/>
        </w:rPr>
        <w:t>的要求，重点污染源排放连续监测设备安装按 照《污染源自动监控管理办法》实施。</w:t>
      </w:r>
    </w:p>
    <w:p>
      <w:pPr>
        <w:pStyle w:val="Bodytext10"/>
        <w:keepNext w:val="0"/>
        <w:keepLines w:val="0"/>
        <w:widowControl w:val="0"/>
        <w:shd w:val="clear" w:color="auto" w:fill="auto"/>
        <w:bidi w:val="0"/>
        <w:spacing w:before="0" w:after="0" w:line="316"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5.1.6</w:t>
      </w:r>
      <w:r>
        <w:rPr>
          <w:color w:val="000000"/>
          <w:spacing w:val="0"/>
          <w:w w:val="100"/>
          <w:position w:val="0"/>
        </w:rPr>
        <w:t>厂区排水系统应采用雨污分流制，应对地面污染区域的初期雨水进行截流、调蓄和处理。</w:t>
      </w:r>
    </w:p>
    <w:p>
      <w:pPr>
        <w:pStyle w:val="Bodytext10"/>
        <w:keepNext w:val="0"/>
        <w:keepLines w:val="0"/>
        <w:widowControl w:val="0"/>
        <w:shd w:val="clear" w:color="auto" w:fill="auto"/>
        <w:bidi w:val="0"/>
        <w:spacing w:before="0" w:after="0" w:line="316" w:lineRule="exact"/>
        <w:ind w:left="0" w:right="0" w:firstLine="0"/>
        <w:jc w:val="left"/>
        <w:sectPr>
          <w:headerReference w:type="even" r:id="rId33"/>
          <w:headerReference w:type="default" r:id="rId34"/>
          <w:footerReference w:type="even" r:id="rId35"/>
          <w:footerReference w:type="default" r:id="rId36"/>
          <w:type w:val="nextPage"/>
          <w:pgSz w:w="11900" w:h="16840"/>
          <w:pgMar w:top="1581" w:right="1164" w:bottom="1191" w:left="1228" w:header="0" w:footer="3" w:gutter="0"/>
          <w:pgNumType w:start="6"/>
          <w:cols w:space="720"/>
          <w:noEndnote/>
          <w:titlePg w:val="0"/>
          <w:rtlGutter w:val="0"/>
          <w:docGrid w:linePitch="360"/>
        </w:sectPr>
      </w:pPr>
      <w:r>
        <w:rPr>
          <w:rFonts w:ascii="Times New Roman" w:eastAsia="Times New Roman" w:hAnsi="Times New Roman" w:cs="Times New Roman"/>
          <w:color w:val="000000"/>
          <w:spacing w:val="0"/>
          <w:w w:val="100"/>
          <w:position w:val="0"/>
          <w:sz w:val="18"/>
          <w:szCs w:val="18"/>
          <w:lang w:val="en-US" w:eastAsia="en-US" w:bidi="en-US"/>
        </w:rPr>
        <w:t>5.1.7</w:t>
      </w:r>
      <w:r>
        <w:rPr>
          <w:color w:val="000000"/>
          <w:spacing w:val="0"/>
          <w:w w:val="100"/>
          <w:position w:val="0"/>
        </w:rPr>
        <w:t>在满足生产工艺要求的前提下，合成革与人造革企业应提高水循利用率，尽量回收有用的原料</w:t>
      </w:r>
    </w:p>
    <w:p>
      <w:pPr>
        <w:pStyle w:val="Bodytext10"/>
        <w:keepNext w:val="0"/>
        <w:keepLines w:val="0"/>
        <w:widowControl w:val="0"/>
        <w:shd w:val="clear" w:color="auto" w:fill="auto"/>
        <w:bidi w:val="0"/>
        <w:spacing w:before="0" w:after="0" w:line="316" w:lineRule="exact"/>
        <w:ind w:left="0" w:right="0" w:firstLine="0"/>
        <w:jc w:val="left"/>
      </w:pPr>
      <w:r>
        <w:rPr>
          <w:color w:val="000000"/>
          <w:spacing w:val="0"/>
          <w:w w:val="100"/>
          <w:position w:val="0"/>
        </w:rPr>
        <w:t xml:space="preserve"> 和水，控制排入综合废水处理工程内的废水及污染物量。</w:t>
      </w:r>
      <w:r>
        <w:rPr>
          <w:color w:val="000000"/>
          <w:spacing w:val="0"/>
          <w:w w:val="100"/>
          <w:position w:val="0"/>
          <w:lang w:val="en-US" w:eastAsia="en-US" w:bidi="en-US"/>
        </w:rPr>
        <w:t>DMF</w:t>
      </w:r>
      <w:r>
        <w:rPr>
          <w:color w:val="000000"/>
          <w:spacing w:val="0"/>
          <w:w w:val="100"/>
          <w:position w:val="0"/>
        </w:rPr>
        <w:t>精馏废水回用率应</w:t>
      </w:r>
      <w:r>
        <w:rPr>
          <w:color w:val="000000"/>
          <w:spacing w:val="0"/>
          <w:w w:val="100"/>
          <w:position w:val="0"/>
          <w:lang w:val="en-US" w:eastAsia="en-US" w:bidi="en-US"/>
        </w:rPr>
        <w:t>N75%。</w:t>
      </w:r>
    </w:p>
    <w:p>
      <w:pPr>
        <w:pStyle w:val="Bodytext10"/>
        <w:keepNext w:val="0"/>
        <w:keepLines w:val="0"/>
        <w:widowControl w:val="0"/>
        <w:shd w:val="clear" w:color="auto" w:fill="auto"/>
        <w:bidi w:val="0"/>
        <w:spacing w:before="0" w:after="0" w:line="316"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5.1.8</w:t>
      </w:r>
      <w:r>
        <w:rPr>
          <w:color w:val="000000"/>
          <w:spacing w:val="0"/>
          <w:w w:val="100"/>
          <w:position w:val="0"/>
        </w:rPr>
        <w:t>合成革与人造革工业废水治理工程处理后的出水用于其他工业用水和环境保洁的水质应根据再 生利用环节参照</w:t>
      </w:r>
      <w:r>
        <w:rPr>
          <w:color w:val="000000"/>
          <w:spacing w:val="0"/>
          <w:w w:val="100"/>
          <w:position w:val="0"/>
          <w:lang w:val="en-US" w:eastAsia="en-US" w:bidi="en-US"/>
        </w:rPr>
        <w:t xml:space="preserve">GB/T </w:t>
      </w:r>
      <w:r>
        <w:rPr>
          <w:color w:val="000000"/>
          <w:spacing w:val="0"/>
          <w:w w:val="100"/>
          <w:position w:val="0"/>
        </w:rPr>
        <w:t>19923和</w:t>
      </w:r>
      <w:r>
        <w:rPr>
          <w:color w:val="000000"/>
          <w:spacing w:val="0"/>
          <w:w w:val="100"/>
          <w:position w:val="0"/>
          <w:lang w:val="en-US" w:eastAsia="en-US" w:bidi="en-US"/>
        </w:rPr>
        <w:t xml:space="preserve">GB/T </w:t>
      </w:r>
      <w:r>
        <w:rPr>
          <w:color w:val="000000"/>
          <w:spacing w:val="0"/>
          <w:w w:val="100"/>
          <w:position w:val="0"/>
        </w:rPr>
        <w:t>18920执行。</w:t>
      </w:r>
    </w:p>
    <w:p>
      <w:pPr>
        <w:pStyle w:val="Bodytext10"/>
        <w:keepNext w:val="0"/>
        <w:keepLines w:val="0"/>
        <w:widowControl w:val="0"/>
        <w:shd w:val="clear" w:color="auto" w:fill="auto"/>
        <w:bidi w:val="0"/>
        <w:spacing w:before="0" w:after="240" w:line="316"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5.1.9</w:t>
      </w:r>
      <w:r>
        <w:rPr>
          <w:color w:val="000000"/>
          <w:spacing w:val="0"/>
          <w:w w:val="100"/>
          <w:position w:val="0"/>
        </w:rPr>
        <w:t>废水污染源在线监测系统应采用符合</w:t>
      </w:r>
      <w:r>
        <w:rPr>
          <w:color w:val="000000"/>
          <w:spacing w:val="0"/>
          <w:w w:val="100"/>
          <w:position w:val="0"/>
          <w:lang w:val="en-US" w:eastAsia="en-US" w:bidi="en-US"/>
        </w:rPr>
        <w:t xml:space="preserve">HJ/T </w:t>
      </w:r>
      <w:r>
        <w:rPr>
          <w:color w:val="000000"/>
          <w:spacing w:val="0"/>
          <w:w w:val="100"/>
          <w:position w:val="0"/>
        </w:rPr>
        <w:t>15、</w:t>
      </w:r>
      <w:r>
        <w:rPr>
          <w:color w:val="000000"/>
          <w:spacing w:val="0"/>
          <w:w w:val="100"/>
          <w:position w:val="0"/>
          <w:lang w:val="en-US" w:eastAsia="en-US" w:bidi="en-US"/>
        </w:rPr>
        <w:t xml:space="preserve">HJ/T </w:t>
      </w:r>
      <w:r>
        <w:rPr>
          <w:color w:val="000000"/>
          <w:spacing w:val="0"/>
          <w:w w:val="100"/>
          <w:position w:val="0"/>
        </w:rPr>
        <w:t>96、</w:t>
      </w:r>
      <w:r>
        <w:rPr>
          <w:color w:val="000000"/>
          <w:spacing w:val="0"/>
          <w:w w:val="100"/>
          <w:position w:val="0"/>
          <w:lang w:val="en-US" w:eastAsia="en-US" w:bidi="en-US"/>
        </w:rPr>
        <w:t xml:space="preserve">HJ/T 101、HJ/T </w:t>
      </w:r>
      <w:r>
        <w:rPr>
          <w:color w:val="000000"/>
          <w:spacing w:val="0"/>
          <w:w w:val="100"/>
          <w:position w:val="0"/>
        </w:rPr>
        <w:t>377等标准规定的监 测仪器，运行和数据传输应执行</w:t>
      </w:r>
      <w:r>
        <w:rPr>
          <w:color w:val="000000"/>
          <w:spacing w:val="0"/>
          <w:w w:val="100"/>
          <w:position w:val="0"/>
          <w:lang w:val="en-US" w:eastAsia="en-US" w:bidi="en-US"/>
        </w:rPr>
        <w:t xml:space="preserve">HJ/T </w:t>
      </w:r>
      <w:r>
        <w:rPr>
          <w:color w:val="000000"/>
          <w:spacing w:val="0"/>
          <w:w w:val="100"/>
          <w:position w:val="0"/>
        </w:rPr>
        <w:t>355和</w:t>
      </w:r>
      <w:r>
        <w:rPr>
          <w:color w:val="000000"/>
          <w:spacing w:val="0"/>
          <w:w w:val="100"/>
          <w:position w:val="0"/>
          <w:lang w:val="en-US" w:eastAsia="en-US" w:bidi="en-US"/>
        </w:rPr>
        <w:t xml:space="preserve">HJ/T </w:t>
      </w:r>
      <w:r>
        <w:rPr>
          <w:color w:val="000000"/>
          <w:spacing w:val="0"/>
          <w:w w:val="100"/>
          <w:position w:val="0"/>
        </w:rPr>
        <w:t>212的规定。</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5.2</w:t>
      </w:r>
      <w:r>
        <w:rPr>
          <w:b/>
          <w:bCs/>
          <w:color w:val="000000"/>
          <w:spacing w:val="0"/>
          <w:w w:val="100"/>
          <w:position w:val="0"/>
        </w:rPr>
        <w:t>建设规模</w:t>
      </w:r>
    </w:p>
    <w:p>
      <w:pPr>
        <w:pStyle w:val="Bodytext10"/>
        <w:keepNext w:val="0"/>
        <w:keepLines w:val="0"/>
        <w:widowControl w:val="0"/>
        <w:numPr>
          <w:ilvl w:val="0"/>
          <w:numId w:val="8"/>
        </w:numPr>
        <w:shd w:val="clear" w:color="auto" w:fill="auto"/>
        <w:tabs>
          <w:tab w:val="left" w:pos="334"/>
        </w:tabs>
        <w:bidi w:val="0"/>
        <w:spacing w:before="0" w:after="0" w:line="322" w:lineRule="exact"/>
        <w:ind w:left="0" w:right="0" w:firstLine="0"/>
        <w:jc w:val="left"/>
      </w:pPr>
      <w:bookmarkStart w:id="26" w:name="bookmark26"/>
      <w:bookmarkEnd w:id="26"/>
      <w:r>
        <w:rPr>
          <w:rFonts w:ascii="Times New Roman" w:eastAsia="Times New Roman" w:hAnsi="Times New Roman" w:cs="Times New Roman"/>
          <w:color w:val="000000"/>
          <w:spacing w:val="0"/>
          <w:w w:val="100"/>
          <w:position w:val="0"/>
          <w:sz w:val="18"/>
          <w:szCs w:val="18"/>
          <w:lang w:val="en-US" w:eastAsia="en-US" w:bidi="en-US"/>
        </w:rPr>
        <w:t xml:space="preserve">2. </w:t>
      </w:r>
      <w:r>
        <w:rPr>
          <w:rFonts w:ascii="Times New Roman" w:eastAsia="Times New Roman" w:hAnsi="Times New Roman" w:cs="Times New Roman"/>
          <w:color w:val="000000"/>
          <w:spacing w:val="0"/>
          <w:w w:val="100"/>
          <w:position w:val="0"/>
          <w:sz w:val="18"/>
          <w:szCs w:val="18"/>
        </w:rPr>
        <w:t>1</w:t>
      </w:r>
      <w:r>
        <w:rPr>
          <w:color w:val="000000"/>
          <w:spacing w:val="0"/>
          <w:w w:val="100"/>
          <w:position w:val="0"/>
        </w:rPr>
        <w:t>废水、废气治理工程建设规模应根据废水量和水质、废气量和组分以及预期变化情况综合确定， 现有企业的污染治理工程应以实测数据为依据，新（扩、改）建企业的污染治理工程应根据原辅材料和 产品的种类、数量、生产工艺以及治理的要求，采用类比或物料衡算的方法确定。</w:t>
      </w:r>
    </w:p>
    <w:p>
      <w:pPr>
        <w:pStyle w:val="Bodytext10"/>
        <w:keepNext w:val="0"/>
        <w:keepLines w:val="0"/>
        <w:widowControl w:val="0"/>
        <w:numPr>
          <w:ilvl w:val="0"/>
          <w:numId w:val="9"/>
        </w:numPr>
        <w:shd w:val="clear" w:color="auto" w:fill="auto"/>
        <w:tabs>
          <w:tab w:val="left" w:pos="334"/>
        </w:tabs>
        <w:bidi w:val="0"/>
        <w:spacing w:before="0" w:after="0" w:line="322" w:lineRule="exact"/>
        <w:ind w:left="0" w:right="0" w:firstLine="0"/>
        <w:jc w:val="left"/>
      </w:pPr>
      <w:bookmarkStart w:id="27" w:name="bookmark27"/>
      <w:bookmarkEnd w:id="27"/>
      <w:r>
        <w:rPr>
          <w:rFonts w:ascii="Times New Roman" w:eastAsia="Times New Roman" w:hAnsi="Times New Roman" w:cs="Times New Roman"/>
          <w:color w:val="000000"/>
          <w:spacing w:val="0"/>
          <w:w w:val="100"/>
          <w:position w:val="0"/>
          <w:sz w:val="18"/>
          <w:szCs w:val="18"/>
          <w:lang w:val="en-US" w:eastAsia="en-US" w:bidi="en-US"/>
        </w:rPr>
        <w:t xml:space="preserve">2. </w:t>
      </w:r>
      <w:r>
        <w:rPr>
          <w:rFonts w:ascii="Times New Roman" w:eastAsia="Times New Roman" w:hAnsi="Times New Roman" w:cs="Times New Roman"/>
          <w:color w:val="000000"/>
          <w:spacing w:val="0"/>
          <w:w w:val="100"/>
          <w:position w:val="0"/>
          <w:sz w:val="18"/>
          <w:szCs w:val="18"/>
        </w:rPr>
        <w:t>2</w:t>
      </w:r>
      <w:r>
        <w:rPr>
          <w:color w:val="000000"/>
          <w:spacing w:val="0"/>
          <w:w w:val="100"/>
          <w:position w:val="0"/>
        </w:rPr>
        <w:t>合成革与人造革工业废水治理工程建设规模的确定应按照：</w:t>
      </w:r>
    </w:p>
    <w:p>
      <w:pPr>
        <w:pStyle w:val="Bodytext10"/>
        <w:keepNext w:val="0"/>
        <w:keepLines w:val="0"/>
        <w:widowControl w:val="0"/>
        <w:shd w:val="clear" w:color="auto" w:fill="auto"/>
        <w:tabs>
          <w:tab w:val="left" w:pos="827"/>
        </w:tabs>
        <w:bidi w:val="0"/>
        <w:spacing w:before="0" w:after="0" w:line="322" w:lineRule="exact"/>
        <w:ind w:left="0" w:right="0" w:firstLine="440"/>
        <w:jc w:val="left"/>
      </w:pPr>
      <w:bookmarkStart w:id="28" w:name="bookmark28"/>
      <w:r>
        <w:rPr>
          <w:color w:val="000000"/>
          <w:spacing w:val="0"/>
          <w:w w:val="100"/>
          <w:position w:val="0"/>
          <w:lang w:val="en-US" w:eastAsia="en-US" w:bidi="en-US"/>
        </w:rPr>
        <w:t>a</w:t>
      </w:r>
      <w:bookmarkEnd w:id="28"/>
      <w:r>
        <w:rPr>
          <w:color w:val="000000"/>
          <w:spacing w:val="0"/>
          <w:w w:val="100"/>
          <w:position w:val="0"/>
          <w:lang w:val="en-US" w:eastAsia="en-US" w:bidi="en-US"/>
        </w:rPr>
        <w:t>）</w:t>
        <w:tab/>
      </w:r>
      <w:r>
        <w:rPr>
          <w:color w:val="000000"/>
          <w:spacing w:val="0"/>
          <w:w w:val="100"/>
          <w:position w:val="0"/>
        </w:rPr>
        <w:t>格栅渠、集水井等调节池前的废水治理构筑物按最大日最大时流量计算；</w:t>
      </w:r>
    </w:p>
    <w:p>
      <w:pPr>
        <w:pStyle w:val="Bodytext10"/>
        <w:keepNext w:val="0"/>
        <w:keepLines w:val="0"/>
        <w:widowControl w:val="0"/>
        <w:shd w:val="clear" w:color="auto" w:fill="auto"/>
        <w:tabs>
          <w:tab w:val="left" w:pos="827"/>
        </w:tabs>
        <w:bidi w:val="0"/>
        <w:spacing w:before="0" w:after="0" w:line="322" w:lineRule="exact"/>
        <w:ind w:left="0" w:right="0" w:firstLine="440"/>
        <w:jc w:val="left"/>
      </w:pPr>
      <w:bookmarkStart w:id="29" w:name="bookmark29"/>
      <w:r>
        <w:rPr>
          <w:color w:val="000000"/>
          <w:spacing w:val="0"/>
          <w:w w:val="100"/>
          <w:position w:val="0"/>
          <w:lang w:val="en-US" w:eastAsia="en-US" w:bidi="en-US"/>
        </w:rPr>
        <w:t>b</w:t>
      </w:r>
      <w:bookmarkEnd w:id="29"/>
      <w:r>
        <w:rPr>
          <w:color w:val="000000"/>
          <w:spacing w:val="0"/>
          <w:w w:val="100"/>
          <w:position w:val="0"/>
          <w:lang w:val="en-US" w:eastAsia="en-US" w:bidi="en-US"/>
        </w:rPr>
        <w:t>）</w:t>
        <w:tab/>
      </w:r>
      <w:r>
        <w:rPr>
          <w:color w:val="000000"/>
          <w:spacing w:val="0"/>
          <w:w w:val="100"/>
          <w:position w:val="0"/>
        </w:rPr>
        <w:t>调节池及其后的生化池、二沉池等废水治理构筑物按最大日平均时流量计算；</w:t>
      </w:r>
    </w:p>
    <w:p>
      <w:pPr>
        <w:pStyle w:val="Bodytext10"/>
        <w:keepNext w:val="0"/>
        <w:keepLines w:val="0"/>
        <w:widowControl w:val="0"/>
        <w:shd w:val="clear" w:color="auto" w:fill="auto"/>
        <w:tabs>
          <w:tab w:val="left" w:pos="827"/>
        </w:tabs>
        <w:bidi w:val="0"/>
        <w:spacing w:before="0" w:after="0" w:line="322" w:lineRule="exact"/>
        <w:ind w:left="0" w:right="0" w:firstLine="440"/>
        <w:jc w:val="left"/>
      </w:pPr>
      <w:bookmarkStart w:id="30" w:name="bookmark30"/>
      <w:r>
        <w:rPr>
          <w:color w:val="000000"/>
          <w:spacing w:val="0"/>
          <w:w w:val="100"/>
          <w:position w:val="0"/>
          <w:lang w:val="en-US" w:eastAsia="en-US" w:bidi="en-US"/>
        </w:rPr>
        <w:t>c</w:t>
      </w:r>
      <w:bookmarkEnd w:id="30"/>
      <w:r>
        <w:rPr>
          <w:color w:val="000000"/>
          <w:spacing w:val="0"/>
          <w:w w:val="100"/>
          <w:position w:val="0"/>
          <w:lang w:val="en-US" w:eastAsia="en-US" w:bidi="en-US"/>
        </w:rPr>
        <w:t>）</w:t>
        <w:tab/>
      </w:r>
      <w:r>
        <w:rPr>
          <w:color w:val="000000"/>
          <w:spacing w:val="0"/>
          <w:w w:val="100"/>
          <w:position w:val="0"/>
        </w:rPr>
        <w:t>污泥处理与处置工程应按最大日平均时污泥量计算。</w:t>
      </w:r>
    </w:p>
    <w:p>
      <w:pPr>
        <w:pStyle w:val="Bodytext10"/>
        <w:keepNext w:val="0"/>
        <w:keepLines w:val="0"/>
        <w:widowControl w:val="0"/>
        <w:shd w:val="clear" w:color="auto" w:fill="auto"/>
        <w:bidi w:val="0"/>
        <w:spacing w:before="0" w:after="240" w:line="32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5. 2. </w:t>
      </w:r>
      <w:r>
        <w:rPr>
          <w:rFonts w:ascii="Times New Roman" w:eastAsia="Times New Roman" w:hAnsi="Times New Roman" w:cs="Times New Roman"/>
          <w:color w:val="000000"/>
          <w:spacing w:val="0"/>
          <w:w w:val="100"/>
          <w:position w:val="0"/>
          <w:sz w:val="18"/>
          <w:szCs w:val="18"/>
        </w:rPr>
        <w:t>3</w:t>
      </w:r>
      <w:r>
        <w:rPr>
          <w:color w:val="000000"/>
          <w:spacing w:val="0"/>
          <w:w w:val="100"/>
          <w:position w:val="0"/>
        </w:rPr>
        <w:t>废气治理工程的处理能力应根据废气的处理量确定，设计风量宜按照最大废气排放量的120%进 行设计。</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5.3</w:t>
      </w:r>
      <w:r>
        <w:rPr>
          <w:b/>
          <w:bCs/>
          <w:color w:val="000000"/>
          <w:spacing w:val="0"/>
          <w:w w:val="100"/>
          <w:position w:val="0"/>
        </w:rPr>
        <w:t>工程构成</w:t>
      </w:r>
    </w:p>
    <w:p>
      <w:pPr>
        <w:pStyle w:val="Bodytext10"/>
        <w:keepNext w:val="0"/>
        <w:keepLines w:val="0"/>
        <w:widowControl w:val="0"/>
        <w:numPr>
          <w:ilvl w:val="1"/>
          <w:numId w:val="9"/>
        </w:numPr>
        <w:shd w:val="clear" w:color="auto" w:fill="auto"/>
        <w:tabs>
          <w:tab w:val="left" w:pos="546"/>
        </w:tabs>
        <w:bidi w:val="0"/>
        <w:spacing w:before="0" w:after="0" w:line="317" w:lineRule="exact"/>
        <w:ind w:left="0" w:right="0" w:firstLine="0"/>
        <w:jc w:val="left"/>
      </w:pPr>
      <w:bookmarkStart w:id="31" w:name="bookmark31"/>
      <w:bookmarkEnd w:id="31"/>
      <w:r>
        <w:rPr>
          <w:rFonts w:ascii="Times New Roman" w:eastAsia="Times New Roman" w:hAnsi="Times New Roman" w:cs="Times New Roman"/>
          <w:color w:val="000000"/>
          <w:spacing w:val="0"/>
          <w:w w:val="100"/>
          <w:position w:val="0"/>
          <w:sz w:val="18"/>
          <w:szCs w:val="18"/>
        </w:rPr>
        <w:t>1</w:t>
      </w:r>
      <w:r>
        <w:rPr>
          <w:color w:val="000000"/>
          <w:spacing w:val="0"/>
          <w:w w:val="100"/>
          <w:position w:val="0"/>
        </w:rPr>
        <w:t xml:space="preserve">合成革与人造革工业的废水、废气治理工程由主体工程、辅助工程和生产管理设施构成。 </w:t>
      </w:r>
      <w:r>
        <w:rPr>
          <w:rFonts w:ascii="Times New Roman" w:eastAsia="Times New Roman" w:hAnsi="Times New Roman" w:cs="Times New Roman"/>
          <w:color w:val="000000"/>
          <w:spacing w:val="0"/>
          <w:w w:val="100"/>
          <w:position w:val="0"/>
          <w:sz w:val="18"/>
          <w:szCs w:val="18"/>
          <w:lang w:val="en-US" w:eastAsia="en-US" w:bidi="en-US"/>
        </w:rPr>
        <w:t>5.3.2</w:t>
      </w:r>
      <w:r>
        <w:rPr>
          <w:color w:val="000000"/>
          <w:spacing w:val="0"/>
          <w:w w:val="100"/>
          <w:position w:val="0"/>
        </w:rPr>
        <w:t>废水治理主体工程主要包括废水预处理工程、综合废水处理工程、污泥处理与处置工程。</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5.3.2. </w:t>
      </w:r>
      <w:r>
        <w:rPr>
          <w:rFonts w:ascii="Times New Roman" w:eastAsia="Times New Roman" w:hAnsi="Times New Roman" w:cs="Times New Roman"/>
          <w:color w:val="000000"/>
          <w:spacing w:val="0"/>
          <w:w w:val="100"/>
          <w:position w:val="0"/>
          <w:sz w:val="18"/>
          <w:szCs w:val="18"/>
        </w:rPr>
        <w:t>1</w:t>
      </w:r>
      <w:r>
        <w:rPr>
          <w:color w:val="000000"/>
          <w:spacing w:val="0"/>
          <w:w w:val="100"/>
          <w:position w:val="0"/>
        </w:rPr>
        <w:t>废水预处理工程包括</w:t>
      </w:r>
      <w:r>
        <w:rPr>
          <w:color w:val="000000"/>
          <w:spacing w:val="0"/>
          <w:w w:val="100"/>
          <w:position w:val="0"/>
          <w:lang w:val="en-US" w:eastAsia="en-US" w:bidi="en-US"/>
        </w:rPr>
        <w:t>DMF</w:t>
      </w:r>
      <w:r>
        <w:rPr>
          <w:color w:val="000000"/>
          <w:spacing w:val="0"/>
          <w:w w:val="100"/>
          <w:position w:val="0"/>
        </w:rPr>
        <w:t>废水精馅回收装置、高浓度清洗废水预处理工程等。</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5. 3. 2. </w:t>
      </w:r>
      <w:r>
        <w:rPr>
          <w:rFonts w:ascii="Times New Roman" w:eastAsia="Times New Roman" w:hAnsi="Times New Roman" w:cs="Times New Roman"/>
          <w:color w:val="000000"/>
          <w:spacing w:val="0"/>
          <w:w w:val="100"/>
          <w:position w:val="0"/>
          <w:sz w:val="18"/>
          <w:szCs w:val="18"/>
        </w:rPr>
        <w:t>2</w:t>
      </w:r>
      <w:r>
        <w:rPr>
          <w:color w:val="000000"/>
          <w:spacing w:val="0"/>
          <w:w w:val="100"/>
          <w:position w:val="0"/>
        </w:rPr>
        <w:t>综合废水治理工程包括废水一级、二级和三级处理系统。</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5. 3. 2. </w:t>
      </w:r>
      <w:r>
        <w:rPr>
          <w:rFonts w:ascii="Times New Roman" w:eastAsia="Times New Roman" w:hAnsi="Times New Roman" w:cs="Times New Roman"/>
          <w:color w:val="000000"/>
          <w:spacing w:val="0"/>
          <w:w w:val="100"/>
          <w:position w:val="0"/>
          <w:sz w:val="18"/>
          <w:szCs w:val="18"/>
        </w:rPr>
        <w:t>3</w:t>
      </w:r>
      <w:r>
        <w:rPr>
          <w:color w:val="000000"/>
          <w:spacing w:val="0"/>
          <w:w w:val="100"/>
          <w:position w:val="0"/>
        </w:rPr>
        <w:t>污泥处理</w:t>
      </w:r>
      <w:r>
        <w:rPr>
          <w:color w:val="353A40"/>
          <w:spacing w:val="0"/>
          <w:w w:val="100"/>
          <w:position w:val="0"/>
        </w:rPr>
        <w:t>与处置</w:t>
      </w:r>
      <w:r>
        <w:rPr>
          <w:color w:val="000000"/>
          <w:spacing w:val="0"/>
          <w:w w:val="100"/>
          <w:position w:val="0"/>
        </w:rPr>
        <w:t>工程包括污泥减量处理和最终处置系统。</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5.3.3</w:t>
      </w:r>
      <w:r>
        <w:rPr>
          <w:color w:val="000000"/>
          <w:spacing w:val="0"/>
          <w:w w:val="100"/>
          <w:position w:val="0"/>
        </w:rPr>
        <w:t>废气治理主体工程由</w:t>
      </w:r>
      <w:r>
        <w:rPr>
          <w:color w:val="000000"/>
          <w:spacing w:val="0"/>
          <w:w w:val="100"/>
          <w:position w:val="0"/>
          <w:lang w:val="zh-CN" w:eastAsia="zh-CN" w:bidi="zh-CN"/>
        </w:rPr>
        <w:t>.废</w:t>
      </w:r>
      <w:r>
        <w:rPr>
          <w:color w:val="000000"/>
          <w:spacing w:val="0"/>
          <w:w w:val="100"/>
          <w:position w:val="0"/>
        </w:rPr>
        <w:t>气收集系统、预处理、净化处理工程构成。</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5. 3. 3.1</w:t>
      </w:r>
      <w:r>
        <w:rPr>
          <w:color w:val="000000"/>
          <w:spacing w:val="0"/>
          <w:w w:val="100"/>
          <w:position w:val="0"/>
        </w:rPr>
        <w:t>废气收集系统主要包括集气罩或废气包围装置、气体输送管道等。</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5. 3. 3. </w:t>
      </w:r>
      <w:r>
        <w:rPr>
          <w:rFonts w:ascii="Times New Roman" w:eastAsia="Times New Roman" w:hAnsi="Times New Roman" w:cs="Times New Roman"/>
          <w:color w:val="000000"/>
          <w:spacing w:val="0"/>
          <w:w w:val="100"/>
          <w:position w:val="0"/>
          <w:sz w:val="18"/>
          <w:szCs w:val="18"/>
        </w:rPr>
        <w:t>2</w:t>
      </w:r>
      <w:r>
        <w:rPr>
          <w:color w:val="000000"/>
          <w:spacing w:val="0"/>
          <w:w w:val="100"/>
          <w:position w:val="0"/>
        </w:rPr>
        <w:t>预处理主要是废气过滤或稀释等预处理设施。</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5. 3. 3. </w:t>
      </w:r>
      <w:r>
        <w:rPr>
          <w:rFonts w:ascii="Times New Roman" w:eastAsia="Times New Roman" w:hAnsi="Times New Roman" w:cs="Times New Roman"/>
          <w:color w:val="000000"/>
          <w:spacing w:val="0"/>
          <w:w w:val="100"/>
          <w:position w:val="0"/>
          <w:sz w:val="18"/>
          <w:szCs w:val="18"/>
        </w:rPr>
        <w:t>3</w:t>
      </w:r>
      <w:r>
        <w:rPr>
          <w:color w:val="000000"/>
          <w:spacing w:val="0"/>
          <w:w w:val="100"/>
          <w:position w:val="0"/>
        </w:rPr>
        <w:t>净化处理包括了洗涤、吸附、静电</w:t>
      </w:r>
      <w:r>
        <w:rPr>
          <w:color w:val="353A40"/>
          <w:spacing w:val="0"/>
          <w:w w:val="100"/>
          <w:position w:val="0"/>
        </w:rPr>
        <w:t>或燃烧</w:t>
      </w:r>
      <w:r>
        <w:rPr>
          <w:color w:val="000000"/>
          <w:spacing w:val="0"/>
          <w:w w:val="100"/>
          <w:position w:val="0"/>
        </w:rPr>
        <w:t>等净化设施。</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5.3.4</w:t>
      </w:r>
      <w:r>
        <w:rPr>
          <w:color w:val="000000"/>
          <w:spacing w:val="0"/>
          <w:w w:val="100"/>
          <w:position w:val="0"/>
        </w:rPr>
        <w:t>辅助工程包括电气、供排水和消防、采暖通</w:t>
      </w:r>
      <w:r>
        <w:rPr>
          <w:color w:val="353A40"/>
          <w:spacing w:val="0"/>
          <w:w w:val="100"/>
          <w:position w:val="0"/>
        </w:rPr>
        <w:t>风与空调等。</w:t>
      </w:r>
    </w:p>
    <w:p>
      <w:pPr>
        <w:pStyle w:val="Bodytext10"/>
        <w:keepNext w:val="0"/>
        <w:keepLines w:val="0"/>
        <w:widowControl w:val="0"/>
        <w:shd w:val="clear" w:color="auto" w:fill="auto"/>
        <w:bidi w:val="0"/>
        <w:spacing w:before="0" w:after="240" w:line="317"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5.3.5</w:t>
      </w:r>
      <w:r>
        <w:rPr>
          <w:color w:val="000000"/>
          <w:spacing w:val="0"/>
          <w:w w:val="100"/>
          <w:position w:val="0"/>
        </w:rPr>
        <w:t>生产管理设施包括办公用房、值班室等。</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5.4</w:t>
      </w:r>
      <w:r>
        <w:rPr>
          <w:b/>
          <w:bCs/>
          <w:color w:val="000000"/>
          <w:spacing w:val="0"/>
          <w:w w:val="100"/>
          <w:position w:val="0"/>
        </w:rPr>
        <w:t>场址选择</w:t>
      </w:r>
    </w:p>
    <w:p>
      <w:pPr>
        <w:pStyle w:val="Bodytext10"/>
        <w:keepNext w:val="0"/>
        <w:keepLines w:val="0"/>
        <w:widowControl w:val="0"/>
        <w:numPr>
          <w:ilvl w:val="1"/>
          <w:numId w:val="9"/>
        </w:numPr>
        <w:shd w:val="clear" w:color="auto" w:fill="auto"/>
        <w:tabs>
          <w:tab w:val="left" w:pos="546"/>
        </w:tabs>
        <w:bidi w:val="0"/>
        <w:spacing w:before="0" w:after="240" w:line="317" w:lineRule="exact"/>
        <w:ind w:left="0" w:right="0" w:firstLine="0"/>
        <w:jc w:val="left"/>
      </w:pPr>
      <w:bookmarkStart w:id="32" w:name="bookmark32"/>
      <w:bookmarkEnd w:id="32"/>
      <w:r>
        <w:rPr>
          <w:rFonts w:ascii="Times New Roman" w:eastAsia="Times New Roman" w:hAnsi="Times New Roman" w:cs="Times New Roman"/>
          <w:color w:val="000000"/>
          <w:spacing w:val="0"/>
          <w:w w:val="100"/>
          <w:position w:val="0"/>
          <w:sz w:val="18"/>
          <w:szCs w:val="18"/>
        </w:rPr>
        <w:t>1</w:t>
      </w:r>
      <w:r>
        <w:rPr>
          <w:color w:val="000000"/>
          <w:spacing w:val="0"/>
          <w:w w:val="100"/>
          <w:position w:val="0"/>
        </w:rPr>
        <w:t>合成革与人造革工业污染治理工程地址选择应纳入合成革与人造</w:t>
      </w:r>
      <w:r>
        <w:rPr>
          <w:color w:val="353A40"/>
          <w:spacing w:val="0"/>
          <w:w w:val="100"/>
          <w:position w:val="0"/>
        </w:rPr>
        <w:t>革工业</w:t>
      </w:r>
      <w:r>
        <w:rPr>
          <w:color w:val="000000"/>
          <w:spacing w:val="0"/>
          <w:w w:val="100"/>
          <w:position w:val="0"/>
        </w:rPr>
        <w:t>生产企业建设规划，符 合闽环发（2012） 29号的要求，并满足项目环境影响评价批复文件的要求。</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 </w:t>
      </w:r>
      <w:r>
        <w:rPr>
          <w:rFonts w:ascii="Times New Roman" w:eastAsia="Times New Roman" w:hAnsi="Times New Roman" w:cs="Times New Roman"/>
          <w:color w:val="000000"/>
          <w:spacing w:val="0"/>
          <w:w w:val="100"/>
          <w:position w:val="0"/>
          <w:sz w:val="18"/>
          <w:szCs w:val="18"/>
        </w:rPr>
        <w:t>5</w:t>
      </w:r>
      <w:r>
        <w:rPr>
          <w:b/>
          <w:bCs/>
          <w:color w:val="000000"/>
          <w:spacing w:val="0"/>
          <w:w w:val="100"/>
          <w:position w:val="0"/>
        </w:rPr>
        <w:t>总平面布置</w:t>
      </w:r>
    </w:p>
    <w:p>
      <w:pPr>
        <w:pStyle w:val="Bodytext10"/>
        <w:keepNext w:val="0"/>
        <w:keepLines w:val="0"/>
        <w:widowControl w:val="0"/>
        <w:shd w:val="clear" w:color="auto" w:fill="auto"/>
        <w:bidi w:val="0"/>
        <w:spacing w:before="0" w:after="200" w:line="331"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5. 5. </w:t>
      </w:r>
      <w:r>
        <w:rPr>
          <w:rFonts w:ascii="Times New Roman" w:eastAsia="Times New Roman" w:hAnsi="Times New Roman" w:cs="Times New Roman"/>
          <w:color w:val="000000"/>
          <w:spacing w:val="0"/>
          <w:w w:val="100"/>
          <w:position w:val="0"/>
          <w:sz w:val="18"/>
          <w:szCs w:val="18"/>
        </w:rPr>
        <w:t>1</w:t>
      </w:r>
      <w:r>
        <w:rPr>
          <w:color w:val="000000"/>
          <w:spacing w:val="0"/>
          <w:w w:val="100"/>
          <w:position w:val="0"/>
        </w:rPr>
        <w:t>总平面布置应符合</w:t>
      </w:r>
      <w:r>
        <w:rPr>
          <w:color w:val="000000"/>
          <w:spacing w:val="0"/>
          <w:w w:val="100"/>
          <w:position w:val="0"/>
          <w:lang w:val="en-US" w:eastAsia="en-US" w:bidi="en-US"/>
        </w:rPr>
        <w:t xml:space="preserve">GB </w:t>
      </w:r>
      <w:r>
        <w:rPr>
          <w:color w:val="000000"/>
          <w:spacing w:val="0"/>
          <w:w w:val="100"/>
          <w:position w:val="0"/>
        </w:rPr>
        <w:t>50014、</w:t>
      </w:r>
      <w:r>
        <w:rPr>
          <w:color w:val="000000"/>
          <w:spacing w:val="0"/>
          <w:w w:val="100"/>
          <w:position w:val="0"/>
          <w:lang w:val="en-US" w:eastAsia="en-US" w:bidi="en-US"/>
        </w:rPr>
        <w:t xml:space="preserve">GB </w:t>
      </w:r>
      <w:r>
        <w:rPr>
          <w:color w:val="000000"/>
          <w:spacing w:val="0"/>
          <w:w w:val="100"/>
          <w:position w:val="0"/>
        </w:rPr>
        <w:t>50019、</w:t>
      </w:r>
      <w:r>
        <w:rPr>
          <w:color w:val="000000"/>
          <w:spacing w:val="0"/>
          <w:w w:val="100"/>
          <w:position w:val="0"/>
          <w:lang w:val="en-US" w:eastAsia="en-US" w:bidi="en-US"/>
        </w:rPr>
        <w:t xml:space="preserve">GB </w:t>
      </w:r>
      <w:r>
        <w:rPr>
          <w:color w:val="000000"/>
          <w:spacing w:val="0"/>
          <w:w w:val="100"/>
          <w:position w:val="0"/>
        </w:rPr>
        <w:t>50187等标准的相关规定，并满足环境影响评价批 复文件的要求。</w:t>
      </w:r>
    </w:p>
    <w:p>
      <w:pPr>
        <w:pStyle w:val="Bodytext10"/>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5.5.2</w:t>
      </w:r>
      <w:r>
        <w:rPr>
          <w:color w:val="000000"/>
          <w:spacing w:val="0"/>
          <w:w w:val="100"/>
          <w:position w:val="0"/>
        </w:rPr>
        <w:t>污染治理工程总体布置应根据各构筑物的功能和处理流程要求，结合地形、气候和地质条件， 经技术经济比较后确定。</w:t>
      </w:r>
    </w:p>
    <w:p>
      <w:pPr>
        <w:pStyle w:val="Bodytext10"/>
        <w:keepNext w:val="0"/>
        <w:keepLines w:val="0"/>
        <w:widowControl w:val="0"/>
        <w:shd w:val="clear" w:color="auto" w:fill="auto"/>
        <w:bidi w:val="0"/>
        <w:spacing w:before="0" w:after="0" w:line="331"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5.5.3</w:t>
      </w:r>
      <w:r>
        <w:rPr>
          <w:color w:val="000000"/>
          <w:spacing w:val="0"/>
          <w:w w:val="100"/>
          <w:position w:val="0"/>
        </w:rPr>
        <w:t>总平面布置应根据工艺流程走向，遵循就近处理、综合治理、循环利用、达标排放和总量控制 的原则。</w:t>
      </w:r>
    </w:p>
    <w:p>
      <w:pPr>
        <w:pStyle w:val="Bodytext10"/>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5.5.4</w:t>
      </w:r>
      <w:r>
        <w:rPr>
          <w:color w:val="000000"/>
          <w:spacing w:val="0"/>
          <w:w w:val="100"/>
          <w:position w:val="0"/>
        </w:rPr>
        <w:t>总平面布置应合理、紧凑，满足施工、维护和管理要求，并留有发展及设备更换的余地。</w:t>
      </w:r>
    </w:p>
    <w:p>
      <w:pPr>
        <w:pStyle w:val="Bodytext10"/>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5.5.5</w:t>
      </w:r>
      <w:r>
        <w:rPr>
          <w:color w:val="000000"/>
          <w:spacing w:val="0"/>
          <w:w w:val="100"/>
          <w:position w:val="0"/>
        </w:rPr>
        <w:t>竖向布置应充分利用原有地形和高差，尽可能做到土方平衡、重力排放、降低能耗。</w:t>
      </w:r>
    </w:p>
    <w:p>
      <w:pPr>
        <w:pStyle w:val="Bodytext10"/>
        <w:keepNext w:val="0"/>
        <w:keepLines w:val="0"/>
        <w:widowControl w:val="0"/>
        <w:shd w:val="clear" w:color="auto" w:fill="auto"/>
        <w:bidi w:val="0"/>
        <w:spacing w:before="0" w:after="0" w:line="326" w:lineRule="exact"/>
        <w:ind w:left="0" w:right="0" w:firstLine="0"/>
        <w:jc w:val="left"/>
        <w:sectPr>
          <w:headerReference w:type="even" r:id="rId37"/>
          <w:headerReference w:type="default" r:id="rId38"/>
          <w:footerReference w:type="even" r:id="rId39"/>
          <w:footerReference w:type="default" r:id="rId40"/>
          <w:type w:val="nextPage"/>
          <w:pgSz w:w="11900" w:h="16840"/>
          <w:pgMar w:top="1581" w:right="1164" w:bottom="1191" w:left="1228" w:header="0" w:footer="3" w:gutter="0"/>
          <w:pgNumType w:start="7"/>
          <w:cols w:space="720"/>
          <w:noEndnote/>
          <w:titlePg w:val="0"/>
          <w:rtlGutter w:val="0"/>
          <w:docGrid w:linePitch="360"/>
        </w:sectPr>
      </w:pPr>
      <w:r>
        <w:rPr>
          <w:rFonts w:ascii="Times New Roman" w:eastAsia="Times New Roman" w:hAnsi="Times New Roman" w:cs="Times New Roman"/>
          <w:color w:val="000000"/>
          <w:spacing w:val="0"/>
          <w:w w:val="100"/>
          <w:position w:val="0"/>
          <w:sz w:val="18"/>
          <w:szCs w:val="18"/>
          <w:lang w:val="en-US" w:eastAsia="en-US" w:bidi="en-US"/>
        </w:rPr>
        <w:t>5.5.6</w:t>
      </w:r>
      <w:r>
        <w:rPr>
          <w:color w:val="000000"/>
          <w:spacing w:val="0"/>
          <w:w w:val="100"/>
          <w:position w:val="0"/>
        </w:rPr>
        <w:t>废水治理工程中的加药间、污泥处理间等运输量较大的建筑物应靠近道路，并远离人员经常出</w:t>
      </w:r>
    </w:p>
    <w:p>
      <w:pPr>
        <w:pStyle w:val="Bodytext10"/>
        <w:keepNext w:val="0"/>
        <w:keepLines w:val="0"/>
        <w:widowControl w:val="0"/>
        <w:shd w:val="clear" w:color="auto" w:fill="auto"/>
        <w:bidi w:val="0"/>
        <w:spacing w:before="0" w:after="0" w:line="326" w:lineRule="exact"/>
        <w:ind w:left="0" w:right="0" w:firstLine="0"/>
        <w:jc w:val="left"/>
      </w:pPr>
      <w:r>
        <w:rPr>
          <w:color w:val="000000"/>
          <w:spacing w:val="0"/>
          <w:w w:val="100"/>
          <w:position w:val="0"/>
        </w:rPr>
        <w:t xml:space="preserve"> 入的区域。</w:t>
      </w:r>
    </w:p>
    <w:p>
      <w:pPr>
        <w:pStyle w:val="Bodytext10"/>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5.5.7</w:t>
      </w:r>
      <w:r>
        <w:rPr>
          <w:color w:val="000000"/>
          <w:spacing w:val="0"/>
          <w:w w:val="100"/>
          <w:position w:val="0"/>
        </w:rPr>
        <w:t>应合理布置超越管线和维修放空线，设置超越和维修放空所需的暂存设施，确保不合格的超越 和放空水、气或污泥得到妥善处理和处置。</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5.5.8</w:t>
      </w:r>
      <w:r>
        <w:rPr>
          <w:color w:val="000000"/>
          <w:spacing w:val="0"/>
          <w:w w:val="100"/>
          <w:position w:val="0"/>
        </w:rPr>
        <w:t>当治理工程分期建设时，治理工程占地面积应按总体处理规模预留场地，并进行总体布置，管 网和地下构筑物宜一次建成。</w:t>
      </w:r>
    </w:p>
    <w:p>
      <w:pPr>
        <w:pStyle w:val="Bodytext10"/>
        <w:keepNext w:val="0"/>
        <w:keepLines w:val="0"/>
        <w:widowControl w:val="0"/>
        <w:shd w:val="clear" w:color="auto" w:fill="auto"/>
        <w:bidi w:val="0"/>
        <w:spacing w:before="0" w:after="400" w:line="31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5.5.9 </w:t>
      </w:r>
      <w:r>
        <w:rPr>
          <w:color w:val="000000"/>
          <w:spacing w:val="0"/>
          <w:w w:val="100"/>
          <w:position w:val="0"/>
        </w:rPr>
        <w:t>一般工业固体废物和危险废物应分开放置，分别按照</w:t>
      </w:r>
      <w:r>
        <w:rPr>
          <w:color w:val="000000"/>
          <w:spacing w:val="0"/>
          <w:w w:val="100"/>
          <w:position w:val="0"/>
          <w:lang w:val="en-US" w:eastAsia="en-US" w:bidi="en-US"/>
        </w:rPr>
        <w:t xml:space="preserve">GB 18599.GB </w:t>
      </w:r>
      <w:r>
        <w:rPr>
          <w:color w:val="000000"/>
          <w:spacing w:val="0"/>
          <w:w w:val="100"/>
          <w:position w:val="0"/>
        </w:rPr>
        <w:t>18597等要求进行管理。</w:t>
      </w:r>
    </w:p>
    <w:p>
      <w:pPr>
        <w:pStyle w:val="Bodytext10"/>
        <w:keepNext w:val="0"/>
        <w:keepLines w:val="0"/>
        <w:widowControl w:val="0"/>
        <w:shd w:val="clear" w:color="auto" w:fill="auto"/>
        <w:bidi w:val="0"/>
        <w:spacing w:before="0" w:after="400" w:line="240" w:lineRule="auto"/>
        <w:ind w:left="0" w:right="0" w:firstLine="0"/>
        <w:jc w:val="left"/>
      </w:pPr>
      <w:r>
        <w:rPr>
          <w:rFonts w:ascii="Times New Roman" w:eastAsia="Times New Roman" w:hAnsi="Times New Roman" w:cs="Times New Roman"/>
          <w:color w:val="000000"/>
          <w:spacing w:val="0"/>
          <w:w w:val="100"/>
          <w:position w:val="0"/>
          <w:sz w:val="18"/>
          <w:szCs w:val="18"/>
        </w:rPr>
        <w:t>6</w:t>
      </w:r>
      <w:r>
        <w:rPr>
          <w:b/>
          <w:bCs/>
          <w:color w:val="000000"/>
          <w:spacing w:val="0"/>
          <w:w w:val="100"/>
          <w:position w:val="0"/>
        </w:rPr>
        <w:t>工艺设计</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6.1 </w:t>
      </w:r>
      <w:r>
        <w:rPr>
          <w:b/>
          <w:bCs/>
          <w:color w:val="000000"/>
          <w:spacing w:val="0"/>
          <w:w w:val="100"/>
          <w:position w:val="0"/>
        </w:rPr>
        <w:t>一般规定</w:t>
      </w:r>
    </w:p>
    <w:p>
      <w:pPr>
        <w:pStyle w:val="Bodytext10"/>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6.1.1</w:t>
      </w:r>
      <w:r>
        <w:rPr>
          <w:color w:val="000000"/>
          <w:spacing w:val="0"/>
          <w:w w:val="100"/>
          <w:position w:val="0"/>
        </w:rPr>
        <w:t>在工艺设计前，应对废水水质、水量，废气组分、风量及变化规律进行全面调查，并进行必要 的分析和试验。</w:t>
      </w:r>
    </w:p>
    <w:p>
      <w:pPr>
        <w:pStyle w:val="Bodytext10"/>
        <w:keepNext w:val="0"/>
        <w:keepLines w:val="0"/>
        <w:widowControl w:val="0"/>
        <w:shd w:val="clear" w:color="auto" w:fill="auto"/>
        <w:bidi w:val="0"/>
        <w:spacing w:before="0" w:after="240" w:line="32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6.1.2</w:t>
      </w:r>
      <w:r>
        <w:rPr>
          <w:color w:val="000000"/>
          <w:spacing w:val="0"/>
          <w:w w:val="100"/>
          <w:position w:val="0"/>
        </w:rPr>
        <w:t>应选用技术成熟、处理效率高、节约能源、投资省的处理工艺，确保废水、废气治理工程稳定、 可靠、安全运行。</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6.2</w:t>
      </w:r>
      <w:r>
        <w:rPr>
          <w:b/>
          <w:bCs/>
          <w:color w:val="000000"/>
          <w:spacing w:val="0"/>
          <w:w w:val="100"/>
          <w:position w:val="0"/>
        </w:rPr>
        <w:t>工艺路线选择</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6.2.1</w:t>
      </w:r>
      <w:r>
        <w:rPr>
          <w:color w:val="000000"/>
          <w:spacing w:val="0"/>
          <w:w w:val="100"/>
          <w:position w:val="0"/>
        </w:rPr>
        <w:t>选择工艺路线时应至少考虑污染物特性和处理量、自然地理条件、污染物去向、工艺成熟度、 可靠性和可得性等因素，以达标排放为原则，根据技术经济评价结果确定。</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6.2.2</w:t>
      </w:r>
      <w:r>
        <w:rPr>
          <w:color w:val="000000"/>
          <w:spacing w:val="0"/>
          <w:w w:val="100"/>
          <w:position w:val="0"/>
        </w:rPr>
        <w:t>应根据现行的污染物排放标准、污染物的来源及性质、排水去向确定合成革与人造革工业废水 处理程度，选择相</w:t>
      </w:r>
      <w:r>
        <w:rPr>
          <w:color w:val="353A40"/>
          <w:spacing w:val="0"/>
          <w:w w:val="100"/>
          <w:position w:val="0"/>
        </w:rPr>
        <w:t>应的处理级别</w:t>
      </w:r>
      <w:r>
        <w:rPr>
          <w:color w:val="000000"/>
          <w:spacing w:val="0"/>
          <w:w w:val="100"/>
          <w:position w:val="0"/>
        </w:rPr>
        <w:t>和处理工艺。废水处理工艺流程如图</w:t>
      </w:r>
      <w:r>
        <w:rPr>
          <w:rFonts w:ascii="Times New Roman" w:eastAsia="Times New Roman" w:hAnsi="Times New Roman" w:cs="Times New Roman"/>
          <w:color w:val="000000"/>
          <w:spacing w:val="0"/>
          <w:w w:val="100"/>
          <w:position w:val="0"/>
          <w:sz w:val="18"/>
          <w:szCs w:val="18"/>
        </w:rPr>
        <w:t>1</w:t>
      </w:r>
      <w:r>
        <w:rPr>
          <w:color w:val="000000"/>
          <w:spacing w:val="0"/>
          <w:w w:val="100"/>
          <w:position w:val="0"/>
        </w:rPr>
        <w:t>所示：</w:t>
      </w:r>
    </w:p>
    <w:p>
      <w:pPr>
        <w:pStyle w:val="Bodytext10"/>
        <w:keepNext w:val="0"/>
        <w:keepLines w:val="0"/>
        <w:widowControl w:val="0"/>
        <w:numPr>
          <w:ilvl w:val="0"/>
          <w:numId w:val="9"/>
        </w:numPr>
        <w:shd w:val="clear" w:color="auto" w:fill="auto"/>
        <w:tabs>
          <w:tab w:val="left" w:pos="334"/>
        </w:tabs>
        <w:bidi w:val="0"/>
        <w:spacing w:before="0" w:after="0" w:line="331" w:lineRule="exact"/>
        <w:ind w:left="0" w:right="0" w:firstLine="0"/>
        <w:jc w:val="left"/>
      </w:pPr>
      <w:bookmarkStart w:id="33" w:name="bookmark33"/>
      <w:bookmarkEnd w:id="33"/>
      <w:r>
        <w:rPr>
          <w:rFonts w:ascii="Times New Roman" w:eastAsia="Times New Roman" w:hAnsi="Times New Roman" w:cs="Times New Roman"/>
          <w:color w:val="000000"/>
          <w:spacing w:val="0"/>
          <w:w w:val="100"/>
          <w:position w:val="0"/>
          <w:sz w:val="18"/>
          <w:szCs w:val="18"/>
          <w:lang w:val="en-US" w:eastAsia="en-US" w:bidi="en-US"/>
        </w:rPr>
        <w:t xml:space="preserve">2. 2. </w:t>
      </w:r>
      <w:r>
        <w:rPr>
          <w:rFonts w:ascii="Times New Roman" w:eastAsia="Times New Roman" w:hAnsi="Times New Roman" w:cs="Times New Roman"/>
          <w:color w:val="000000"/>
          <w:spacing w:val="0"/>
          <w:w w:val="100"/>
          <w:position w:val="0"/>
          <w:sz w:val="18"/>
          <w:szCs w:val="18"/>
        </w:rPr>
        <w:t>1</w:t>
      </w:r>
      <w:r>
        <w:rPr>
          <w:color w:val="000000"/>
          <w:spacing w:val="0"/>
          <w:w w:val="100"/>
          <w:position w:val="0"/>
        </w:rPr>
        <w:t>合成革与人造革工业高浓度</w:t>
      </w: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rPr>
        <w:t>废水应采用五塔三效精馅装置回收</w:t>
      </w:r>
      <w:r>
        <w:rPr>
          <w:rFonts w:ascii="Times New Roman" w:eastAsia="Times New Roman" w:hAnsi="Times New Roman" w:cs="Times New Roman"/>
          <w:color w:val="000000"/>
          <w:spacing w:val="0"/>
          <w:w w:val="100"/>
          <w:position w:val="0"/>
          <w:sz w:val="18"/>
          <w:szCs w:val="18"/>
          <w:lang w:val="en-US" w:eastAsia="en-US" w:bidi="en-US"/>
        </w:rPr>
        <w:t>DMF,</w:t>
      </w:r>
      <w:r>
        <w:rPr>
          <w:color w:val="000000"/>
          <w:spacing w:val="0"/>
          <w:w w:val="100"/>
          <w:position w:val="0"/>
        </w:rPr>
        <w:t>精馅塔顶废水应配 备脱胺装置。</w:t>
      </w:r>
    </w:p>
    <w:p>
      <w:pPr>
        <w:pStyle w:val="Bodytext10"/>
        <w:keepNext w:val="0"/>
        <w:keepLines w:val="0"/>
        <w:widowControl w:val="0"/>
        <w:numPr>
          <w:ilvl w:val="0"/>
          <w:numId w:val="8"/>
        </w:numPr>
        <w:shd w:val="clear" w:color="auto" w:fill="auto"/>
        <w:tabs>
          <w:tab w:val="left" w:pos="334"/>
        </w:tabs>
        <w:bidi w:val="0"/>
        <w:spacing w:before="0" w:after="0" w:line="331" w:lineRule="exact"/>
        <w:ind w:left="0" w:right="0" w:firstLine="0"/>
        <w:jc w:val="left"/>
      </w:pPr>
      <w:bookmarkStart w:id="34" w:name="bookmark34"/>
      <w:bookmarkEnd w:id="34"/>
      <w:r>
        <w:rPr>
          <w:rFonts w:ascii="Times New Roman" w:eastAsia="Times New Roman" w:hAnsi="Times New Roman" w:cs="Times New Roman"/>
          <w:color w:val="000000"/>
          <w:spacing w:val="0"/>
          <w:w w:val="100"/>
          <w:position w:val="0"/>
          <w:sz w:val="18"/>
          <w:szCs w:val="18"/>
          <w:lang w:val="en-US" w:eastAsia="en-US" w:bidi="en-US"/>
        </w:rPr>
        <w:t xml:space="preserve">2. 2. </w:t>
      </w:r>
      <w:r>
        <w:rPr>
          <w:rFonts w:ascii="Times New Roman" w:eastAsia="Times New Roman" w:hAnsi="Times New Roman" w:cs="Times New Roman"/>
          <w:color w:val="000000"/>
          <w:spacing w:val="0"/>
          <w:w w:val="100"/>
          <w:position w:val="0"/>
          <w:sz w:val="18"/>
          <w:szCs w:val="18"/>
        </w:rPr>
        <w:t>2</w:t>
      </w:r>
      <w:r>
        <w:rPr>
          <w:color w:val="000000"/>
          <w:spacing w:val="0"/>
          <w:w w:val="100"/>
          <w:position w:val="0"/>
        </w:rPr>
        <w:t>污水排入集控区集中污水处佥厂的</w:t>
      </w:r>
      <w:r>
        <w:rPr>
          <w:color w:val="353A40"/>
          <w:spacing w:val="0"/>
          <w:w w:val="100"/>
          <w:position w:val="0"/>
        </w:rPr>
        <w:t>鴇革与</w:t>
      </w:r>
      <w:r>
        <w:rPr>
          <w:color w:val="000000"/>
          <w:spacing w:val="0"/>
          <w:w w:val="100"/>
          <w:position w:val="0"/>
        </w:rPr>
        <w:t>人造革企业宜根据集控区集中污水处理厂要求选 用：</w:t>
      </w:r>
    </w:p>
    <w:p>
      <w:pPr>
        <w:pStyle w:val="Bodytext10"/>
        <w:keepNext w:val="0"/>
        <w:keepLines w:val="0"/>
        <w:widowControl w:val="0"/>
        <w:shd w:val="clear" w:color="auto" w:fill="auto"/>
        <w:tabs>
          <w:tab w:val="left" w:pos="858"/>
        </w:tabs>
        <w:bidi w:val="0"/>
        <w:spacing w:before="0" w:after="0" w:line="326" w:lineRule="exact"/>
        <w:ind w:left="0" w:right="0" w:firstLine="440"/>
        <w:jc w:val="left"/>
      </w:pPr>
      <w:bookmarkStart w:id="35" w:name="bookmark35"/>
      <w:r>
        <w:rPr>
          <w:color w:val="000000"/>
          <w:spacing w:val="0"/>
          <w:w w:val="100"/>
          <w:position w:val="0"/>
          <w:lang w:val="en-US" w:eastAsia="en-US" w:bidi="en-US"/>
        </w:rPr>
        <w:t>a</w:t>
      </w:r>
      <w:bookmarkEnd w:id="35"/>
      <w:r>
        <w:rPr>
          <w:color w:val="000000"/>
          <w:spacing w:val="0"/>
          <w:w w:val="100"/>
          <w:position w:val="0"/>
          <w:lang w:val="en-US" w:eastAsia="en-US" w:bidi="en-US"/>
        </w:rPr>
        <w:t>）</w:t>
        <w:tab/>
      </w:r>
      <w:r>
        <w:rPr>
          <w:color w:val="000000"/>
          <w:spacing w:val="0"/>
          <w:w w:val="100"/>
          <w:position w:val="0"/>
        </w:rPr>
        <w:t>预处理及一级处理工艺；</w:t>
      </w:r>
    </w:p>
    <w:p>
      <w:pPr>
        <w:pStyle w:val="Bodytext10"/>
        <w:keepNext w:val="0"/>
        <w:keepLines w:val="0"/>
        <w:widowControl w:val="0"/>
        <w:shd w:val="clear" w:color="auto" w:fill="auto"/>
        <w:tabs>
          <w:tab w:val="left" w:pos="858"/>
        </w:tabs>
        <w:bidi w:val="0"/>
        <w:spacing w:before="0" w:after="0" w:line="326" w:lineRule="exact"/>
        <w:ind w:left="0" w:right="0" w:firstLine="440"/>
        <w:jc w:val="left"/>
      </w:pPr>
      <w:bookmarkStart w:id="36" w:name="bookmark36"/>
      <w:r>
        <w:rPr>
          <w:color w:val="000000"/>
          <w:spacing w:val="0"/>
          <w:w w:val="100"/>
          <w:position w:val="0"/>
          <w:lang w:val="en-US" w:eastAsia="en-US" w:bidi="en-US"/>
        </w:rPr>
        <w:t>b</w:t>
      </w:r>
      <w:bookmarkEnd w:id="36"/>
      <w:r>
        <w:rPr>
          <w:color w:val="000000"/>
          <w:spacing w:val="0"/>
          <w:w w:val="100"/>
          <w:position w:val="0"/>
          <w:lang w:val="en-US" w:eastAsia="en-US" w:bidi="en-US"/>
        </w:rPr>
        <w:t>）</w:t>
        <w:tab/>
      </w:r>
      <w:r>
        <w:rPr>
          <w:color w:val="000000"/>
          <w:spacing w:val="0"/>
          <w:w w:val="100"/>
          <w:position w:val="0"/>
        </w:rPr>
        <w:t>预处理、一级处理及二级处理工艺。</w:t>
      </w:r>
    </w:p>
    <w:p>
      <w:pPr>
        <w:pStyle w:val="Bodytext10"/>
        <w:keepNext w:val="0"/>
        <w:keepLines w:val="0"/>
        <w:widowControl w:val="0"/>
        <w:numPr>
          <w:ilvl w:val="0"/>
          <w:numId w:val="7"/>
        </w:numPr>
        <w:shd w:val="clear" w:color="auto" w:fill="auto"/>
        <w:tabs>
          <w:tab w:val="left" w:pos="334"/>
        </w:tabs>
        <w:bidi w:val="0"/>
        <w:spacing w:before="0" w:after="0" w:line="326" w:lineRule="exact"/>
        <w:ind w:left="0" w:right="0" w:firstLine="0"/>
        <w:jc w:val="left"/>
      </w:pPr>
      <w:bookmarkStart w:id="37" w:name="bookmark37"/>
      <w:bookmarkEnd w:id="37"/>
      <w:r>
        <w:rPr>
          <w:rFonts w:ascii="Times New Roman" w:eastAsia="Times New Roman" w:hAnsi="Times New Roman" w:cs="Times New Roman"/>
          <w:color w:val="000000"/>
          <w:spacing w:val="0"/>
          <w:w w:val="100"/>
          <w:position w:val="0"/>
          <w:sz w:val="18"/>
          <w:szCs w:val="18"/>
          <w:lang w:val="en-US" w:eastAsia="en-US" w:bidi="en-US"/>
        </w:rPr>
        <w:t xml:space="preserve">2. 2. </w:t>
      </w:r>
      <w:r>
        <w:rPr>
          <w:rFonts w:ascii="Times New Roman" w:eastAsia="Times New Roman" w:hAnsi="Times New Roman" w:cs="Times New Roman"/>
          <w:color w:val="000000"/>
          <w:spacing w:val="0"/>
          <w:w w:val="100"/>
          <w:position w:val="0"/>
          <w:sz w:val="18"/>
          <w:szCs w:val="18"/>
        </w:rPr>
        <w:t>3</w:t>
      </w:r>
      <w:r>
        <w:rPr>
          <w:color w:val="000000"/>
          <w:spacing w:val="0"/>
          <w:w w:val="100"/>
          <w:position w:val="0"/>
        </w:rPr>
        <w:t>不在集控区内的现有企业应采用：预处理、一级处理、</w:t>
      </w:r>
      <w:r>
        <w:rPr>
          <w:color w:val="353A40"/>
          <w:spacing w:val="0"/>
          <w:w w:val="100"/>
          <w:position w:val="0"/>
        </w:rPr>
        <w:t>二级处</w:t>
      </w:r>
      <w:r>
        <w:rPr>
          <w:color w:val="000000"/>
          <w:spacing w:val="0"/>
          <w:w w:val="100"/>
          <w:position w:val="0"/>
        </w:rPr>
        <w:t>理及三级处理工艺。</w:t>
      </w:r>
    </w:p>
    <w:p>
      <w:pPr>
        <w:pStyle w:val="Bodytext10"/>
        <w:keepNext w:val="0"/>
        <w:keepLines w:val="0"/>
        <w:widowControl w:val="0"/>
        <w:numPr>
          <w:ilvl w:val="0"/>
          <w:numId w:val="5"/>
        </w:numPr>
        <w:shd w:val="clear" w:color="auto" w:fill="auto"/>
        <w:tabs>
          <w:tab w:val="left" w:pos="334"/>
        </w:tabs>
        <w:bidi w:val="0"/>
        <w:spacing w:before="0" w:after="200" w:line="326" w:lineRule="exact"/>
        <w:ind w:left="0" w:right="0" w:firstLine="0"/>
        <w:jc w:val="left"/>
        <w:rPr>
          <w:sz w:val="18"/>
          <w:szCs w:val="18"/>
        </w:rPr>
      </w:pPr>
      <w:bookmarkStart w:id="38" w:name="bookmark38"/>
      <w:bookmarkEnd w:id="38"/>
      <w:r>
        <w:rPr>
          <w:rFonts w:ascii="Times New Roman" w:eastAsia="Times New Roman" w:hAnsi="Times New Roman" w:cs="Times New Roman"/>
          <w:color w:val="000000"/>
          <w:spacing w:val="0"/>
          <w:w w:val="100"/>
          <w:position w:val="0"/>
          <w:sz w:val="18"/>
          <w:szCs w:val="18"/>
          <w:lang w:val="en-US" w:eastAsia="en-US" w:bidi="en-US"/>
        </w:rPr>
        <w:t xml:space="preserve">2. 2. </w:t>
      </w:r>
      <w:r>
        <w:rPr>
          <w:rFonts w:ascii="Times New Roman" w:eastAsia="Times New Roman" w:hAnsi="Times New Roman" w:cs="Times New Roman"/>
          <w:color w:val="000000"/>
          <w:spacing w:val="0"/>
          <w:w w:val="100"/>
          <w:position w:val="0"/>
          <w:sz w:val="18"/>
          <w:szCs w:val="18"/>
        </w:rPr>
        <w:t>4</w:t>
      </w:r>
      <w:r>
        <w:rPr>
          <w:color w:val="000000"/>
          <w:spacing w:val="0"/>
          <w:w w:val="100"/>
          <w:position w:val="0"/>
          <w:sz w:val="20"/>
          <w:szCs w:val="20"/>
        </w:rPr>
        <w:t>集控区集中污水处理厂应采用一级处理、二级处理及三级处理</w:t>
      </w:r>
      <w:r>
        <w:rPr>
          <w:rFonts w:ascii="Times New Roman" w:eastAsia="Times New Roman" w:hAnsi="Times New Roman" w:cs="Times New Roman"/>
          <w:color w:val="000000"/>
          <w:spacing w:val="0"/>
          <w:w w:val="100"/>
          <w:position w:val="0"/>
          <w:sz w:val="18"/>
          <w:szCs w:val="18"/>
          <w:lang w:val="en-US" w:eastAsia="en-US" w:bidi="en-US"/>
        </w:rPr>
        <w:t>J .£o</w:t>
      </w:r>
      <w:r>
        <w:rPr>
          <w:sz w:val="18"/>
          <w:szCs w:val="18"/>
        </w:rPr>
        <w:br/>
      </w:r>
      <w:r>
        <w:rPr>
          <w:sz w:val="18"/>
          <w:szCs w:val="18"/>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1" w:history="1">
        <w:r>
          <w:rPr>
            <w:rFonts w:ascii="SimSun" w:eastAsia="SimSun" w:hAnsi="SimSun" w:cs="SimSun"/>
            <w:b/>
            <w:bCs/>
            <w:color w:val="0000EE"/>
            <w:spacing w:val="0"/>
            <w:w w:val="100"/>
            <w:position w:val="0"/>
            <w:sz w:val="30"/>
            <w:szCs w:val="30"/>
            <w:u w:val="single" w:color="0000EE"/>
            <w:shd w:val="clear" w:color="auto" w:fill="auto"/>
          </w:rPr>
          <w:t>https://d.book118.com/748101072076006035</w:t>
        </w:r>
      </w:hyperlink>
    </w:p>
    <w:p>
      <w:pPr>
        <w:pStyle w:val="Bodytext10"/>
        <w:keepNext w:val="0"/>
        <w:keepLines w:val="0"/>
        <w:widowControl w:val="0"/>
        <w:numPr>
          <w:ilvl w:val="0"/>
          <w:numId w:val="5"/>
        </w:numPr>
        <w:shd w:val="clear" w:color="auto" w:fill="auto"/>
        <w:tabs>
          <w:tab w:val="left" w:pos="334"/>
        </w:tabs>
        <w:bidi w:val="0"/>
        <w:spacing w:before="0" w:after="200" w:line="326" w:lineRule="exact"/>
        <w:ind w:left="0" w:right="0" w:firstLine="0"/>
        <w:jc w:val="left"/>
        <w:rPr>
          <w:sz w:val="18"/>
          <w:szCs w:val="18"/>
        </w:rPr>
      </w:pPr>
    </w:p>
    <w:sectPr>
      <w:headerReference w:type="even" r:id="rId42"/>
      <w:headerReference w:type="default" r:id="rId43"/>
      <w:footerReference w:type="even" r:id="rId44"/>
      <w:footerReference w:type="default" r:id="rId45"/>
      <w:type w:val="nextPage"/>
      <w:pgSz w:w="11900" w:h="16840"/>
      <w:pgMar w:top="1581" w:right="1164" w:bottom="1191" w:left="1228" w:header="0" w:footer="3" w:gutter="0"/>
      <w:pgNumType w:start="8"/>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6664325</wp:posOffset>
              </wp:positionH>
              <wp:positionV relativeFrom="page">
                <wp:posOffset>9857740</wp:posOffset>
              </wp:positionV>
              <wp:extent cx="39370" cy="7620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2" type="#_x0000_t202" style="width:3.1pt;height:6pt;margin-top:776.2pt;margin-left:524.7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6664325</wp:posOffset>
              </wp:positionH>
              <wp:positionV relativeFrom="page">
                <wp:posOffset>9857740</wp:posOffset>
              </wp:positionV>
              <wp:extent cx="39370" cy="7620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0" type="#_x0000_t202" style="width:3.1pt;height:6pt;margin-top:776.2pt;margin-left:524.7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804545</wp:posOffset>
              </wp:positionH>
              <wp:positionV relativeFrom="page">
                <wp:posOffset>9899650</wp:posOffset>
              </wp:positionV>
              <wp:extent cx="42545" cy="76200"/>
              <wp:wrapNone/>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4</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58" type="#_x0000_t202" style="width:3.35pt;height:6pt;margin-top:779.5pt;margin-left:63.3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4</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6568440</wp:posOffset>
              </wp:positionH>
              <wp:positionV relativeFrom="page">
                <wp:posOffset>9899650</wp:posOffset>
              </wp:positionV>
              <wp:extent cx="33655" cy="76200"/>
              <wp:wrapNone/>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1</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56" type="#_x0000_t202" style="width:2.65pt;height:6pt;margin-top:779.5pt;margin-left:517.2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1</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804545</wp:posOffset>
              </wp:positionH>
              <wp:positionV relativeFrom="page">
                <wp:posOffset>9899650</wp:posOffset>
              </wp:positionV>
              <wp:extent cx="42545" cy="76200"/>
              <wp:wrapNone/>
              <wp:docPr id="1910063778"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2</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62" type="#_x0000_t202" style="width:3.35pt;height:6pt;margin-top:779.5pt;margin-left:63.3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2</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6568440</wp:posOffset>
              </wp:positionH>
              <wp:positionV relativeFrom="page">
                <wp:posOffset>9899650</wp:posOffset>
              </wp:positionV>
              <wp:extent cx="33655" cy="76200"/>
              <wp:wrapNone/>
              <wp:docPr id="2035371243"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0" type="#_x0000_t202" style="width:2.65pt;height:6pt;margin-top:779.5pt;margin-left:517.2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804545</wp:posOffset>
              </wp:positionH>
              <wp:positionV relativeFrom="page">
                <wp:posOffset>9899650</wp:posOffset>
              </wp:positionV>
              <wp:extent cx="42545" cy="76200"/>
              <wp:wrapNone/>
              <wp:docPr id="827156945"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4</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66" type="#_x0000_t202" style="width:3.35pt;height:6pt;margin-top:779.5pt;margin-left:63.3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4</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6568440</wp:posOffset>
              </wp:positionH>
              <wp:positionV relativeFrom="page">
                <wp:posOffset>9899650</wp:posOffset>
              </wp:positionV>
              <wp:extent cx="33655" cy="76200"/>
              <wp:wrapNone/>
              <wp:docPr id="585727887"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4" type="#_x0000_t202" style="width:2.65pt;height:6pt;margin-top:779.5pt;margin-left:517.2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804545</wp:posOffset>
              </wp:positionH>
              <wp:positionV relativeFrom="page">
                <wp:posOffset>9899650</wp:posOffset>
              </wp:positionV>
              <wp:extent cx="42545" cy="76200"/>
              <wp:wrapNone/>
              <wp:docPr id="216501030"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4</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70" type="#_x0000_t202" style="width:3.35pt;height:6pt;margin-top:779.5pt;margin-left:63.3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4</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6568440</wp:posOffset>
              </wp:positionH>
              <wp:positionV relativeFrom="page">
                <wp:posOffset>9899650</wp:posOffset>
              </wp:positionV>
              <wp:extent cx="33655" cy="76200"/>
              <wp:wrapNone/>
              <wp:docPr id="195372506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8" type="#_x0000_t202" style="width:2.65pt;height:6pt;margin-top:779.5pt;margin-left:517.2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972820</wp:posOffset>
              </wp:positionH>
              <wp:positionV relativeFrom="page">
                <wp:posOffset>9881235</wp:posOffset>
              </wp:positionV>
              <wp:extent cx="45720" cy="76200"/>
              <wp:wrapNone/>
              <wp:docPr id="30"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8</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0" o:spid="_x0000_s2074" type="#_x0000_t202" style="width:3.6pt;height:6pt;margin-top:778.05pt;margin-left:76.6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8</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6591935</wp:posOffset>
              </wp:positionH>
              <wp:positionV relativeFrom="page">
                <wp:posOffset>9881235</wp:posOffset>
              </wp:positionV>
              <wp:extent cx="42545" cy="76200"/>
              <wp:wrapNone/>
              <wp:docPr id="26"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5</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6" o:spid="_x0000_s2072" type="#_x0000_t202" style="width:3.35pt;height:6pt;margin-top:778.05pt;margin-left:519.0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5</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972820</wp:posOffset>
              </wp:positionH>
              <wp:positionV relativeFrom="page">
                <wp:posOffset>9881235</wp:posOffset>
              </wp:positionV>
              <wp:extent cx="45720" cy="76200"/>
              <wp:wrapNone/>
              <wp:docPr id="652724868"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0" o:spid="_x0000_s2078" type="#_x0000_t202" style="width:3.6pt;height:6pt;margin-top:778.05pt;margin-left:76.6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6591935</wp:posOffset>
              </wp:positionH>
              <wp:positionV relativeFrom="page">
                <wp:posOffset>9881235</wp:posOffset>
              </wp:positionV>
              <wp:extent cx="42545" cy="76200"/>
              <wp:wrapNone/>
              <wp:docPr id="1451327230"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7</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6" o:spid="_x0000_s2076" type="#_x0000_t202" style="width:3.35pt;height:6pt;margin-top:778.05pt;margin-left:519.0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7</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972820</wp:posOffset>
              </wp:positionH>
              <wp:positionV relativeFrom="page">
                <wp:posOffset>9881235</wp:posOffset>
              </wp:positionV>
              <wp:extent cx="45720" cy="76200"/>
              <wp:wrapNone/>
              <wp:docPr id="563006062"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8</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0" o:spid="_x0000_s2082" type="#_x0000_t202" style="width:3.6pt;height:6pt;margin-top:778.05pt;margin-left:76.6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8</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6591935</wp:posOffset>
              </wp:positionH>
              <wp:positionV relativeFrom="page">
                <wp:posOffset>9881235</wp:posOffset>
              </wp:positionV>
              <wp:extent cx="42545" cy="76200"/>
              <wp:wrapNone/>
              <wp:docPr id="156971603"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7</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6" o:spid="_x0000_s2080" type="#_x0000_t202" style="width:3.35pt;height:6pt;margin-top:778.05pt;margin-left:519.0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7</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972820</wp:posOffset>
              </wp:positionH>
              <wp:positionV relativeFrom="page">
                <wp:posOffset>9881235</wp:posOffset>
              </wp:positionV>
              <wp:extent cx="45720" cy="76200"/>
              <wp:wrapNone/>
              <wp:docPr id="1795622958"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8</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0" o:spid="_x0000_s2086" type="#_x0000_t202" style="width:3.6pt;height:6pt;margin-top:778.05pt;margin-left:76.6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8</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6591935</wp:posOffset>
              </wp:positionH>
              <wp:positionV relativeFrom="page">
                <wp:posOffset>9881235</wp:posOffset>
              </wp:positionV>
              <wp:extent cx="42545" cy="76200"/>
              <wp:wrapNone/>
              <wp:docPr id="78082430"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7</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6" o:spid="_x0000_s2084" type="#_x0000_t202" style="width:3.35pt;height:6pt;margin-top:778.05pt;margin-left:519.0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7</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5710555</wp:posOffset>
              </wp:positionH>
              <wp:positionV relativeFrom="page">
                <wp:posOffset>935990</wp:posOffset>
              </wp:positionV>
              <wp:extent cx="1121410" cy="10033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1" type="#_x0000_t202" style="width:88.3pt;height:7.9pt;margin-top:73.7pt;margin-left:449.6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1452—2014</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5710555</wp:posOffset>
              </wp:positionH>
              <wp:positionV relativeFrom="page">
                <wp:posOffset>935990</wp:posOffset>
              </wp:positionV>
              <wp:extent cx="1121410" cy="10033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49" type="#_x0000_t202" style="width:88.3pt;height:7.9pt;margin-top:73.7pt;margin-left:449.6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1452—2014</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724535</wp:posOffset>
              </wp:positionH>
              <wp:positionV relativeFrom="page">
                <wp:posOffset>935990</wp:posOffset>
              </wp:positionV>
              <wp:extent cx="1121410" cy="100330"/>
              <wp:wrapNone/>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54" type="#_x0000_t202" style="width:88.3pt;height:7.9pt;margin-top:73.7pt;margin-left:57.0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1452—2014</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724535</wp:posOffset>
              </wp:positionH>
              <wp:positionV relativeFrom="page">
                <wp:posOffset>935990</wp:posOffset>
              </wp:positionV>
              <wp:extent cx="1121410" cy="10033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53" type="#_x0000_t202" style="width:88.3pt;height:7.9pt;margin-top:73.7pt;margin-left:57.0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1452—2014</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664210</wp:posOffset>
              </wp:positionH>
              <wp:positionV relativeFrom="page">
                <wp:posOffset>977900</wp:posOffset>
              </wp:positionV>
              <wp:extent cx="1121410" cy="100330"/>
              <wp:wrapNone/>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57" type="#_x0000_t202" style="width:88.3pt;height:7.9pt;margin-top:77pt;margin-left:52.3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5610860</wp:posOffset>
              </wp:positionH>
              <wp:positionV relativeFrom="page">
                <wp:posOffset>977900</wp:posOffset>
              </wp:positionV>
              <wp:extent cx="1121410" cy="100330"/>
              <wp:wrapNone/>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55" type="#_x0000_t202" style="width:88.3pt;height:7.9pt;margin-top:77pt;margin-left:441.8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664210</wp:posOffset>
              </wp:positionH>
              <wp:positionV relativeFrom="page">
                <wp:posOffset>977900</wp:posOffset>
              </wp:positionV>
              <wp:extent cx="1121410" cy="100330"/>
              <wp:wrapNone/>
              <wp:docPr id="1282468178"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61" type="#_x0000_t202" style="width:88.3pt;height:7.9pt;margin-top:77pt;margin-left:52.3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5610860</wp:posOffset>
              </wp:positionH>
              <wp:positionV relativeFrom="page">
                <wp:posOffset>977900</wp:posOffset>
              </wp:positionV>
              <wp:extent cx="1121410" cy="100330"/>
              <wp:wrapNone/>
              <wp:docPr id="1073306382"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59" type="#_x0000_t202" style="width:88.3pt;height:7.9pt;margin-top:77pt;margin-left:441.8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664210</wp:posOffset>
              </wp:positionH>
              <wp:positionV relativeFrom="page">
                <wp:posOffset>977900</wp:posOffset>
              </wp:positionV>
              <wp:extent cx="1121410" cy="100330"/>
              <wp:wrapNone/>
              <wp:docPr id="194173927"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65" type="#_x0000_t202" style="width:88.3pt;height:7.9pt;margin-top:77pt;margin-left:52.3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5610860</wp:posOffset>
              </wp:positionH>
              <wp:positionV relativeFrom="page">
                <wp:posOffset>977900</wp:posOffset>
              </wp:positionV>
              <wp:extent cx="1121410" cy="100330"/>
              <wp:wrapNone/>
              <wp:docPr id="124779243"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63" type="#_x0000_t202" style="width:88.3pt;height:7.9pt;margin-top:77pt;margin-left:441.8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664210</wp:posOffset>
              </wp:positionH>
              <wp:positionV relativeFrom="page">
                <wp:posOffset>977900</wp:posOffset>
              </wp:positionV>
              <wp:extent cx="1121410" cy="100330"/>
              <wp:wrapNone/>
              <wp:docPr id="2044226392"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69" type="#_x0000_t202" style="width:88.3pt;height:7.9pt;margin-top:77pt;margin-left:52.3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5610860</wp:posOffset>
              </wp:positionH>
              <wp:positionV relativeFrom="page">
                <wp:posOffset>977900</wp:posOffset>
              </wp:positionV>
              <wp:extent cx="1121410" cy="100330"/>
              <wp:wrapNone/>
              <wp:docPr id="30631966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67" type="#_x0000_t202" style="width:88.3pt;height:7.9pt;margin-top:77pt;margin-left:441.8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833120</wp:posOffset>
              </wp:positionH>
              <wp:positionV relativeFrom="page">
                <wp:posOffset>959485</wp:posOffset>
              </wp:positionV>
              <wp:extent cx="1121410" cy="100330"/>
              <wp:wrapNone/>
              <wp:docPr id="28"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8" o:spid="_x0000_s2073" type="#_x0000_t202" style="width:88.3pt;height:7.9pt;margin-top:75.55pt;margin-left:65.6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5641340</wp:posOffset>
              </wp:positionH>
              <wp:positionV relativeFrom="page">
                <wp:posOffset>959485</wp:posOffset>
              </wp:positionV>
              <wp:extent cx="1121410" cy="100330"/>
              <wp:wrapNone/>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71" type="#_x0000_t202" style="width:88.3pt;height:7.9pt;margin-top:75.55pt;margin-left:444.2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833120</wp:posOffset>
              </wp:positionH>
              <wp:positionV relativeFrom="page">
                <wp:posOffset>959485</wp:posOffset>
              </wp:positionV>
              <wp:extent cx="1121410" cy="100330"/>
              <wp:wrapNone/>
              <wp:docPr id="1972716889"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8" o:spid="_x0000_s2077" type="#_x0000_t202" style="width:88.3pt;height:7.9pt;margin-top:75.55pt;margin-left:65.6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5641340</wp:posOffset>
              </wp:positionH>
              <wp:positionV relativeFrom="page">
                <wp:posOffset>959485</wp:posOffset>
              </wp:positionV>
              <wp:extent cx="1121410" cy="100330"/>
              <wp:wrapNone/>
              <wp:docPr id="1234932761"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75" type="#_x0000_t202" style="width:88.3pt;height:7.9pt;margin-top:75.55pt;margin-left:444.2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833120</wp:posOffset>
              </wp:positionH>
              <wp:positionV relativeFrom="page">
                <wp:posOffset>959485</wp:posOffset>
              </wp:positionV>
              <wp:extent cx="1121410" cy="100330"/>
              <wp:wrapNone/>
              <wp:docPr id="317397211"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8" o:spid="_x0000_s2081" type="#_x0000_t202" style="width:88.3pt;height:7.9pt;margin-top:75.55pt;margin-left:65.6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5641340</wp:posOffset>
              </wp:positionH>
              <wp:positionV relativeFrom="page">
                <wp:posOffset>959485</wp:posOffset>
              </wp:positionV>
              <wp:extent cx="1121410" cy="100330"/>
              <wp:wrapNone/>
              <wp:docPr id="138013922"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79" type="#_x0000_t202" style="width:88.3pt;height:7.9pt;margin-top:75.55pt;margin-left:444.2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833120</wp:posOffset>
              </wp:positionH>
              <wp:positionV relativeFrom="page">
                <wp:posOffset>959485</wp:posOffset>
              </wp:positionV>
              <wp:extent cx="1121410" cy="100330"/>
              <wp:wrapNone/>
              <wp:docPr id="367751748"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8" o:spid="_x0000_s2085" type="#_x0000_t202" style="width:88.3pt;height:7.9pt;margin-top:75.55pt;margin-left:65.6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5641340</wp:posOffset>
              </wp:positionH>
              <wp:positionV relativeFrom="page">
                <wp:posOffset>959485</wp:posOffset>
              </wp:positionV>
              <wp:extent cx="1121410" cy="100330"/>
              <wp:wrapNone/>
              <wp:docPr id="523488242"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83" type="#_x0000_t202" style="width:88.3pt;height:7.9pt;margin-top:75.55pt;margin-left:444.2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1452—2014</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700B2C"/>
    <w:multiLevelType w:val="multilevel"/>
    <w:tmpl w:val="00000000"/>
    <w:lvl w:ilvl="0">
      <w:start w:val="3"/>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A491999"/>
    <w:multiLevelType w:val="multilevel"/>
    <w:tmpl w:val="00000000"/>
    <w:lvl w:ilvl="0">
      <w:start w:val="3"/>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C458A5D"/>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F7B85C1"/>
    <w:multiLevelType w:val="multilevel"/>
    <w:tmpl w:val="00000000"/>
    <w:lvl w:ilvl="0">
      <w:start w:val="3"/>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0FB93CE9"/>
    <w:multiLevelType w:val="multilevel"/>
    <w:tmpl w:val="00000000"/>
    <w:lvl w:ilvl="0">
      <w:start w:val="1"/>
      <w:numFmt w:val="lowerLetter"/>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14E7C4FC"/>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192A1CB1"/>
    <w:multiLevelType w:val="multilevel"/>
    <w:tmpl w:val="00000000"/>
    <w:lvl w:ilvl="0">
      <w:start w:val="2"/>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1C9FBBD2"/>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1F52C9C4"/>
    <w:multiLevelType w:val="multilevel"/>
    <w:tmpl w:val="00000000"/>
    <w:lvl w:ilvl="0">
      <w:start w:val="3"/>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231D6415"/>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295F834B"/>
    <w:multiLevelType w:val="multilevel"/>
    <w:tmpl w:val="00000000"/>
    <w:lvl w:ilvl="0">
      <w:start w:val="3"/>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2A409244"/>
    <w:multiLevelType w:val="multilevel"/>
    <w:tmpl w:val="00000000"/>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2BDA2141"/>
    <w:multiLevelType w:val="multilevel"/>
    <w:tmpl w:val="00000000"/>
    <w:lvl w:ilvl="0">
      <w:start w:val="3"/>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2C7C0C3C"/>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2DCCA125"/>
    <w:multiLevelType w:val="multilevel"/>
    <w:tmpl w:val="00000000"/>
    <w:lvl w:ilvl="0">
      <w:start w:val="2"/>
      <w:numFmt w:val="decimal"/>
      <w:lvlText w:val="6.3.%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307536C5"/>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342EA813"/>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37A05626"/>
    <w:multiLevelType w:val="multilevel"/>
    <w:tmpl w:val="00000000"/>
    <w:lvl w:ilvl="0">
      <w:start w:val="3"/>
      <w:numFmt w:val="decimal"/>
      <w:lvlText w:val="6.%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40B403A6"/>
    <w:multiLevelType w:val="multilevel"/>
    <w:tmpl w:val="00000000"/>
    <w:lvl w:ilvl="0">
      <w:start w:val="2"/>
      <w:numFmt w:val="decimal"/>
      <w:lvlText w:val="6.3.%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412F1F68"/>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496265CE"/>
    <w:multiLevelType w:val="multilevel"/>
    <w:tmpl w:val="00000000"/>
    <w:lvl w:ilvl="0">
      <w:start w:val="3"/>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4AD5C3B8"/>
    <w:multiLevelType w:val="multilevel"/>
    <w:tmpl w:val="00000000"/>
    <w:lvl w:ilvl="0">
      <w:start w:val="4"/>
      <w:numFmt w:val="decimal"/>
      <w:lvlText w:val="6.%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4B44325D"/>
    <w:multiLevelType w:val="multilevel"/>
    <w:tmpl w:val="00000000"/>
    <w:lvl w:ilvl="0">
      <w:start w:val="3"/>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588C0EA0"/>
    <w:multiLevelType w:val="multilevel"/>
    <w:tmpl w:val="00000000"/>
    <w:lvl w:ilvl="0">
      <w:start w:val="3"/>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592DDFE2"/>
    <w:multiLevelType w:val="multilevel"/>
    <w:tmpl w:val="00000000"/>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598B381B"/>
    <w:multiLevelType w:val="multilevel"/>
    <w:tmpl w:val="00000000"/>
    <w:lvl w:ilvl="0">
      <w:start w:val="2"/>
      <w:numFmt w:val="decimal"/>
      <w:lvlText w:val="11.%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5A97FB91"/>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7">
    <w:nsid w:val="5DC86E5B"/>
    <w:multiLevelType w:val="multilevel"/>
    <w:tmpl w:val="00000000"/>
    <w:lvl w:ilvl="0">
      <w:start w:val="3"/>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8">
    <w:nsid w:val="5F8FED5B"/>
    <w:multiLevelType w:val="multilevel"/>
    <w:tmpl w:val="00000000"/>
    <w:lvl w:ilvl="0">
      <w:start w:val="3"/>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9">
    <w:nsid w:val="5FFE3A91"/>
    <w:multiLevelType w:val="multilevel"/>
    <w:tmpl w:val="00000000"/>
    <w:lvl w:ilvl="0">
      <w:start w:val="2"/>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0">
    <w:nsid w:val="65AD9C18"/>
    <w:multiLevelType w:val="multilevel"/>
    <w:tmpl w:val="00000000"/>
    <w:lvl w:ilvl="0">
      <w:start w:val="1"/>
      <w:numFmt w:val="decimal"/>
      <w:lvlText w:val="6.3.1.1.%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1">
    <w:nsid w:val="67F487A6"/>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2">
    <w:nsid w:val="6CD0DC45"/>
    <w:multiLevelType w:val="multilevel"/>
    <w:tmpl w:val="00000000"/>
    <w:lvl w:ilvl="0">
      <w:start w:val="2"/>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3">
    <w:nsid w:val="706FB472"/>
    <w:multiLevelType w:val="multilevel"/>
    <w:tmpl w:val="00000000"/>
    <w:lvl w:ilvl="0">
      <w:start w:val="3"/>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4">
    <w:nsid w:val="76094A88"/>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5">
    <w:nsid w:val="766E4EE7"/>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6">
    <w:nsid w:val="769B4634"/>
    <w:multiLevelType w:val="multilevel"/>
    <w:tmpl w:val="00000000"/>
    <w:lvl w:ilvl="0">
      <w:start w:val="1"/>
      <w:numFmt w:val="decimal"/>
      <w:lvlText w:val="6.3.1.%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7">
    <w:nsid w:val="7815F192"/>
    <w:multiLevelType w:val="multilevel"/>
    <w:tmpl w:val="00000000"/>
    <w:lvl w:ilvl="0">
      <w:start w:val="3"/>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8">
    <w:nsid w:val="7E490745"/>
    <w:multiLevelType w:val="multilevel"/>
    <w:tmpl w:val="00000000"/>
    <w:lvl w:ilvl="0">
      <w:start w:val="3"/>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9">
    <w:nsid w:val="7E6A4827"/>
    <w:multiLevelType w:val="multilevel"/>
    <w:tmpl w:val="00000000"/>
    <w:lvl w:ilvl="0">
      <w:start w:val="1"/>
      <w:numFmt w:val="upperRoman"/>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39"/>
  </w:num>
  <w:num w:numId="2">
    <w:abstractNumId w:val="1"/>
  </w:num>
  <w:num w:numId="3">
    <w:abstractNumId w:val="34"/>
  </w:num>
  <w:num w:numId="4">
    <w:abstractNumId w:val="5"/>
  </w:num>
  <w:num w:numId="5">
    <w:abstractNumId w:val="35"/>
  </w:num>
  <w:num w:numId="6">
    <w:abstractNumId w:val="9"/>
  </w:num>
  <w:num w:numId="7">
    <w:abstractNumId w:val="31"/>
  </w:num>
  <w:num w:numId="8">
    <w:abstractNumId w:val="16"/>
  </w:num>
  <w:num w:numId="9">
    <w:abstractNumId w:val="2"/>
  </w:num>
  <w:num w:numId="10">
    <w:abstractNumId w:val="36"/>
  </w:num>
  <w:num w:numId="11">
    <w:abstractNumId w:val="30"/>
  </w:num>
  <w:num w:numId="12">
    <w:abstractNumId w:val="4"/>
  </w:num>
  <w:num w:numId="13">
    <w:abstractNumId w:val="20"/>
  </w:num>
  <w:num w:numId="14">
    <w:abstractNumId w:val="0"/>
  </w:num>
  <w:num w:numId="15">
    <w:abstractNumId w:val="8"/>
  </w:num>
  <w:num w:numId="16">
    <w:abstractNumId w:val="33"/>
  </w:num>
  <w:num w:numId="17">
    <w:abstractNumId w:val="23"/>
  </w:num>
  <w:num w:numId="18">
    <w:abstractNumId w:val="3"/>
  </w:num>
  <w:num w:numId="19">
    <w:abstractNumId w:val="17"/>
  </w:num>
  <w:num w:numId="20">
    <w:abstractNumId w:val="18"/>
  </w:num>
  <w:num w:numId="21">
    <w:abstractNumId w:val="14"/>
  </w:num>
  <w:num w:numId="22">
    <w:abstractNumId w:val="21"/>
  </w:num>
  <w:num w:numId="23">
    <w:abstractNumId w:val="7"/>
  </w:num>
  <w:num w:numId="24">
    <w:abstractNumId w:val="15"/>
  </w:num>
  <w:num w:numId="25">
    <w:abstractNumId w:val="19"/>
  </w:num>
  <w:num w:numId="26">
    <w:abstractNumId w:val="13"/>
  </w:num>
  <w:num w:numId="27">
    <w:abstractNumId w:val="26"/>
  </w:num>
  <w:num w:numId="28">
    <w:abstractNumId w:val="29"/>
  </w:num>
  <w:num w:numId="29">
    <w:abstractNumId w:val="6"/>
  </w:num>
  <w:num w:numId="30">
    <w:abstractNumId w:val="28"/>
  </w:num>
  <w:num w:numId="31">
    <w:abstractNumId w:val="38"/>
  </w:num>
  <w:num w:numId="32">
    <w:abstractNumId w:val="12"/>
  </w:num>
  <w:num w:numId="33">
    <w:abstractNumId w:val="10"/>
  </w:num>
  <w:num w:numId="34">
    <w:abstractNumId w:val="37"/>
  </w:num>
  <w:num w:numId="35">
    <w:abstractNumId w:val="22"/>
  </w:num>
  <w:num w:numId="36">
    <w:abstractNumId w:val="24"/>
  </w:num>
  <w:num w:numId="37">
    <w:abstractNumId w:val="11"/>
  </w:num>
  <w:num w:numId="38">
    <w:abstractNumId w:val="32"/>
  </w:num>
  <w:num w:numId="39">
    <w:abstractNumId w:val="25"/>
  </w:num>
  <w:num w:numId="4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3">
    <w:name w:val="Body text|3_"/>
    <w:basedOn w:val="DefaultParagraphFont"/>
    <w:link w:val="Bodytext30"/>
    <w:rPr>
      <w:b w:val="0"/>
      <w:bCs w:val="0"/>
      <w:i w:val="0"/>
      <w:iCs w:val="0"/>
      <w:smallCaps w:val="0"/>
      <w:strike w:val="0"/>
      <w:sz w:val="28"/>
      <w:szCs w:val="28"/>
      <w:u w:val="none"/>
      <w:shd w:val="clear" w:color="auto" w:fill="auto"/>
    </w:rPr>
  </w:style>
  <w:style w:type="character" w:customStyle="1" w:styleId="Bodytext2">
    <w:name w:val="Body text|2_"/>
    <w:basedOn w:val="DefaultParagraphFont"/>
    <w:link w:val="Bodytext20"/>
    <w:rPr>
      <w:b w:val="0"/>
      <w:bCs w:val="0"/>
      <w:i w:val="0"/>
      <w:iCs w:val="0"/>
      <w:smallCaps w:val="0"/>
      <w:strike w:val="0"/>
      <w:sz w:val="18"/>
      <w:szCs w:val="18"/>
      <w:u w:val="none"/>
      <w:shd w:val="clear" w:color="auto" w:fill="auto"/>
      <w:lang w:val="zh-TW" w:eastAsia="zh-TW" w:bidi="zh-TW"/>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6"/>
      <w:szCs w:val="46"/>
      <w:u w:val="none"/>
      <w:shd w:val="clear" w:color="auto" w:fill="auto"/>
      <w:lang w:val="zh-TW" w:eastAsia="zh-TW" w:bidi="zh-TW"/>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Bodytext4">
    <w:name w:val="Body text|4_"/>
    <w:basedOn w:val="DefaultParagraphFont"/>
    <w:link w:val="Bodytext4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Tableofcontents1">
    <w:name w:val="Table of contents|1_"/>
    <w:basedOn w:val="DefaultParagraphFont"/>
    <w:link w:val="Tableofcontents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18"/>
      <w:szCs w:val="18"/>
      <w:u w:val="none"/>
      <w:shd w:val="clear" w:color="auto" w:fill="auto"/>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Bodytext6">
    <w:name w:val="Body text|6_"/>
    <w:basedOn w:val="DefaultParagraphFont"/>
    <w:link w:val="Bodytext60"/>
    <w:rPr>
      <w:b w:val="0"/>
      <w:bCs w:val="0"/>
      <w:i w:val="0"/>
      <w:iCs w:val="0"/>
      <w:smallCaps w:val="0"/>
      <w:strike w:val="0"/>
      <w:sz w:val="20"/>
      <w:szCs w:val="20"/>
      <w:u w:val="none"/>
      <w:shd w:val="clear" w:color="auto" w:fill="auto"/>
    </w:rPr>
  </w:style>
  <w:style w:type="character" w:customStyle="1" w:styleId="Bodytext5">
    <w:name w:val="Body text|5_"/>
    <w:basedOn w:val="DefaultParagraphFont"/>
    <w:link w:val="Bodytext50"/>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Bodytext30">
    <w:name w:val="Body text|3"/>
    <w:basedOn w:val="Normal"/>
    <w:link w:val="Bodytext3"/>
    <w:pPr>
      <w:widowControl w:val="0"/>
      <w:shd w:val="clear" w:color="auto" w:fill="auto"/>
      <w:spacing w:after="4190" w:line="269" w:lineRule="auto"/>
      <w:jc w:val="center"/>
    </w:pPr>
    <w:rPr>
      <w:b w:val="0"/>
      <w:bCs w:val="0"/>
      <w:i w:val="0"/>
      <w:iCs w:val="0"/>
      <w:smallCaps w:val="0"/>
      <w:strike w:val="0"/>
      <w:sz w:val="28"/>
      <w:szCs w:val="28"/>
      <w:u w:val="none"/>
      <w:shd w:val="clear" w:color="auto" w:fill="auto"/>
    </w:rPr>
  </w:style>
  <w:style w:type="paragraph" w:customStyle="1" w:styleId="Bodytext20">
    <w:name w:val="Body text|2"/>
    <w:basedOn w:val="Normal"/>
    <w:link w:val="Bodytext2"/>
    <w:pPr>
      <w:widowControl w:val="0"/>
      <w:shd w:val="clear" w:color="auto" w:fill="auto"/>
      <w:spacing w:after="40"/>
      <w:ind w:firstLine="260"/>
    </w:pPr>
    <w:rPr>
      <w:b w:val="0"/>
      <w:bCs w:val="0"/>
      <w:i w:val="0"/>
      <w:iCs w:val="0"/>
      <w:smallCaps w:val="0"/>
      <w:strike w:val="0"/>
      <w:sz w:val="18"/>
      <w:szCs w:val="18"/>
      <w:u w:val="none"/>
      <w:shd w:val="clear" w:color="auto" w:fill="auto"/>
      <w:lang w:val="zh-TW" w:eastAsia="zh-TW" w:bidi="zh-TW"/>
    </w:rPr>
  </w:style>
  <w:style w:type="paragraph" w:customStyle="1" w:styleId="Heading110">
    <w:name w:val="Heading #1|1"/>
    <w:basedOn w:val="Normal"/>
    <w:link w:val="Heading11"/>
    <w:pPr>
      <w:widowControl w:val="0"/>
      <w:shd w:val="clear" w:color="auto" w:fill="auto"/>
      <w:spacing w:after="340" w:line="180" w:lineRule="auto"/>
      <w:jc w:val="right"/>
      <w:outlineLvl w:val="0"/>
    </w:pPr>
    <w:rPr>
      <w:b/>
      <w:bCs/>
      <w:i w:val="0"/>
      <w:iCs w:val="0"/>
      <w:smallCaps w:val="0"/>
      <w:strike w:val="0"/>
      <w:sz w:val="96"/>
      <w:szCs w:val="96"/>
      <w:u w:val="none"/>
      <w:shd w:val="clear" w:color="auto" w:fill="auto"/>
    </w:rPr>
  </w:style>
  <w:style w:type="paragraph" w:customStyle="1" w:styleId="Heading310">
    <w:name w:val="Heading #3|1"/>
    <w:basedOn w:val="Normal"/>
    <w:link w:val="Heading31"/>
    <w:pPr>
      <w:widowControl w:val="0"/>
      <w:shd w:val="clear" w:color="auto" w:fill="auto"/>
      <w:spacing w:after="820"/>
      <w:ind w:firstLine="260"/>
      <w:outlineLvl w:val="2"/>
    </w:pPr>
    <w:rPr>
      <w:rFonts w:ascii="SimSun" w:eastAsia="SimSun" w:hAnsi="SimSun" w:cs="SimSun"/>
      <w:b w:val="0"/>
      <w:bCs w:val="0"/>
      <w:i w:val="0"/>
      <w:iCs w:val="0"/>
      <w:smallCaps w:val="0"/>
      <w:strike w:val="0"/>
      <w:sz w:val="46"/>
      <w:szCs w:val="46"/>
      <w:u w:val="none"/>
      <w:shd w:val="clear" w:color="auto" w:fill="auto"/>
      <w:lang w:val="zh-TW" w:eastAsia="zh-TW" w:bidi="zh-TW"/>
    </w:rPr>
  </w:style>
  <w:style w:type="paragraph" w:customStyle="1" w:styleId="Heading210">
    <w:name w:val="Heading #2|1"/>
    <w:basedOn w:val="Normal"/>
    <w:link w:val="Heading21"/>
    <w:pPr>
      <w:widowControl w:val="0"/>
      <w:shd w:val="clear" w:color="auto" w:fill="auto"/>
      <w:spacing w:after="480"/>
      <w:jc w:val="center"/>
      <w:outlineLvl w:val="1"/>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Bodytext40">
    <w:name w:val="Body text|4"/>
    <w:basedOn w:val="Normal"/>
    <w:link w:val="Bodytext4"/>
    <w:pPr>
      <w:widowControl w:val="0"/>
      <w:shd w:val="clear" w:color="auto" w:fill="auto"/>
      <w:spacing w:after="620"/>
      <w:jc w:val="center"/>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Tableofcontents10">
    <w:name w:val="Table of contents|1"/>
    <w:basedOn w:val="Normal"/>
    <w:link w:val="Tableofcontents1"/>
    <w:pPr>
      <w:widowControl w:val="0"/>
      <w:shd w:val="clear" w:color="auto" w:fill="auto"/>
      <w:spacing w:after="14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Bodytext10">
    <w:name w:val="Body text|1"/>
    <w:basedOn w:val="Normal"/>
    <w:link w:val="Bodytext1"/>
    <w:pPr>
      <w:widowControl w:val="0"/>
      <w:shd w:val="clear" w:color="auto" w:fill="auto"/>
      <w:spacing w:line="334"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ing410">
    <w:name w:val="Heading #4|1"/>
    <w:basedOn w:val="Normal"/>
    <w:link w:val="Heading41"/>
    <w:pPr>
      <w:widowControl w:val="0"/>
      <w:shd w:val="clear" w:color="auto" w:fill="auto"/>
      <w:spacing w:after="660"/>
      <w:jc w:val="center"/>
      <w:outlineLvl w:val="3"/>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18"/>
      <w:szCs w:val="18"/>
      <w:u w:val="none"/>
      <w:shd w:val="clear" w:color="auto" w:fill="auto"/>
    </w:rPr>
  </w:style>
  <w:style w:type="paragraph" w:customStyle="1" w:styleId="Other10">
    <w:name w:val="Other|1"/>
    <w:basedOn w:val="Normal"/>
    <w:link w:val="Other1"/>
    <w:pPr>
      <w:widowControl w:val="0"/>
      <w:shd w:val="clear" w:color="auto" w:fill="auto"/>
      <w:spacing w:line="334"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Bodytext60">
    <w:name w:val="Body text|6"/>
    <w:basedOn w:val="Normal"/>
    <w:link w:val="Bodytext6"/>
    <w:pPr>
      <w:widowControl w:val="0"/>
      <w:shd w:val="clear" w:color="auto" w:fill="auto"/>
      <w:spacing w:after="100" w:line="322" w:lineRule="auto"/>
      <w:ind w:left="6300"/>
    </w:pPr>
    <w:rPr>
      <w:b w:val="0"/>
      <w:bCs w:val="0"/>
      <w:i w:val="0"/>
      <w:iCs w:val="0"/>
      <w:smallCaps w:val="0"/>
      <w:strike w:val="0"/>
      <w:sz w:val="20"/>
      <w:szCs w:val="20"/>
      <w:u w:val="none"/>
      <w:shd w:val="clear" w:color="auto" w:fill="auto"/>
    </w:rPr>
  </w:style>
  <w:style w:type="paragraph" w:customStyle="1" w:styleId="Bodytext50">
    <w:name w:val="Body text|5"/>
    <w:basedOn w:val="Normal"/>
    <w:link w:val="Bodytext5"/>
    <w:pPr>
      <w:widowControl w:val="0"/>
      <w:shd w:val="clear" w:color="auto" w:fill="auto"/>
      <w:spacing w:after="100" w:line="360" w:lineRule="auto"/>
      <w:ind w:left="5420"/>
    </w:pPr>
    <w:rPr>
      <w:rFonts w:ascii="SimSun" w:eastAsia="SimSun" w:hAnsi="SimSun" w:cs="SimSun"/>
      <w:b w:val="0"/>
      <w:bCs w:val="0"/>
      <w:i w:val="0"/>
      <w:iCs w:val="0"/>
      <w:smallCaps w:val="0"/>
      <w:strike w:val="0"/>
      <w:sz w:val="18"/>
      <w:szCs w:val="18"/>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image" Target="media/image1.jpeg"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header" Target="header12.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header" Target="header16.xml" /><Relationship Id="rId35" Type="http://schemas.openxmlformats.org/officeDocument/2006/relationships/footer" Target="footer15.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header" Target="header18.xml" /><Relationship Id="rId39" Type="http://schemas.openxmlformats.org/officeDocument/2006/relationships/footer" Target="footer17.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yperlink" Target="https://d.book118.com/748101072076006035" TargetMode="Externa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theme" Target="theme/theme1.xml" /><Relationship Id="rId47" Type="http://schemas.openxmlformats.org/officeDocument/2006/relationships/numbering" Target="numbering.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&lt;4D6963726F736F667420576F7264202D20BACFB3C9B8EFD3EBC8CBD4ECB8EFB9A4D2B5CEDBC8BED6CEC0EDB9A4B3CCBCBCCAF5B9E6B7B6A3A8B7A2B2BCB8E5A3A932303134303930342E646F63&gt;</dc:title>
  <dc:creator>zhaol</dc:creator>
  <cp:revision>0</cp:revision>
</cp:coreProperties>
</file>