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造价工程师（建设部）：建设工程造价管理试题预测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与平行承包模式相比较，总分包模式的特点表现为（）。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A.业主组织管理和协调工作量大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B.有利于业主对工程质量实施控制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C.有利于吸引更多的投标人参与竞争</w:t>
      </w:r>
      <w:r>
        <w:rPr>
          <w:rFonts w:ascii="宋体" w:eastAsia="宋体" w:hAnsi="宋体" w:cs="宋体" w:hint="eastAsia"/>
          <w:outline w:val="0"/>
          <w:shadow w:val="0"/>
          <w:emboss w:val="0"/>
          <w:imprint w:val="0"/>
          <w:vanish w:val="0"/>
          <w:w w:val="100"/>
          <w:sz w:val="28"/>
          <w:szCs w:val="28"/>
          <w:u w:val="none"/>
          <w:lang w:eastAsia="zh-CN"/>
        </w:rPr>
        <w:t>（江南博哥）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D.有利于控制工程造价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2、多选 投资收益率指标的不足之处是（）。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A.经济意义不够明确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B.没有考虑投资收益的时间因素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C.计算复杂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D.忽视了资金具有时间价值的重要性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E.不能适用于各种投资规模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3、多选 技术方案经济评价时，若以总成本费用为基础计算经营成本，则应从总成本费用中扣除的费用项目有（）。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A.折旧费用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B.销售费用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C.管理费用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D.摊销费用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E.利息支出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总成本费用=外购原材料、燃料及动力费+工资及福利费+修理费+折旧费+摊销费+财务费用（利息支出）+其他费用。经营成本是工程经济分析中的专用术语，用于投资方案经济效果评价的现金流量分析。经营成本=总成本费用一折旧费一摊销费一利息支出=外购原材料、燃料及动力费+工资及福利费+修理费+其他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工程造价的计价是个逐步深化、逐步细化、逐步接近实际造价的过程，这是指工程造价计价的（）特征。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A.单件性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B.多次性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C.组合性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D.复杂性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5、多选 在正常情况工程质量的最低保修期限为（）。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A.电气管道为2年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B.给排水管道为3年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C.屋面防水工程为3年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D.地基基础工程为100年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E.装修工程为3年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已知名义年利率为12%，一年计息12次，则半年的有效利率和名义利率分别为（）。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A.6.2%，6%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B.12.7%，12%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C.5.83%，6.2%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D.6.35%，6%</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i＝（1＋r／m）-1，其中r／m为计息周期利率，m为利率周期计息次数。在本题中，利率周期为半年，半年分为6个月，每月计息一次，共计息6次。每月的利率是12%÷12＝1%。因此半年的有效利率为（1＋1%）6-1＝6.2%，半年的名义利率为1%×6＝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7、多选 下列（）属于系统效率和寿命周期成本的权衡。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A.进行维修性设计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B.采用整体结构，减少安装费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C.增加投资提高产能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D.购买先进设备，提高产品质量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E.制定防震、防尘等对策，提高系统可靠性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投资者在进行投资方案的经济评价时要考虑诸多因素，为了限制对风险大、盈利低的项目进行投资，可以采取提高（）的办法。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A.内部收益率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B.基准收益率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C.投资收益率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D.投资报酬率</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考查基准收益率i的确定。基准收益率的确定一般以行业的平均收益率为基础，同时综合考虑资金成本、投资风险、通货膨胀以及资金限制等影响因素。为了限制对风险大、盈利低的项目进行投资，可以采取提高基准收益率的办法来进行投资方案的经济评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根据《土地管理法》的规定，涉及农用地转为建设用地，应当办理农用地转用（）手续。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A.审批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B.补偿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C.申请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D.安置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根据我国现行规定，下列权利中属于造价工程师权利的是（）。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A.申请设立工程造价咨询单位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B.签订工程施工合同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C.依法裁定工程经济纠纷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D.审批工程变更文件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修正概算造价是指在（）阶段，通过编制修正概算文件预先测算和限定的工程造价。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A.初步设计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B.技术设计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C.施工图设计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D.招标投标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在价值工程的工作程序中，功能评价阶段的主要工作内容是（）。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A.确定价值工程的研究对象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B.整理和定义研究对象的功能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C.确定研究对象的成本和价值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D.分析实现研究对象功能的途径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已知A工作的紧后工作为B、C，持续时间分别为8天、7天、4天，A工作的最早开始时间为第9天，B、C工作的最迟完成时间分别为第37天、39天，则A工作的自由时差和总时差分别为（）。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A.0和13天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B.0和1天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C.13天和13天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D.13天和18天</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A工作的紧后工作为B、C，则：A工作的最早完成时间=9+8=17天；B、C工作的最早开始时间=9+8=17天；所以A工作的自由时差为0天。根据B、C工作的最迟完成时间分别为第37天、39天，持续时间分别为7天、4天，则：B、C工作的最迟开始时间分别为第30天、35天；则：A工作的最迟完成时间=min［30，35］=30天；则：A工作的总时差=30-17=13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投资项目中，钢铁项目资本金比例为（）及以上。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工程造价管理的任务是加强工程造价的（）动态管理，强化工程造价的约束机制，维护有关各方的经济利益，规范价格行为，促进微观效益和宏观效益的统一。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A.全范围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B.全寿命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D.全要素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施工组织总设计应由（）主持编制。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A.总监理工程师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B.监理工程师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C.施工项目技术负责人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D.施工项目负责人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17、多选 根据《土地管理法》的规定，有关政府土地行政主管部门报经人民政府批准，可以收回国有土地使用权，并对土地使用权人给予适当补偿的情形是（）。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A.土地出让等有偿使用合同约定的使用期限届满，土地使用者未申请续期或申请续期未获批准的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B.为实施城市规划进行旧城区改建，需要调整使用土地的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C.因单位撤销、迁移等原因，停止使用原划拨的国有土地的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D.公路、铁路、机场、矿场等经核准报废的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E.为公共利益需要使用土地的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18</w:t>
      </w:r>
      <w:r>
        <w:rPr>
          <w:rFonts w:ascii="宋体" w:eastAsia="宋体" w:hAnsi="宋体" w:cs="宋体" w:hint="eastAsia"/>
          <w:outline w:val="0"/>
          <w:shadow w:val="0"/>
          <w:emboss w:val="0"/>
          <w:imprint w:val="0"/>
          <w:vanish w:val="0"/>
          <w:w w:val="100"/>
          <w:sz w:val="28"/>
          <w:szCs w:val="28"/>
          <w:u w:val="none"/>
          <w:lang w:eastAsia="zh-CN"/>
        </w:rPr>
        <w:t>、多选?</w:t>
      </w:r>
      <w:r>
        <w:rPr>
          <w:rFonts w:ascii="宋体" w:eastAsia="宋体" w:hAnsi="宋体" w:cs="宋体" w:hint="eastAsia"/>
          <w:outline w:val="0"/>
          <w:shadow w:val="0"/>
          <w:emboss w:val="0"/>
          <w:imprint w:val="0"/>
          <w:vanish w:val="0"/>
          <w:w w:val="100"/>
          <w:sz w:val="28"/>
          <w:szCs w:val="28"/>
          <w:u w:val="none"/>
        </w:rPr>
        <w:t>某项目的现金流量如图4-2所示，则下列等式正确的有（）。</w:t>
      </w:r>
      <w:r>
        <w:rPr>
          <w:rFonts w:ascii="宋体" w:eastAsia="宋体" w:hAnsi="宋体" w:cs="宋体"/>
          <w:outline w:val="0"/>
          <w:shadow w:val="0"/>
          <w:emboss w:val="0"/>
          <w:imprint w:val="0"/>
          <w:vanish w:val="0"/>
          <w:w w:val="100"/>
          <w:sz w:val="28"/>
          <w:szCs w:val="28"/>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25pt;height:134.25pt" coordsize="21600,21600" o:preferrelative="t" filled="f" stroked="f">
            <v:stroke joinstyle="miter"/>
            <v:imagedata r:id="rId4" r:href="rId5"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A.P＝-30（P／A，i，3）＋40（P／F，i，4）＋60（P／A，i，5）（P／F，i，5）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B.P＝-30（P／A，i，4）（1＋i）＋40（P／F，i，4）＋60（P／A，i，6）（P／F，i，4）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C.P＝-30-30（P／A，i，3）＋40（P／F，i，4）＋60（P／A，i，10）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D.P＝-30-30（P／A，i，3）＋40（P／F，i，4）＋60（P／A，i，5）（P／F，i，5）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E.P＝-30-30（P／A，i，3）＋40（P／F，i，4）＋60（P／A，i，6）（P／F，i，4）</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本题关键是关于年金折算的问题，一个是关于年金折算点的确定，一个是关于折现公式中n的确定。年金折现一定要折到第一笔年金的前一年。比如本题中，0～3年的等额支出折现时只能折到0的前一年，而现值是在0那点的价值，因此可以有两种处理方法：一种是先整体折到-1年，再往0点折算，比如答案B；另一种处理方法是，将这笔等额支出分成两部分，在0点的不需折现，1～3年的再按年金现值折算，比如答案E；另一个问题是关于公式中n的确定，如果年金数量较少，可以数年金个数，即为n；当年金数量较多时，用最后一笔年金发生的时点减去第一笔年金的前一年，即为n。如本题中5～10年的年金60，折现时需先折算到第5年初（4年末），则年金个数为10-4＝6，然后再从第4年末一次折现到0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关于BOT与ABS的区别，表述正确的是（）。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A.ABS方式的操作复杂，难度 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B.ABS项目的所有权、运营权在特许期内属于项目公司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C.BOT方式中，在债券的发行期内，项目资产的所有权属于SPC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D.BOT项目投资人一般都为企业或金融机构，其投资是不能随便放弃和转让的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企业的正常产销量是指达到设计生产能力的产销数量，也可以用（）来表示。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A.销售利润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B.销售单价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C.销售金额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D.销售能力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工程项目主动控制是一种面对未来的控制，它可以解决传统控制过程中存在的（）影响。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A.偏差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B.时滞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C.被动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D.潜在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在下列固定资产折旧方法中，每年折旧率均相等的是（）。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A.工作量法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B.双倍余额递减法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C.年数总和法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D.平均年限法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23</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某工厂进行改扩建工程投资，有甲、乙两个投资方案，其投资额、年经营成本及综合总费用见下表。则甲、乙两方案的年折算费用分别为（）。</w:t>
      </w:r>
      <w:r>
        <w:rPr>
          <w:rFonts w:ascii="宋体" w:eastAsia="宋体" w:hAnsi="宋体" w:cs="宋体"/>
          <w:outline w:val="0"/>
          <w:shadow w:val="0"/>
          <w:emboss w:val="0"/>
          <w:imprint w:val="0"/>
          <w:vanish w:val="0"/>
          <w:w w:val="100"/>
          <w:sz w:val="28"/>
          <w:szCs w:val="28"/>
          <w:u w:val="none"/>
        </w:rPr>
        <w:pict>
          <v:shape id="_x0000_i1026" type="#_x0000_t75" style="width:453.6pt;height:78pt" coordsize="21600,21600" o:preferrelative="t" filled="f" stroked="f">
            <v:imagedata r:id="rId6" r:href="rId7"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A.150万元、193.75万元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B.200万元、250万元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C.300万元、310万元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D.100万元、150万元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某施工企业与业主签订了一项总金额为2000万元的建造合同，合同规定的建设工期为2年，该企业将工程的一部分分包给了机械施工公司，签订的分包合同金额为300万元。第一年该企业根据分包工程的完工进度向机械施工公司支付了工程进度款120万元，并预付了下一年度工程备料款30万元；该企业自行施工部分发生合同成本600万元，预计为完成合同尚需发生成本700万元。该企业第一年确认的合同收入和毛利分别为（）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A.900和180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B.900和150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C.937.5和187.5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D.937.5和180</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首先，根据投入衡量法确定合同完工进度：第一年合同完工进度=（600+120）／（600+700+300）×100%=45%然后，根据合同收入和毛利确认公式与要求确认合同收入和毛利：第一年应确认的合同收入=2000×45%=900万元第一年应确认的合同毛利=［2000-（600+700+300）］×45%=180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25、多选 根据《价格法》的规定，政府在必要时可以实行政府指导价或政府定价的商品或服务价格的有（）。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A.与国民经济发展和人民生活关系重大的极少数商品价格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B.资源稀缺的少数商品价格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C.自然垄断经营的商品价格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D.重要的公用事业价格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E.季节性、积压商品的价格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26、单选 风险管理中的首要步骤是（）。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A.风险分析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B.风险评估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C.风险识别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D.风险决策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依法必须招标的项目，自招标文件开始发出之日起至投标人提交投标文件截止之日止，最短不得少于（）。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下列不纳营业税的是（）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A.总承包企业将工程分包的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B.个人销售其购置的不动产的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C.从事建筑、修缮、装饰工程作业的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D.自建自用的房屋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某企业从设备租赁公司租借一台设备，该设备的价格为98万元，租期7年，每年年末支付租金，折现率为10%，附加率为4%，若按附加率法计算，则该企业每年应付的租金为（）万元。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A.17.92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B.20.94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C.21.84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D.27.72</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本题考核的内容为附加率法计算租金。根据公式，</w:t>
      </w:r>
      <w:r>
        <w:rPr>
          <w:rFonts w:ascii="宋体" w:eastAsia="宋体" w:hAnsi="宋体" w:cs="宋体"/>
          <w:outline w:val="0"/>
          <w:shadow w:val="0"/>
          <w:emboss w:val="0"/>
          <w:imprint w:val="0"/>
          <w:vanish w:val="0"/>
          <w:w w:val="100"/>
          <w:sz w:val="28"/>
          <w:szCs w:val="28"/>
          <w:u w:val="none"/>
        </w:rPr>
        <w:pict>
          <v:shape id="_x0000_i1027" type="#_x0000_t75" style="width:97.5pt;height:34.5pt" coordsize="21600,21600" o:preferrelative="t" filled="f" stroked="f">
            <v:stroke joinstyle="miter"/>
            <v:imagedata r:id="rId8" r:href="rId9" o:title=""/>
            <o:lock v:ext="edit" aspectratio="t"/>
            <w10:anchorlock/>
          </v:shape>
        </w:pict>
      </w:r>
      <w:r>
        <w:rPr>
          <w:rFonts w:ascii="宋体" w:eastAsia="宋体" w:hAnsi="宋体" w:cs="宋体" w:hint="eastAsia"/>
          <w:outline w:val="0"/>
          <w:shadow w:val="0"/>
          <w:emboss w:val="0"/>
          <w:imprint w:val="0"/>
          <w:vanish w:val="0"/>
          <w:w w:val="100"/>
          <w:sz w:val="28"/>
          <w:szCs w:val="28"/>
          <w:u w:val="none"/>
        </w:rPr>
        <w:t>得。</w:t>
      </w:r>
      <w:r>
        <w:rPr>
          <w:rFonts w:ascii="宋体" w:eastAsia="宋体" w:hAnsi="宋体" w:cs="宋体"/>
          <w:outline w:val="0"/>
          <w:shadow w:val="0"/>
          <w:emboss w:val="0"/>
          <w:imprint w:val="0"/>
          <w:vanish w:val="0"/>
          <w:w w:val="100"/>
          <w:sz w:val="28"/>
          <w:szCs w:val="28"/>
          <w:u w:val="none"/>
        </w:rPr>
        <w:pict>
          <v:shape id="_x0000_i1028" type="#_x0000_t75" style="width:252pt;height:36pt" coordsize="21600,21600" o:preferrelative="t" filled="f" stroked="f">
            <v:stroke joinstyle="miter"/>
            <v:imagedata r:id="rId10" r:href="rId11"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特大型企业集团的中长期发展规划经国务院批准后，企业建设规划中属于《政府核准投资项目目录》的项目（）。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A.需向政府提交项目申请报告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B.不再另行申报核准，只需办理备案手续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C.需政府部门审批开工报告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D.需政府部门批准项目可行性研究报告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7"/>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某项目总投资为5000万元，其中债务资金为1000万元，项目运营期内年平均净利润为450万元，年平均息税为50万元，则该项目的总投资收益率为（）。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D.13.6%</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本题考查的是总投资收益率ROI的计算。</w:t>
      </w:r>
      <w:r>
        <w:rPr>
          <w:rFonts w:ascii="宋体" w:eastAsia="宋体" w:hAnsi="宋体" w:cs="宋体"/>
          <w:outline w:val="0"/>
          <w:shadow w:val="0"/>
          <w:emboss w:val="0"/>
          <w:imprint w:val="0"/>
          <w:vanish w:val="0"/>
          <w:w w:val="100"/>
          <w:sz w:val="28"/>
          <w:szCs w:val="28"/>
          <w:u w:val="none"/>
        </w:rPr>
        <w:pict>
          <v:shape id="_x0000_i1029" type="#_x0000_t75" style="width:267pt;height:34.5pt" coordsize="21600,21600" o:preferrelative="t" filled="f" stroked="f">
            <v:stroke joinstyle="miter"/>
            <v:imagedata r:id="rId12" r:href="rId13" o:title=""/>
            <o:lock v:ext="edit" aspectratio="t"/>
            <w10:anchorlock/>
          </v:shape>
        </w:pict>
      </w:r>
      <w:r>
        <w:rPr>
          <w:rFonts w:ascii="宋体" w:eastAsia="宋体" w:hAnsi="宋体" w:cs="宋体" w:hint="eastAsia"/>
          <w:outline w:val="0"/>
          <w:shadow w:val="0"/>
          <w:emboss w:val="0"/>
          <w:imprint w:val="0"/>
          <w:vanish w:val="0"/>
          <w:w w:val="100"/>
          <w:sz w:val="28"/>
          <w:szCs w:val="28"/>
          <w:u w:val="none"/>
        </w:rPr>
        <w:t>式中EBIT-项目达到设计生产能力后正常年份的年息税前利润或运营期内年平均息税前利润；TI-项目总投资。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32、多选 投资方案的类型中，多方案包括（）。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A.互斥型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B.组合-互斥型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C.互补型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D.混合相关型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E.独立型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以下内容不属于经营成本的是（）。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A.折旧费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B.修理费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C.工资及福利费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D.外购原材料、燃料及动力费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本题考查经营成本。经营成本是工程经济分析中的专用术语，用于投资方案经济效果评价的现金流量分析。经营成本=总成本费用一折旧费一摊销费一利息支出或经营成本=外购原材料、燃料及动力费+工资及福利费+修理费+其他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34、多选 根据《政府采购法》的规定，采购的货物（）的政府采购项目，可以采用询价方式采购。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A.规格标准统一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B.现货货源充足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C.技术含量高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D.价格变化幅度小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E.精度要求高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35、多选 在工程经济分析中，投资收益率指标作为主要决策依据不太可靠，其原因在于（）。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A.正常生产年份的选择比较困难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B.需要事先确定基准收益率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C.计算期的确定比较困难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D.忽视了资金具有时间价值的重要性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E.未考虑投资回收后的经济效果</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投资收益率指标的特点。（1）优点：投资收益率指标的经济意义明确、直观，计算简便，在一定程度上反映了投资效果的优劣，可适用于各种投资规模。（2）不足：没有考虑投资收益的时间因素，忽视了资金具有时间价值的重要性；指标计算的主观随意性太强，换句话说，就是正常生产年份的选择比较困难，如何确定带有一定的不确定性和人为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广义的财产保险包括财产损失保险、信用保证保险、责任保险。请根据财产保险的相关知识解答以下题： 下列关于代位求偿原则的说法不正确的是（）。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A.该原则适用于财产保险和人身保险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B.保险人不得向被保险人的家庭成员行使代位求偿权，除非他们故意造成保险事故的发生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C.保险代位求偿的目的在于既要防止被保险人也要防止保险人取得额外利益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D.保险人依法行使代位求偿权，不影响被保险人就未取得保险赔偿的部分向第三者请求赔偿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产品的功能，按功能的性质分类有（）。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A.美学功能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B.必要功能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C.辅助功能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D.过剩功能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38、多选 投资方案经济效果评价中所涉及的税金主要包括（）。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B.房产税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C.印花税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D.增值税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E.营业税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工料测量师受雇于业主，针对工程规模大小、难易程度，按总投资的（）收费，同时对项目造价控制负有重大责任。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A.0.5%～1%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B.0.5%～2%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C.0.5%～3%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D.0.5%～4%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40、多选 方案创造比较常用的方法有（）。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A.专家意见法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B.专家检查法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C.头脑风暴法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D.静坐冥想法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E.歌顿法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方案创造理论依据是功能载体具有替代性。比较常用的方法有：头脑风暴法（BS），自由奔放地思考问题：以5～15人小型会议的方式进行讨论、座谈，集思广益；哥顿法（Gorden），在会议上提方案，研究的问题、目的只有主持人知道，把要研究的问题适当抽象，研究到新方案时，会议主持人开始并不全部摊开要解决的问题，只对大家作一番抽象笼统的介绍，要求大家提出各种设想，以激发出有价值的创新方案；专家意见法，又称德尔菲法（Delphi）由组织者将研究的问题和要求，函寄给若干有关专家，使他们在互不商量的情况下提出各种建议和设想；专家检查法，这个方法不是靠大家想办法，而是由主管设计的工程师作出设计，提出完成所需功能的办法和生产工艺，然后顺序请各方面的专家审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取得造价工程师执业资格证书的人员，可自资格证书签发之日起（）年内申请初始注册，逾期未申请者必须符合继续教育的要求后方可申请初始注册。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在工作时间和工作岗位，突发疾病死亡或者在（）小时之内经抢救无效死亡的，视同为工伤保险的范围。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A.48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43、单选 初步设计提出的总概算超过可行性研究报告总投资的（）以上或其他主要指标需要变更时，应说明原因和计算依据，并重新向原审批单位报批可行性研究报告。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融资决策分析是项目融资的关键阶段，需要决定是否采用项目融资方式。在融资决策分析时，需要考虑的主要因素是（）。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A.项目产权形式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B.投资者对债务责任分担上的要求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C.项目的信用保证结构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D.现金流量控制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45</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工程项目承发包模式中，如下图所示的模式是（）。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outline w:val="0"/>
          <w:shadow w:val="0"/>
          <w:emboss w:val="0"/>
          <w:imprint w:val="0"/>
          <w:vanish w:val="0"/>
          <w:w w:val="100"/>
          <w:sz w:val="28"/>
          <w:szCs w:val="28"/>
          <w:u w:val="none"/>
        </w:rPr>
        <w:pict>
          <v:shape id="_x0000_i1030" type="#_x0000_t75" style="width:165pt;height:170.25pt" coordsize="21600,21600" o:preferrelative="t" filled="f" stroked="f">
            <v:stroke joinstyle="miter"/>
            <v:imagedata r:id="rId14" r:href="rId15"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A.总分包模式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B.平行承包模式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C.联合体承包模式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D.合作体承包模式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我国《民法通则》规定的担保形式不包括（）。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B.留置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C.抵押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D.赔偿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47、多选 工程造价管理有的含义指（）。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A.建设工程投资费用管理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B.建设工程价格管理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C.建设工程合同管理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D.建设工程施工管理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E.建设工程人员管理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工程项目平行承包模式的特点不包括（）。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A.有利于业主择优选定承包商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B.有利于控制工程质量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C.对业主而言，选择总承包商的范围小，一般合同金额较高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D.组织管理和协调工作量大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企业未来经营净现金流量中，财务费用及流动资金占用的增加部分将不能用于固定资产投资，折旧、无形及其他资产摊销通常认为可用于再投资或偿还债务，净利润中有一部分可能需要用于分红或用作盈余公积金和公益金留存，其余部分可用于再投资或偿还债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49、多选 当NPV＝0时，下列说法正确的有（）。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A.项目没有利润，正好盈亏平衡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B.项目亏损，无法收回投资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C.项目的收益正好是基准收益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D.IRR＝ic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E.Pt＝项目寿命期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50</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甲乙两个互斥方案的现金流量见下表，则增量投资收益率为（）。</w:t>
      </w:r>
      <w:r>
        <w:rPr>
          <w:rFonts w:ascii="宋体" w:eastAsia="宋体" w:hAnsi="宋体" w:cs="宋体"/>
          <w:outline w:val="0"/>
          <w:shadow w:val="0"/>
          <w:emboss w:val="0"/>
          <w:imprint w:val="0"/>
          <w:vanish w:val="0"/>
          <w:w w:val="100"/>
          <w:sz w:val="28"/>
          <w:szCs w:val="28"/>
          <w:u w:val="none"/>
        </w:rPr>
        <w:pict>
          <v:shape id="_x0000_i1031" type="#_x0000_t75" style="width:453.6pt;height:77.25pt" coordsize="21600,21600" o:preferrelative="t" filled="f" stroked="f">
            <v:imagedata r:id="rId16" r:href="rId17"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A.4.75%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B.4.25%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根据《建设项目总承包合同（示范文本）》发包人在承包人提交最终竣工结算资料的（）日内，仍未结清竣工结算款项的，承包人可以具争议和裁决的约定解决。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C.90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52、单选 在生产运营的各年中，修理费率的取值，一般采用（）。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A.较高值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B.较低值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C.调整值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D.固定值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（）最早出现在英国，在英国的实践中，通常有3种典型模式，即经济上自立的项目、向公共部门出售服务的项目和合资经营项目。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A.BOO</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B.ABS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C.BOT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D.PFI</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建筑工程一切险中，施工用机器设备的保险费率一般是（）。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A.整个工期一次性费率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B.年费率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C.保证期内一次费率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D.整个工期可调费率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造价工程师注册有效期满要求继续执业的，应当在（）申请延续注册。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A.在注册有效期满后3个月内注册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B.在注册有效期满后1个月内注册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C.在注册有效期满前3个月内注册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D.在注册有效期满前1个月内注册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风险分析中风险应对的原则不包括（）。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A.针对性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B.专业性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C.可行性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D.经济性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在施工企业中，对于技术进步较快或其使用寿命受工作环境影响较大的施工机械和运输设备，经财政部批准，可采用（）计提折旧。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A.年数总额法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B.工作量法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C.平均年限法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D.双倍年数总和法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对于技术进步较快或其使用寿命受工作环境影响较大的施工机械和运输设备，经财政部批准，可采用年数总额法（年数总和法）或双倍余额递减法计提折旧。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58</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某产品的目标成本为800万元，该产品分为四个功能区，各功能区重要性系数和功能现实成本如下：则该产品功能改进的顺序应为（）。</w:t>
      </w:r>
      <w:r>
        <w:rPr>
          <w:rFonts w:ascii="宋体" w:eastAsia="宋体" w:hAnsi="宋体" w:cs="宋体"/>
          <w:outline w:val="0"/>
          <w:shadow w:val="0"/>
          <w:emboss w:val="0"/>
          <w:imprint w:val="0"/>
          <w:vanish w:val="0"/>
          <w:w w:val="100"/>
          <w:sz w:val="28"/>
          <w:szCs w:val="28"/>
          <w:u w:val="none"/>
        </w:rPr>
        <w:pict>
          <v:shape id="_x0000_i1032" type="#_x0000_t75" style="width:453.6pt;height:75pt" coordsize="21600,21600" o:preferrelative="t" filled="f" stroked="f">
            <v:imagedata r:id="rId18" r:href="rId19"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A.F1-F2-F3-F4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B.F2-F1-F4-F3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C.F1-F4-3-F2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D.F2-F3-F4-F1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59、多选 单位工程施工组织设计中的施工准备包括（）。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A.技术准备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B.现场准备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C.资金准备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D.物资准备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E.机具准备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根据我国《招标投标法》的规定，下列情形不属于投标重大偏差的是（）。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A.投标文件没有投标人授权代表签字和加盖公章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B.投标文件载明的货物包装方式不符合招标文件的要求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C.投标文件在个别地方存在漏项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D.投标人提供的投标担保有瑕疵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计税依据为房产租金收入，税率为12%，对个人按市场价格出租的居民住房，暂按（）税率征收房产税。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62</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某分部工程单代号网络计划如下图所示，节点中下方数字为该工作的持续时间（单位：天），其关键线路有（）条。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outline w:val="0"/>
          <w:shadow w:val="0"/>
          <w:emboss w:val="0"/>
          <w:imprint w:val="0"/>
          <w:vanish w:val="0"/>
          <w:w w:val="100"/>
          <w:sz w:val="28"/>
          <w:szCs w:val="28"/>
          <w:u w:val="none"/>
        </w:rPr>
        <w:pict>
          <v:shape id="_x0000_i1033" type="#_x0000_t75" style="width:326.25pt;height:105.75pt" coordsize="21600,21600" o:preferrelative="t" filled="f" stroked="f">
            <v:stroke joinstyle="miter"/>
            <v:imagedata r:id="rId20" r:href="rId21"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关键路线是持续时间最长的线路，因此，先列举网络的线路，再计算各线路的时间，时间最长的就是关键线路。本题的线路包括：ABEIF，ABEHJF，ABDEIF，ABDEHJF，ABDGHJF，ABDGJF，ACGHJF，ACGJF，它们的持续时间分别为：34，37，43，46，48，42，48，42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下列方法中，（）是质量控制的静态分析方法，反映的是质量在某一段时间里的静止状态。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A.排列图法、直方图法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B.因果分析图法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C.香蕉曲线法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D.S曲线法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保险公司应当采取股份有限公司或国有独资公司的形式，经保险监督管理机构批准，注册资本的最低限额为人民币（）亿元。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某企业从设备租赁公司租借一台设备，已知设备的价格为28万元．总租期为7年，每一年年末支付租金，折现率为10%，附加率为3%，则每年租金为（）万元。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B.7.64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C.7.47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D.8.31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66、单选 净现值是反映投资方案在计算期内（）的动态评价指标。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A.偿还能力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B.时间价值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C.获利能力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D.风险大小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某建设项目借款500万元，期限三年，年利率为8%（单利），则三年内应计利息为（）。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A.40万元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B.120万元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C.130万元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D.100万元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政府采购合同履行中，采购人需追加与合同标的相同的货物、工程或服务，在不改变合同其他条款的前提下，可以与供应商协商签订补充合同，但所有补充合同的采购金额不得超过原合同采购金额的（）。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诉讼时效的期间从权利人知道或者应当知道其权利被侵害之日起开始计算，但从权利被侵害之日起，超过（）年的，人民法院不予保护。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根据《中华人民共和国合同法》的规定，下列合同中属于无效合同的是（）。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A.无权处分人处分他人财产订立的合同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B.限制民事行为能力人订立的合同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C.当事人一方以欺诈手段订立的损害国家利益的合同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D.显失公平的合同</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华人民共和国合同法》规定，有下列情形之一的，合同无效：（1）一方以欺诈、胁迫的手段订立合同，损害国家利益；（2）恶意串通，损害国家、集体或者第三人利益；（3）以合法形式掩盖非法目的；（4）损害社会公共利益；（5）违反法律、行政法规的强制性规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撤销权自债权人知道或者应当知道撤销事由之日起1年内行使，但自撤销事由发生之日起（）年内没有行使撤销权的，该撤销权消灭。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72、多选 造价工程师的专业素质体现在（）。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A.造价工程师应是复合型的专业管理人才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B.造价工程师应具备技术技能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C.造价工程师应具备人文技能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D.造价工程师应具备观念技能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E.造价工程师应具备职业道德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73、多选 有关IRR的说法正确的有（）。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A.内部收益率是使净现值为零的折现率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B.内部收益率是使项目到计算期末正好将未收回的资金全部收回来的折现率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C.内部收益率是项目投资的真实收益率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D.内部收益率是项目为其所占有的资金所提供的盈利率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E.具有非常规现金流量的投资项目内部收益率不唯一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答案A，使净现值为零仅是内部收益率的必要条件，同时还需满足，项目寿命期结束前始终存在未收回的投资，到项目寿命期结束时投资全部收回。此时的折现率才是内部收益率；答案C，内部收益率表示的是尚未回收资金的获利能力，而不是全部投资的收益水平；答案E，只有常规投资项目内部收益率才是唯一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74、多选 常见的工程项目管理组织机构形式有（）。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A.直线制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B.职能制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C.直线职能制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D.矩阵制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E.平行制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采用CM承包模式时，施工任务要进行多次分包，每次分包都通过招标展开竞争、谈判进行详细讨论，从而使各个分包合同价格汇总后形成的合同总价更具（）。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A.科学性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B.准确性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C.合理性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D.说服性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76、多选 工程造价咨询单位的（）行为将处以1万以上3万元以下的罚款。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A.提供虚假材料申请工程造价咨询企业资质的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B.伪造、涂改《工程造价咨询单位资质证书》的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C.未取得《工程造价咨询单位资质证书》的单位从事工程造价咨询业务的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D.工程造价咨询单位主要技术负责人变更未办理变卖更手续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E.违反规定，新设立的分支机构不办理备案的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工程寿命周期成本分析中涉及的参数、指标相当多，而这些指标、参数对于相关因素的（）很强，使其分析结果的可靠性、有效性受到影响。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A.敏感性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B.现势性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C.变化性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D.精确性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影响企业经营风险的因素中，（）的影响非常重要。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A.产品需求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B.产品售价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C.固定成本比重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D.产品成本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79、多选 净现值用于互斥方案评价时的方法有（）。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A.最小公倍数法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B.无限计算期法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C.最大公约数法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D.错位相减法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E.研究期法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建筑企业应在工程项目（）办理完投保手续。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A.竣工前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B.开工前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C.开工后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D.审批前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根据我国现行规定，融资租赁房屋的，房产税的计税依据为（）。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A.房产原值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B.房产租金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C.房产余值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D.房产现值</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房产税的计税依据和税率包括：从价计征，计税依据是房产原值一次减除10%～30%的扣除比例后的余值，税率为1.2%；从租计征，计税依据为房产租金收入，税率为12%，对个人按市场价格出租的居民住房，暂按4%税率征收房产税。其中，融资租赁房屋的，从价计征，以房产余值为计税依据计征房产税；从租计征只限于房产经营租赁租金收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82、多选 《建筑法》规定，交付竣工验收的建筑工程必须（）。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A.具有完整的竣工决算审计报告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B.符合规定的工程质量标准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C.具有完整的工程技术经济资料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D.具有经签署的工程保修书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E.具有周密的工程保修计划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利息是资金（）的一种重要表现形式。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A.机会成本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B.计息周期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C.时间价值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D.经营运作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成本分析、成本考核、成本核算是建设工程项目施工成本管理的重要环节，此三项工作正确的工作流程是（）。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A.成本核算-成本分析-成本考核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B.成本分析-成本考核-成本核算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C.成本考核-成本核算-成本分析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D.成本分析-成本核算-成本考核</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项目成本管理流程：成本预测-成本计划-成本控制-成本核算-成本分析-成本考核，不能颠倒。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非生产性建设项目的总投资由（）构成。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A.固定资产投资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B.流动资产投资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C.有形资产投资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D.无形资产投资</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https://d.book118.com/748113120065006041</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675"/>
    <w:rsid w:val="002B1D86"/>
    <w:rsid w:val="002E5675"/>
    <w:rsid w:val="09945EAF"/>
    <w:rsid w:val="15A076DC"/>
    <w:rsid w:val="367F3F16"/>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http://www.91exam.org/91files/2016072314/eus0berpwsr.gif" TargetMode="External" /><Relationship Id="rId12" Type="http://schemas.openxmlformats.org/officeDocument/2006/relationships/image" Target="media/image5.png" /><Relationship Id="rId13" Type="http://schemas.openxmlformats.org/officeDocument/2006/relationships/image" Target="http://www.91exam.org/91files/2016072314/utpou1yjfvr.gif" TargetMode="External" /><Relationship Id="rId14" Type="http://schemas.openxmlformats.org/officeDocument/2006/relationships/image" Target="media/image6.png" /><Relationship Id="rId15" Type="http://schemas.openxmlformats.org/officeDocument/2006/relationships/image" Target="http://www.91exam.org/91files/2016072312/rufvywzsosn.gif" TargetMode="External" /><Relationship Id="rId16" Type="http://schemas.openxmlformats.org/officeDocument/2006/relationships/image" Target="media/image7.png" /><Relationship Id="rId17" Type="http://schemas.openxmlformats.org/officeDocument/2006/relationships/image" Target="http://www.91exam.org/91files/2016072314/nxar4vdym1h.gif" TargetMode="External" /><Relationship Id="rId18" Type="http://schemas.openxmlformats.org/officeDocument/2006/relationships/image" Target="media/image8.png" /><Relationship Id="rId19" Type="http://schemas.openxmlformats.org/officeDocument/2006/relationships/image" Target="http://www.91exam.org/91files/2016072313/ucrjqb1f100.gif" TargetMode="External" /><Relationship Id="rId2" Type="http://schemas.openxmlformats.org/officeDocument/2006/relationships/webSettings" Target="webSettings.xml" /><Relationship Id="rId20" Type="http://schemas.openxmlformats.org/officeDocument/2006/relationships/image" Target="media/image9.png" /><Relationship Id="rId21" Type="http://schemas.openxmlformats.org/officeDocument/2006/relationships/image" Target="http://www.91exam.org/91files/2016072314/0pvulfujaa1.gif" TargetMode="External" /><Relationship Id="rId22" Type="http://schemas.openxmlformats.org/officeDocument/2006/relationships/hyperlink" Target="https://d.book118.com/748113120065006041" TargetMode="Externa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http://www.91exam.org/91files/2016072313/0qgvlpyxy5y.gif" TargetMode="External" /><Relationship Id="rId6" Type="http://schemas.openxmlformats.org/officeDocument/2006/relationships/image" Target="media/image2.png" /><Relationship Id="rId7" Type="http://schemas.openxmlformats.org/officeDocument/2006/relationships/image" Target="http://www.91exam.org/91files/2016072314/xjphi1q0dvw.gif" TargetMode="External" /><Relationship Id="rId8" Type="http://schemas.openxmlformats.org/officeDocument/2006/relationships/image" Target="media/image3.png" /><Relationship Id="rId9" Type="http://schemas.openxmlformats.org/officeDocument/2006/relationships/image" Target="http://www.91exam.org/91files/2016072314/fhyhy3lr4rf.gif"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4436</Words>
  <Characters>25288</Characters>
  <Application>Microsoft Office Word</Application>
  <DocSecurity>0</DocSecurity>
  <Lines>210</Lines>
  <Paragraphs>59</Paragraphs>
  <ScaleCrop>false</ScaleCrop>
  <Company/>
  <LinksUpToDate>false</LinksUpToDate>
  <CharactersWithSpaces>29665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2024-02-05T17:55:00Z</dcterms:created>
  <dcterms:modified xsi:type="dcterms:W3CDTF">2024-03-01T01:25:28Z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6B221A69FF6D49ACBBF9FBF6152A6734_13</vt:lpwstr>
  </property>
  <property fmtid="{D5CDD505-2E9C-101B-9397-08002B2CF9AE}" pid="3" name="KSOProductBuildVer">
    <vt:lpwstr>2052-12.1.0.16399</vt:lpwstr>
  </property>
</Properties>
</file>