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彩色等离子体显示屏专用系列光刻浆料项目规划设计方案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15" w:history="1">
        <w:r>
          <w:rPr>
            <w:rFonts w:ascii="仿宋" w:eastAsia="仿宋" w:hAnsi="仿宋" w:cs="仿宋" w:hint="eastAsia"/>
            <w:lang w:eastAsia="zh-CN"/>
          </w:rPr>
          <w:t>前言</w:t>
        </w:r>
        <w:r>
          <w:tab/>
        </w:r>
        <w:r>
          <w:fldChar w:fldCharType="begin"/>
        </w:r>
        <w:r>
          <w:instrText xml:space="preserve"> PAGEREF _Toc25415 \h </w:instrText>
        </w:r>
        <w:r>
          <w:fldChar w:fldCharType="separate"/>
        </w:r>
        <w:r>
          <w:t>3</w:t>
        </w:r>
        <w:r>
          <w:fldChar w:fldCharType="end"/>
        </w:r>
      </w:hyperlink>
    </w:p>
    <w:p>
      <w:pPr>
        <w:pStyle w:val="TOC1"/>
        <w:tabs>
          <w:tab w:val="right" w:leader="dot" w:pos="8306"/>
        </w:tabs>
      </w:pPr>
      <w:hyperlink w:anchor="_Toc29306" w:history="1">
        <w:r>
          <w:rPr>
            <w:rFonts w:ascii="仿宋" w:eastAsia="仿宋" w:hAnsi="仿宋" w:cs="仿宋" w:hint="eastAsia"/>
            <w:lang w:eastAsia="zh-CN"/>
          </w:rPr>
          <w:t>一、产品规划分析</w:t>
        </w:r>
        <w:r>
          <w:tab/>
        </w:r>
        <w:r>
          <w:fldChar w:fldCharType="begin"/>
        </w:r>
        <w:r>
          <w:instrText xml:space="preserve"> PAGEREF _Toc29306 \h </w:instrText>
        </w:r>
        <w:r>
          <w:fldChar w:fldCharType="separate"/>
        </w:r>
        <w:r>
          <w:t>3</w:t>
        </w:r>
        <w:r>
          <w:fldChar w:fldCharType="end"/>
        </w:r>
      </w:hyperlink>
    </w:p>
    <w:p>
      <w:pPr>
        <w:pStyle w:val="TOC2"/>
        <w:tabs>
          <w:tab w:val="right" w:leader="dot" w:pos="8306"/>
        </w:tabs>
      </w:pPr>
      <w:hyperlink w:anchor="_Toc12189" w:history="1">
        <w:r>
          <w:rPr>
            <w:rFonts w:ascii="仿宋" w:eastAsia="仿宋" w:hAnsi="仿宋" w:cs="仿宋" w:hint="eastAsia"/>
            <w:lang w:eastAsia="zh-CN"/>
          </w:rPr>
          <w:t>(一)、产品规划</w:t>
        </w:r>
        <w:r>
          <w:tab/>
        </w:r>
        <w:r>
          <w:fldChar w:fldCharType="begin"/>
        </w:r>
        <w:r>
          <w:instrText xml:space="preserve"> PAGEREF _Toc12189 \h </w:instrText>
        </w:r>
        <w:r>
          <w:fldChar w:fldCharType="separate"/>
        </w:r>
        <w:r>
          <w:t>3</w:t>
        </w:r>
        <w:r>
          <w:fldChar w:fldCharType="end"/>
        </w:r>
      </w:hyperlink>
    </w:p>
    <w:p>
      <w:pPr>
        <w:pStyle w:val="TOC2"/>
        <w:tabs>
          <w:tab w:val="right" w:leader="dot" w:pos="8306"/>
        </w:tabs>
      </w:pPr>
      <w:hyperlink w:anchor="_Toc28273" w:history="1">
        <w:r>
          <w:rPr>
            <w:rFonts w:ascii="仿宋" w:eastAsia="仿宋" w:hAnsi="仿宋" w:cs="仿宋" w:hint="eastAsia"/>
            <w:lang w:eastAsia="zh-CN"/>
          </w:rPr>
          <w:t>(二)、建设规模</w:t>
        </w:r>
        <w:r>
          <w:tab/>
        </w:r>
        <w:r>
          <w:fldChar w:fldCharType="begin"/>
        </w:r>
        <w:r>
          <w:instrText xml:space="preserve"> PAGEREF _Toc28273 \h </w:instrText>
        </w:r>
        <w:r>
          <w:fldChar w:fldCharType="separate"/>
        </w:r>
        <w:r>
          <w:t>4</w:t>
        </w:r>
        <w:r>
          <w:fldChar w:fldCharType="end"/>
        </w:r>
      </w:hyperlink>
    </w:p>
    <w:p>
      <w:pPr>
        <w:pStyle w:val="TOC1"/>
        <w:tabs>
          <w:tab w:val="right" w:leader="dot" w:pos="8306"/>
        </w:tabs>
      </w:pPr>
      <w:hyperlink w:anchor="_Toc27623" w:history="1">
        <w:r>
          <w:rPr>
            <w:rFonts w:ascii="仿宋" w:eastAsia="仿宋" w:hAnsi="仿宋" w:cs="仿宋" w:hint="eastAsia"/>
            <w:lang w:eastAsia="zh-CN"/>
          </w:rPr>
          <w:t>二、彩色等离子体显示屏专用系列光刻浆料项目建设背景及必要性分析</w:t>
        </w:r>
        <w:r>
          <w:tab/>
        </w:r>
        <w:r>
          <w:fldChar w:fldCharType="begin"/>
        </w:r>
        <w:r>
          <w:instrText xml:space="preserve"> PAGEREF _Toc27623 \h </w:instrText>
        </w:r>
        <w:r>
          <w:fldChar w:fldCharType="separate"/>
        </w:r>
        <w:r>
          <w:t>5</w:t>
        </w:r>
        <w:r>
          <w:fldChar w:fldCharType="end"/>
        </w:r>
      </w:hyperlink>
    </w:p>
    <w:p>
      <w:pPr>
        <w:pStyle w:val="TOC2"/>
        <w:tabs>
          <w:tab w:val="right" w:leader="dot" w:pos="8306"/>
        </w:tabs>
      </w:pPr>
      <w:hyperlink w:anchor="_Toc12192" w:history="1">
        <w:r>
          <w:rPr>
            <w:rFonts w:ascii="仿宋" w:eastAsia="仿宋" w:hAnsi="仿宋" w:cs="仿宋" w:hint="eastAsia"/>
            <w:lang w:eastAsia="zh-CN"/>
          </w:rPr>
          <w:t>(一)、彩色等离子体显示屏专用系列光刻浆料项目背景分析</w:t>
        </w:r>
        <w:r>
          <w:tab/>
        </w:r>
        <w:r>
          <w:fldChar w:fldCharType="begin"/>
        </w:r>
        <w:r>
          <w:instrText xml:space="preserve"> PAGEREF _Toc12192 \h </w:instrText>
        </w:r>
        <w:r>
          <w:fldChar w:fldCharType="separate"/>
        </w:r>
        <w:r>
          <w:t>5</w:t>
        </w:r>
        <w:r>
          <w:fldChar w:fldCharType="end"/>
        </w:r>
      </w:hyperlink>
    </w:p>
    <w:p>
      <w:pPr>
        <w:pStyle w:val="TOC2"/>
        <w:tabs>
          <w:tab w:val="right" w:leader="dot" w:pos="8306"/>
        </w:tabs>
      </w:pPr>
      <w:hyperlink w:anchor="_Toc12884" w:history="1">
        <w:r>
          <w:rPr>
            <w:rFonts w:ascii="仿宋" w:eastAsia="仿宋" w:hAnsi="仿宋" w:cs="仿宋" w:hint="eastAsia"/>
            <w:lang w:eastAsia="zh-CN"/>
          </w:rPr>
          <w:t>(二)、彩色等离子体显示屏专用系列光刻浆料项目建设必要性分析</w:t>
        </w:r>
        <w:r>
          <w:tab/>
        </w:r>
        <w:r>
          <w:fldChar w:fldCharType="begin"/>
        </w:r>
        <w:r>
          <w:instrText xml:space="preserve"> PAGEREF _Toc12884 \h </w:instrText>
        </w:r>
        <w:r>
          <w:fldChar w:fldCharType="separate"/>
        </w:r>
        <w:r>
          <w:t>7</w:t>
        </w:r>
        <w:r>
          <w:fldChar w:fldCharType="end"/>
        </w:r>
      </w:hyperlink>
    </w:p>
    <w:p>
      <w:pPr>
        <w:pStyle w:val="TOC1"/>
        <w:tabs>
          <w:tab w:val="right" w:leader="dot" w:pos="8306"/>
        </w:tabs>
      </w:pPr>
      <w:hyperlink w:anchor="_Toc31243" w:history="1">
        <w:r>
          <w:rPr>
            <w:rFonts w:ascii="仿宋" w:eastAsia="仿宋" w:hAnsi="仿宋" w:cs="仿宋" w:hint="eastAsia"/>
            <w:lang w:eastAsia="zh-CN"/>
          </w:rPr>
          <w:t>三、彩色等离子体显示屏专用系列光刻浆料项目土建工程</w:t>
        </w:r>
        <w:r>
          <w:tab/>
        </w:r>
        <w:r>
          <w:fldChar w:fldCharType="begin"/>
        </w:r>
        <w:r>
          <w:instrText xml:space="preserve"> PAGEREF _Toc31243 \h </w:instrText>
        </w:r>
        <w:r>
          <w:fldChar w:fldCharType="separate"/>
        </w:r>
        <w:r>
          <w:t>9</w:t>
        </w:r>
        <w:r>
          <w:fldChar w:fldCharType="end"/>
        </w:r>
      </w:hyperlink>
    </w:p>
    <w:p>
      <w:pPr>
        <w:pStyle w:val="TOC2"/>
        <w:tabs>
          <w:tab w:val="right" w:leader="dot" w:pos="8306"/>
        </w:tabs>
      </w:pPr>
      <w:hyperlink w:anchor="_Toc18211" w:history="1">
        <w:r>
          <w:rPr>
            <w:rFonts w:ascii="仿宋" w:eastAsia="仿宋" w:hAnsi="仿宋" w:cs="仿宋" w:hint="eastAsia"/>
            <w:lang w:eastAsia="zh-CN"/>
          </w:rPr>
          <w:t>(一)、建筑工程设计原则</w:t>
        </w:r>
        <w:r>
          <w:tab/>
        </w:r>
        <w:r>
          <w:fldChar w:fldCharType="begin"/>
        </w:r>
        <w:r>
          <w:instrText xml:space="preserve"> PAGEREF _Toc18211 \h </w:instrText>
        </w:r>
        <w:r>
          <w:fldChar w:fldCharType="separate"/>
        </w:r>
        <w:r>
          <w:t>9</w:t>
        </w:r>
        <w:r>
          <w:fldChar w:fldCharType="end"/>
        </w:r>
      </w:hyperlink>
    </w:p>
    <w:p>
      <w:pPr>
        <w:pStyle w:val="TOC2"/>
        <w:tabs>
          <w:tab w:val="right" w:leader="dot" w:pos="8306"/>
        </w:tabs>
      </w:pPr>
      <w:hyperlink w:anchor="_Toc30739" w:history="1">
        <w:r>
          <w:rPr>
            <w:rFonts w:ascii="仿宋" w:eastAsia="仿宋" w:hAnsi="仿宋" w:cs="仿宋" w:hint="eastAsia"/>
            <w:lang w:eastAsia="zh-CN"/>
          </w:rPr>
          <w:t>(二)、土建工程设计年限及安全等级</w:t>
        </w:r>
        <w:r>
          <w:tab/>
        </w:r>
        <w:r>
          <w:fldChar w:fldCharType="begin"/>
        </w:r>
        <w:r>
          <w:instrText xml:space="preserve"> PAGEREF _Toc30739 \h </w:instrText>
        </w:r>
        <w:r>
          <w:fldChar w:fldCharType="separate"/>
        </w:r>
        <w:r>
          <w:t>10</w:t>
        </w:r>
        <w:r>
          <w:fldChar w:fldCharType="end"/>
        </w:r>
      </w:hyperlink>
    </w:p>
    <w:p>
      <w:pPr>
        <w:pStyle w:val="TOC2"/>
        <w:tabs>
          <w:tab w:val="right" w:leader="dot" w:pos="8306"/>
        </w:tabs>
      </w:pPr>
      <w:hyperlink w:anchor="_Toc19908" w:history="1">
        <w:r>
          <w:rPr>
            <w:rFonts w:ascii="仿宋" w:eastAsia="仿宋" w:hAnsi="仿宋" w:cs="仿宋" w:hint="eastAsia"/>
            <w:lang w:eastAsia="zh-CN"/>
          </w:rPr>
          <w:t>(三)、建筑工程设计总体要求</w:t>
        </w:r>
        <w:r>
          <w:tab/>
        </w:r>
        <w:r>
          <w:fldChar w:fldCharType="begin"/>
        </w:r>
        <w:r>
          <w:instrText xml:space="preserve"> PAGEREF _Toc19908 \h </w:instrText>
        </w:r>
        <w:r>
          <w:fldChar w:fldCharType="separate"/>
        </w:r>
        <w:r>
          <w:t>11</w:t>
        </w:r>
        <w:r>
          <w:fldChar w:fldCharType="end"/>
        </w:r>
      </w:hyperlink>
    </w:p>
    <w:p>
      <w:pPr>
        <w:pStyle w:val="TOC2"/>
        <w:tabs>
          <w:tab w:val="right" w:leader="dot" w:pos="8306"/>
        </w:tabs>
      </w:pPr>
      <w:hyperlink w:anchor="_Toc16290" w:history="1">
        <w:r>
          <w:rPr>
            <w:rFonts w:ascii="仿宋" w:eastAsia="仿宋" w:hAnsi="仿宋" w:cs="仿宋" w:hint="eastAsia"/>
            <w:lang w:eastAsia="zh-CN"/>
          </w:rPr>
          <w:t>(四)、土建工程建设指标</w:t>
        </w:r>
        <w:r>
          <w:tab/>
        </w:r>
        <w:r>
          <w:fldChar w:fldCharType="begin"/>
        </w:r>
        <w:r>
          <w:instrText xml:space="preserve"> PAGEREF _Toc16290 \h </w:instrText>
        </w:r>
        <w:r>
          <w:fldChar w:fldCharType="separate"/>
        </w:r>
        <w:r>
          <w:t>12</w:t>
        </w:r>
        <w:r>
          <w:fldChar w:fldCharType="end"/>
        </w:r>
      </w:hyperlink>
    </w:p>
    <w:p>
      <w:pPr>
        <w:pStyle w:val="TOC1"/>
        <w:tabs>
          <w:tab w:val="right" w:leader="dot" w:pos="8306"/>
        </w:tabs>
      </w:pPr>
      <w:hyperlink w:anchor="_Toc19434" w:history="1">
        <w:r>
          <w:rPr>
            <w:rFonts w:ascii="仿宋" w:eastAsia="仿宋" w:hAnsi="仿宋" w:cs="仿宋" w:hint="eastAsia"/>
            <w:lang w:eastAsia="zh-CN"/>
          </w:rPr>
          <w:t>四、彩色等离子体显示屏专用系列光刻浆料项目建设单位说明</w:t>
        </w:r>
        <w:r>
          <w:tab/>
        </w:r>
        <w:r>
          <w:fldChar w:fldCharType="begin"/>
        </w:r>
        <w:r>
          <w:instrText xml:space="preserve"> PAGEREF _Toc19434 \h </w:instrText>
        </w:r>
        <w:r>
          <w:fldChar w:fldCharType="separate"/>
        </w:r>
        <w:r>
          <w:t>12</w:t>
        </w:r>
        <w:r>
          <w:fldChar w:fldCharType="end"/>
        </w:r>
      </w:hyperlink>
    </w:p>
    <w:p>
      <w:pPr>
        <w:pStyle w:val="TOC2"/>
        <w:tabs>
          <w:tab w:val="right" w:leader="dot" w:pos="8306"/>
        </w:tabs>
      </w:pPr>
      <w:hyperlink w:anchor="_Toc4439" w:history="1">
        <w:r>
          <w:rPr>
            <w:rFonts w:ascii="仿宋" w:eastAsia="仿宋" w:hAnsi="仿宋" w:cs="仿宋" w:hint="eastAsia"/>
            <w:lang w:eastAsia="zh-CN"/>
          </w:rPr>
          <w:t>(一)、彩色等离子体显示屏专用系列光刻浆料项目承办单位基本情况</w:t>
        </w:r>
        <w:r>
          <w:tab/>
        </w:r>
        <w:r>
          <w:fldChar w:fldCharType="begin"/>
        </w:r>
        <w:r>
          <w:instrText xml:space="preserve"> PAGEREF _Toc4439 \h </w:instrText>
        </w:r>
        <w:r>
          <w:fldChar w:fldCharType="separate"/>
        </w:r>
        <w:r>
          <w:t>12</w:t>
        </w:r>
        <w:r>
          <w:fldChar w:fldCharType="end"/>
        </w:r>
      </w:hyperlink>
    </w:p>
    <w:p>
      <w:pPr>
        <w:pStyle w:val="TOC2"/>
        <w:tabs>
          <w:tab w:val="right" w:leader="dot" w:pos="8306"/>
        </w:tabs>
      </w:pPr>
      <w:hyperlink w:anchor="_Toc4717" w:history="1">
        <w:r>
          <w:rPr>
            <w:rFonts w:ascii="仿宋" w:eastAsia="仿宋" w:hAnsi="仿宋" w:cs="仿宋" w:hint="eastAsia"/>
            <w:lang w:eastAsia="zh-CN"/>
          </w:rPr>
          <w:t>(二)、公司经济效益分析</w:t>
        </w:r>
        <w:r>
          <w:tab/>
        </w:r>
        <w:r>
          <w:fldChar w:fldCharType="begin"/>
        </w:r>
        <w:r>
          <w:instrText xml:space="preserve"> PAGEREF _Toc4717 \h </w:instrText>
        </w:r>
        <w:r>
          <w:fldChar w:fldCharType="separate"/>
        </w:r>
        <w:r>
          <w:t>13</w:t>
        </w:r>
        <w:r>
          <w:fldChar w:fldCharType="end"/>
        </w:r>
      </w:hyperlink>
    </w:p>
    <w:p>
      <w:pPr>
        <w:pStyle w:val="TOC1"/>
        <w:tabs>
          <w:tab w:val="right" w:leader="dot" w:pos="8306"/>
        </w:tabs>
      </w:pPr>
      <w:hyperlink w:anchor="_Toc10885" w:history="1">
        <w:r>
          <w:rPr>
            <w:rFonts w:ascii="仿宋" w:eastAsia="仿宋" w:hAnsi="仿宋" w:cs="仿宋" w:hint="eastAsia"/>
            <w:lang w:eastAsia="zh-CN"/>
          </w:rPr>
          <w:t>五、工艺说明</w:t>
        </w:r>
        <w:r>
          <w:tab/>
        </w:r>
        <w:r>
          <w:fldChar w:fldCharType="begin"/>
        </w:r>
        <w:r>
          <w:instrText xml:space="preserve"> PAGEREF _Toc10885 \h </w:instrText>
        </w:r>
        <w:r>
          <w:fldChar w:fldCharType="separate"/>
        </w:r>
        <w:r>
          <w:t>14</w:t>
        </w:r>
        <w:r>
          <w:fldChar w:fldCharType="end"/>
        </w:r>
      </w:hyperlink>
    </w:p>
    <w:p>
      <w:pPr>
        <w:pStyle w:val="TOC2"/>
        <w:tabs>
          <w:tab w:val="right" w:leader="dot" w:pos="8306"/>
        </w:tabs>
      </w:pPr>
      <w:hyperlink w:anchor="_Toc8677" w:history="1">
        <w:r>
          <w:rPr>
            <w:rFonts w:ascii="仿宋" w:eastAsia="仿宋" w:hAnsi="仿宋" w:cs="仿宋" w:hint="eastAsia"/>
            <w:lang w:eastAsia="zh-CN"/>
          </w:rPr>
          <w:t>(一)、技术管理特点</w:t>
        </w:r>
        <w:r>
          <w:tab/>
        </w:r>
        <w:r>
          <w:fldChar w:fldCharType="begin"/>
        </w:r>
        <w:r>
          <w:instrText xml:space="preserve"> PAGEREF _Toc8677 \h </w:instrText>
        </w:r>
        <w:r>
          <w:fldChar w:fldCharType="separate"/>
        </w:r>
        <w:r>
          <w:t>14</w:t>
        </w:r>
        <w:r>
          <w:fldChar w:fldCharType="end"/>
        </w:r>
      </w:hyperlink>
    </w:p>
    <w:p>
      <w:pPr>
        <w:pStyle w:val="TOC2"/>
        <w:tabs>
          <w:tab w:val="right" w:leader="dot" w:pos="8306"/>
        </w:tabs>
      </w:pPr>
      <w:hyperlink w:anchor="_Toc1987" w:history="1">
        <w:r>
          <w:rPr>
            <w:rFonts w:ascii="仿宋" w:eastAsia="仿宋" w:hAnsi="仿宋" w:cs="仿宋" w:hint="eastAsia"/>
            <w:lang w:eastAsia="zh-CN"/>
          </w:rPr>
          <w:t>(二)、彩色等离子体显示屏专用系列光刻浆料项目工艺技术设计方案</w:t>
        </w:r>
        <w:r>
          <w:tab/>
        </w:r>
        <w:r>
          <w:fldChar w:fldCharType="begin"/>
        </w:r>
        <w:r>
          <w:instrText xml:space="preserve"> PAGEREF _Toc1987 \h </w:instrText>
        </w:r>
        <w:r>
          <w:fldChar w:fldCharType="separate"/>
        </w:r>
        <w:r>
          <w:t>16</w:t>
        </w:r>
        <w:r>
          <w:fldChar w:fldCharType="end"/>
        </w:r>
      </w:hyperlink>
    </w:p>
    <w:p>
      <w:pPr>
        <w:pStyle w:val="TOC2"/>
        <w:tabs>
          <w:tab w:val="right" w:leader="dot" w:pos="8306"/>
        </w:tabs>
      </w:pPr>
      <w:hyperlink w:anchor="_Toc4446" w:history="1">
        <w:r>
          <w:rPr>
            <w:rFonts w:ascii="仿宋" w:eastAsia="仿宋" w:hAnsi="仿宋" w:cs="仿宋" w:hint="eastAsia"/>
            <w:lang w:eastAsia="zh-CN"/>
          </w:rPr>
          <w:t>(三)、设备选型方案</w:t>
        </w:r>
        <w:r>
          <w:tab/>
        </w:r>
        <w:r>
          <w:fldChar w:fldCharType="begin"/>
        </w:r>
        <w:r>
          <w:instrText xml:space="preserve"> PAGEREF _Toc4446 \h </w:instrText>
        </w:r>
        <w:r>
          <w:fldChar w:fldCharType="separate"/>
        </w:r>
        <w:r>
          <w:t>17</w:t>
        </w:r>
        <w:r>
          <w:fldChar w:fldCharType="end"/>
        </w:r>
      </w:hyperlink>
    </w:p>
    <w:p>
      <w:pPr>
        <w:pStyle w:val="TOC1"/>
        <w:tabs>
          <w:tab w:val="right" w:leader="dot" w:pos="8306"/>
        </w:tabs>
      </w:pPr>
      <w:hyperlink w:anchor="_Toc9563" w:history="1">
        <w:r>
          <w:rPr>
            <w:rFonts w:ascii="仿宋" w:eastAsia="仿宋" w:hAnsi="仿宋" w:cs="仿宋" w:hint="eastAsia"/>
            <w:lang w:eastAsia="zh-CN"/>
          </w:rPr>
          <w:t>六、市场分析、调研</w:t>
        </w:r>
        <w:r>
          <w:tab/>
        </w:r>
        <w:r>
          <w:fldChar w:fldCharType="begin"/>
        </w:r>
        <w:r>
          <w:instrText xml:space="preserve"> PAGEREF _Toc9563 \h </w:instrText>
        </w:r>
        <w:r>
          <w:fldChar w:fldCharType="separate"/>
        </w:r>
        <w:r>
          <w:t>19</w:t>
        </w:r>
        <w:r>
          <w:fldChar w:fldCharType="end"/>
        </w:r>
      </w:hyperlink>
    </w:p>
    <w:p>
      <w:pPr>
        <w:pStyle w:val="TOC2"/>
        <w:tabs>
          <w:tab w:val="right" w:leader="dot" w:pos="8306"/>
        </w:tabs>
      </w:pPr>
      <w:hyperlink w:anchor="_Toc28585" w:history="1">
        <w:r>
          <w:rPr>
            <w:rFonts w:ascii="仿宋" w:eastAsia="仿宋" w:hAnsi="仿宋" w:cs="仿宋" w:hint="eastAsia"/>
            <w:lang w:eastAsia="zh-CN"/>
          </w:rPr>
          <w:t>(一)、彩色等离子体显示屏专用系列光刻浆料行业分析</w:t>
        </w:r>
        <w:r>
          <w:tab/>
        </w:r>
        <w:r>
          <w:fldChar w:fldCharType="begin"/>
        </w:r>
        <w:r>
          <w:instrText xml:space="preserve"> PAGEREF _Toc28585 \h </w:instrText>
        </w:r>
        <w:r>
          <w:fldChar w:fldCharType="separate"/>
        </w:r>
        <w:r>
          <w:t>19</w:t>
        </w:r>
        <w:r>
          <w:fldChar w:fldCharType="end"/>
        </w:r>
      </w:hyperlink>
    </w:p>
    <w:p>
      <w:pPr>
        <w:pStyle w:val="TOC2"/>
        <w:tabs>
          <w:tab w:val="right" w:leader="dot" w:pos="8306"/>
        </w:tabs>
      </w:pPr>
      <w:hyperlink w:anchor="_Toc29665" w:history="1">
        <w:r>
          <w:rPr>
            <w:rFonts w:ascii="仿宋" w:eastAsia="仿宋" w:hAnsi="仿宋" w:cs="仿宋" w:hint="eastAsia"/>
            <w:lang w:eastAsia="zh-CN"/>
          </w:rPr>
          <w:t>(二)、彩色等离子体显示屏专用系列光刻浆料市场分析预测</w:t>
        </w:r>
        <w:r>
          <w:tab/>
        </w:r>
        <w:r>
          <w:fldChar w:fldCharType="begin"/>
        </w:r>
        <w:r>
          <w:instrText xml:space="preserve"> PAGEREF _Toc29665 \h </w:instrText>
        </w:r>
        <w:r>
          <w:fldChar w:fldCharType="separate"/>
        </w:r>
        <w:r>
          <w:t>20</w:t>
        </w:r>
        <w:r>
          <w:fldChar w:fldCharType="end"/>
        </w:r>
      </w:hyperlink>
    </w:p>
    <w:p>
      <w:pPr>
        <w:pStyle w:val="TOC1"/>
        <w:tabs>
          <w:tab w:val="right" w:leader="dot" w:pos="8306"/>
        </w:tabs>
      </w:pPr>
      <w:hyperlink w:anchor="_Toc7171" w:history="1">
        <w:r>
          <w:rPr>
            <w:rFonts w:ascii="仿宋" w:eastAsia="仿宋" w:hAnsi="仿宋" w:cs="仿宋" w:hint="eastAsia"/>
            <w:lang w:eastAsia="zh-CN"/>
          </w:rPr>
          <w:t>七、生产安全保护</w:t>
        </w:r>
        <w:r>
          <w:tab/>
        </w:r>
        <w:r>
          <w:fldChar w:fldCharType="begin"/>
        </w:r>
        <w:r>
          <w:instrText xml:space="preserve"> PAGEREF _Toc7171 \h </w:instrText>
        </w:r>
        <w:r>
          <w:fldChar w:fldCharType="separate"/>
        </w:r>
        <w:r>
          <w:t>21</w:t>
        </w:r>
        <w:r>
          <w:fldChar w:fldCharType="end"/>
        </w:r>
      </w:hyperlink>
    </w:p>
    <w:p>
      <w:pPr>
        <w:pStyle w:val="TOC2"/>
        <w:tabs>
          <w:tab w:val="right" w:leader="dot" w:pos="8306"/>
        </w:tabs>
      </w:pPr>
      <w:hyperlink w:anchor="_Toc10924" w:history="1">
        <w:r>
          <w:rPr>
            <w:rFonts w:ascii="仿宋" w:eastAsia="仿宋" w:hAnsi="仿宋" w:cs="仿宋" w:hint="eastAsia"/>
            <w:lang w:eastAsia="zh-CN"/>
          </w:rPr>
          <w:t>(一)、消防安全</w:t>
        </w:r>
        <w:r>
          <w:tab/>
        </w:r>
        <w:r>
          <w:fldChar w:fldCharType="begin"/>
        </w:r>
        <w:r>
          <w:instrText xml:space="preserve"> PAGEREF _Toc10924 \h </w:instrText>
        </w:r>
        <w:r>
          <w:fldChar w:fldCharType="separate"/>
        </w:r>
        <w:r>
          <w:t>21</w:t>
        </w:r>
        <w:r>
          <w:fldChar w:fldCharType="end"/>
        </w:r>
      </w:hyperlink>
    </w:p>
    <w:p>
      <w:pPr>
        <w:pStyle w:val="TOC2"/>
        <w:tabs>
          <w:tab w:val="right" w:leader="dot" w:pos="8306"/>
        </w:tabs>
      </w:pPr>
      <w:hyperlink w:anchor="_Toc14640" w:history="1">
        <w:r>
          <w:rPr>
            <w:rFonts w:ascii="仿宋" w:eastAsia="仿宋" w:hAnsi="仿宋" w:cs="仿宋" w:hint="eastAsia"/>
            <w:lang w:eastAsia="zh-CN"/>
          </w:rPr>
          <w:t>(二)、防火防爆总图布置措施</w:t>
        </w:r>
        <w:r>
          <w:tab/>
        </w:r>
        <w:r>
          <w:fldChar w:fldCharType="begin"/>
        </w:r>
        <w:r>
          <w:instrText xml:space="preserve"> PAGEREF _Toc14640 \h </w:instrText>
        </w:r>
        <w:r>
          <w:fldChar w:fldCharType="separate"/>
        </w:r>
        <w:r>
          <w:t>23</w:t>
        </w:r>
        <w:r>
          <w:fldChar w:fldCharType="end"/>
        </w:r>
      </w:hyperlink>
    </w:p>
    <w:p>
      <w:pPr>
        <w:pStyle w:val="TOC2"/>
        <w:tabs>
          <w:tab w:val="right" w:leader="dot" w:pos="8306"/>
        </w:tabs>
      </w:pPr>
      <w:hyperlink w:anchor="_Toc12055" w:history="1">
        <w:r>
          <w:rPr>
            <w:rFonts w:ascii="仿宋" w:eastAsia="仿宋" w:hAnsi="仿宋" w:cs="仿宋" w:hint="eastAsia"/>
            <w:lang w:eastAsia="zh-CN"/>
          </w:rPr>
          <w:t>(三)、自然灾害防范措施</w:t>
        </w:r>
        <w:r>
          <w:tab/>
        </w:r>
        <w:r>
          <w:fldChar w:fldCharType="begin"/>
        </w:r>
        <w:r>
          <w:instrText xml:space="preserve"> PAGEREF _Toc12055 \h </w:instrText>
        </w:r>
        <w:r>
          <w:fldChar w:fldCharType="separate"/>
        </w:r>
        <w:r>
          <w:t>24</w:t>
        </w:r>
        <w:r>
          <w:fldChar w:fldCharType="end"/>
        </w:r>
      </w:hyperlink>
    </w:p>
    <w:p>
      <w:pPr>
        <w:pStyle w:val="TOC2"/>
        <w:tabs>
          <w:tab w:val="right" w:leader="dot" w:pos="8306"/>
        </w:tabs>
      </w:pPr>
      <w:hyperlink w:anchor="_Toc13887" w:history="1">
        <w:r>
          <w:rPr>
            <w:rFonts w:ascii="仿宋" w:eastAsia="仿宋" w:hAnsi="仿宋" w:cs="仿宋" w:hint="eastAsia"/>
            <w:lang w:eastAsia="zh-CN"/>
          </w:rPr>
          <w:t>(四)、安全色及安全标志使用要求</w:t>
        </w:r>
        <w:r>
          <w:tab/>
        </w:r>
        <w:r>
          <w:fldChar w:fldCharType="begin"/>
        </w:r>
        <w:r>
          <w:instrText xml:space="preserve"> PAGEREF _Toc13887 \h </w:instrText>
        </w:r>
        <w:r>
          <w:fldChar w:fldCharType="separate"/>
        </w:r>
        <w:r>
          <w:t>25</w:t>
        </w:r>
        <w:r>
          <w:fldChar w:fldCharType="end"/>
        </w:r>
      </w:hyperlink>
    </w:p>
    <w:p>
      <w:pPr>
        <w:pStyle w:val="TOC2"/>
        <w:tabs>
          <w:tab w:val="right" w:leader="dot" w:pos="8306"/>
        </w:tabs>
      </w:pPr>
      <w:hyperlink w:anchor="_Toc16036" w:history="1">
        <w:r>
          <w:rPr>
            <w:rFonts w:ascii="仿宋" w:eastAsia="仿宋" w:hAnsi="仿宋" w:cs="仿宋" w:hint="eastAsia"/>
            <w:lang w:eastAsia="zh-CN"/>
          </w:rPr>
          <w:t>(五)、防尘防毒措施</w:t>
        </w:r>
        <w:r>
          <w:tab/>
        </w:r>
        <w:r>
          <w:fldChar w:fldCharType="begin"/>
        </w:r>
        <w:r>
          <w:instrText xml:space="preserve"> PAGEREF _Toc16036 \h </w:instrText>
        </w:r>
        <w:r>
          <w:fldChar w:fldCharType="separate"/>
        </w:r>
        <w:r>
          <w:t>26</w:t>
        </w:r>
        <w:r>
          <w:fldChar w:fldCharType="end"/>
        </w:r>
      </w:hyperlink>
    </w:p>
    <w:p>
      <w:pPr>
        <w:pStyle w:val="TOC2"/>
        <w:tabs>
          <w:tab w:val="right" w:leader="dot" w:pos="8306"/>
        </w:tabs>
      </w:pPr>
      <w:hyperlink w:anchor="_Toc650" w:history="1">
        <w:r>
          <w:rPr>
            <w:rFonts w:ascii="仿宋" w:eastAsia="仿宋" w:hAnsi="仿宋" w:cs="仿宋" w:hint="eastAsia"/>
            <w:lang w:eastAsia="zh-CN"/>
          </w:rPr>
          <w:t>(六)、防静电、触电防护及防雷措施</w:t>
        </w:r>
        <w:r>
          <w:tab/>
        </w:r>
        <w:r>
          <w:fldChar w:fldCharType="begin"/>
        </w:r>
        <w:r>
          <w:instrText xml:space="preserve"> PAGEREF _Toc650 \h </w:instrText>
        </w:r>
        <w:r>
          <w:fldChar w:fldCharType="separate"/>
        </w:r>
        <w:r>
          <w:t>27</w:t>
        </w:r>
        <w:r>
          <w:fldChar w:fldCharType="end"/>
        </w:r>
      </w:hyperlink>
    </w:p>
    <w:p>
      <w:pPr>
        <w:pStyle w:val="TOC2"/>
        <w:tabs>
          <w:tab w:val="right" w:leader="dot" w:pos="8306"/>
        </w:tabs>
      </w:pPr>
      <w:hyperlink w:anchor="_Toc15238" w:history="1">
        <w:r>
          <w:rPr>
            <w:rFonts w:ascii="仿宋" w:eastAsia="仿宋" w:hAnsi="仿宋" w:cs="仿宋" w:hint="eastAsia"/>
            <w:lang w:eastAsia="zh-CN"/>
          </w:rPr>
          <w:t>(七)、机械设备安全保障措施</w:t>
        </w:r>
        <w:r>
          <w:tab/>
        </w:r>
        <w:r>
          <w:fldChar w:fldCharType="begin"/>
        </w:r>
        <w:r>
          <w:instrText xml:space="preserve"> PAGEREF _Toc15238 \h </w:instrText>
        </w:r>
        <w:r>
          <w:fldChar w:fldCharType="separate"/>
        </w:r>
        <w:r>
          <w:t>28</w:t>
        </w:r>
        <w:r>
          <w:fldChar w:fldCharType="end"/>
        </w:r>
      </w:hyperlink>
    </w:p>
    <w:p>
      <w:pPr>
        <w:pStyle w:val="TOC1"/>
        <w:tabs>
          <w:tab w:val="right" w:leader="dot" w:pos="8306"/>
        </w:tabs>
      </w:pPr>
      <w:hyperlink w:anchor="_Toc28346" w:history="1">
        <w:r>
          <w:rPr>
            <w:rFonts w:ascii="仿宋" w:eastAsia="仿宋" w:hAnsi="仿宋" w:cs="仿宋" w:hint="eastAsia"/>
            <w:lang w:eastAsia="zh-CN"/>
          </w:rPr>
          <w:t>八、彩色等离子体显示屏专用系列光刻浆料项目社会影响</w:t>
        </w:r>
        <w:r>
          <w:tab/>
        </w:r>
        <w:r>
          <w:fldChar w:fldCharType="begin"/>
        </w:r>
        <w:r>
          <w:instrText xml:space="preserve"> PAGEREF _Toc28346 \h </w:instrText>
        </w:r>
        <w:r>
          <w:fldChar w:fldCharType="separate"/>
        </w:r>
        <w:r>
          <w:t>30</w:t>
        </w:r>
        <w:r>
          <w:fldChar w:fldCharType="end"/>
        </w:r>
      </w:hyperlink>
    </w:p>
    <w:p>
      <w:pPr>
        <w:pStyle w:val="TOC2"/>
        <w:tabs>
          <w:tab w:val="right" w:leader="dot" w:pos="8306"/>
        </w:tabs>
      </w:pPr>
      <w:hyperlink w:anchor="_Toc13844" w:history="1">
        <w:r>
          <w:rPr>
            <w:rFonts w:ascii="仿宋" w:eastAsia="仿宋" w:hAnsi="仿宋" w:cs="仿宋" w:hint="eastAsia"/>
            <w:lang w:eastAsia="zh-CN"/>
          </w:rPr>
          <w:t>(一)、社会责任与义务</w:t>
        </w:r>
        <w:r>
          <w:tab/>
        </w:r>
        <w:r>
          <w:fldChar w:fldCharType="begin"/>
        </w:r>
        <w:r>
          <w:instrText xml:space="preserve"> PAGEREF _Toc13844 \h </w:instrText>
        </w:r>
        <w:r>
          <w:fldChar w:fldCharType="separate"/>
        </w:r>
        <w:r>
          <w:t>30</w:t>
        </w:r>
        <w:r>
          <w:fldChar w:fldCharType="end"/>
        </w:r>
      </w:hyperlink>
    </w:p>
    <w:p>
      <w:pPr>
        <w:pStyle w:val="TOC2"/>
        <w:tabs>
          <w:tab w:val="right" w:leader="dot" w:pos="8306"/>
        </w:tabs>
      </w:pPr>
      <w:hyperlink w:anchor="_Toc2768" w:history="1">
        <w:r>
          <w:rPr>
            <w:rFonts w:ascii="仿宋" w:eastAsia="仿宋" w:hAnsi="仿宋" w:cs="仿宋" w:hint="eastAsia"/>
            <w:lang w:eastAsia="zh-CN"/>
          </w:rPr>
          <w:t>(二)、社会参与与沟通</w:t>
        </w:r>
        <w:r>
          <w:tab/>
        </w:r>
        <w:r>
          <w:fldChar w:fldCharType="begin"/>
        </w:r>
        <w:r>
          <w:instrText xml:space="preserve"> PAGEREF _Toc2768 \h </w:instrText>
        </w:r>
        <w:r>
          <w:fldChar w:fldCharType="separate"/>
        </w:r>
        <w:r>
          <w:t>31</w:t>
        </w:r>
        <w:r>
          <w:fldChar w:fldCharType="end"/>
        </w:r>
      </w:hyperlink>
    </w:p>
    <w:p>
      <w:pPr>
        <w:pStyle w:val="TOC1"/>
        <w:tabs>
          <w:tab w:val="right" w:leader="dot" w:pos="8306"/>
        </w:tabs>
      </w:pPr>
      <w:hyperlink w:anchor="_Toc25394" w:history="1">
        <w:r>
          <w:rPr>
            <w:rFonts w:ascii="仿宋" w:eastAsia="仿宋" w:hAnsi="仿宋" w:cs="仿宋" w:hint="eastAsia"/>
            <w:lang w:eastAsia="zh-CN"/>
          </w:rPr>
          <w:t>九、彩色等离子体显示屏专用系列光刻浆料项目财务管理</w:t>
        </w:r>
        <w:r>
          <w:tab/>
        </w:r>
        <w:r>
          <w:fldChar w:fldCharType="begin"/>
        </w:r>
        <w:r>
          <w:instrText xml:space="preserve"> PAGEREF _Toc25394 \h </w:instrText>
        </w:r>
        <w:r>
          <w:fldChar w:fldCharType="separate"/>
        </w:r>
        <w:r>
          <w:t>32</w:t>
        </w:r>
        <w:r>
          <w:fldChar w:fldCharType="end"/>
        </w:r>
      </w:hyperlink>
    </w:p>
    <w:p>
      <w:pPr>
        <w:pStyle w:val="TOC2"/>
        <w:tabs>
          <w:tab w:val="right" w:leader="dot" w:pos="8306"/>
        </w:tabs>
      </w:pPr>
      <w:hyperlink w:anchor="_Toc4477" w:history="1">
        <w:r>
          <w:rPr>
            <w:rFonts w:ascii="仿宋" w:eastAsia="仿宋" w:hAnsi="仿宋" w:cs="仿宋" w:hint="eastAsia"/>
            <w:lang w:eastAsia="zh-CN"/>
          </w:rPr>
          <w:t>(一)、资金需求大</w:t>
        </w:r>
        <w:r>
          <w:tab/>
        </w:r>
        <w:r>
          <w:fldChar w:fldCharType="begin"/>
        </w:r>
        <w:r>
          <w:instrText xml:space="preserve"> PAGEREF _Toc4477 \h </w:instrText>
        </w:r>
        <w:r>
          <w:fldChar w:fldCharType="separate"/>
        </w:r>
        <w:r>
          <w:t>32</w:t>
        </w:r>
        <w:r>
          <w:fldChar w:fldCharType="end"/>
        </w:r>
      </w:hyperlink>
    </w:p>
    <w:p>
      <w:pPr>
        <w:pStyle w:val="TOC2"/>
        <w:tabs>
          <w:tab w:val="right" w:leader="dot" w:pos="8306"/>
        </w:tabs>
      </w:pPr>
      <w:hyperlink w:anchor="_Toc13146" w:history="1">
        <w:r>
          <w:rPr>
            <w:rFonts w:ascii="仿宋" w:eastAsia="仿宋" w:hAnsi="仿宋" w:cs="仿宋" w:hint="eastAsia"/>
            <w:lang w:eastAsia="zh-CN"/>
          </w:rPr>
          <w:t>(二)、研发周期长</w:t>
        </w:r>
        <w:r>
          <w:tab/>
        </w:r>
        <w:r>
          <w:fldChar w:fldCharType="begin"/>
        </w:r>
        <w:r>
          <w:instrText xml:space="preserve"> PAGEREF _Toc13146 \h </w:instrText>
        </w:r>
        <w:r>
          <w:fldChar w:fldCharType="separate"/>
        </w:r>
        <w:r>
          <w:t>33</w:t>
        </w:r>
        <w:r>
          <w:fldChar w:fldCharType="end"/>
        </w:r>
      </w:hyperlink>
    </w:p>
    <w:p>
      <w:pPr>
        <w:pStyle w:val="TOC2"/>
        <w:tabs>
          <w:tab w:val="right" w:leader="dot" w:pos="8306"/>
        </w:tabs>
      </w:pPr>
      <w:hyperlink w:anchor="_Toc21091" w:history="1">
        <w:r>
          <w:rPr>
            <w:rFonts w:ascii="仿宋" w:eastAsia="仿宋" w:hAnsi="仿宋" w:cs="仿宋" w:hint="eastAsia"/>
            <w:lang w:eastAsia="zh-CN"/>
          </w:rPr>
          <w:t>(三)、市场风险大</w:t>
        </w:r>
        <w:r>
          <w:tab/>
        </w:r>
        <w:r>
          <w:fldChar w:fldCharType="begin"/>
        </w:r>
        <w:r>
          <w:instrText xml:space="preserve"> PAGEREF _Toc21091 \h </w:instrText>
        </w:r>
        <w:r>
          <w:fldChar w:fldCharType="separate"/>
        </w:r>
        <w:r>
          <w:t>35</w:t>
        </w:r>
        <w:r>
          <w:fldChar w:fldCharType="end"/>
        </w:r>
      </w:hyperlink>
    </w:p>
    <w:p>
      <w:pPr>
        <w:pStyle w:val="TOC2"/>
        <w:tabs>
          <w:tab w:val="right" w:leader="dot" w:pos="8306"/>
        </w:tabs>
      </w:pPr>
      <w:hyperlink w:anchor="_Toc26812" w:history="1">
        <w:r>
          <w:rPr>
            <w:rFonts w:ascii="仿宋" w:eastAsia="仿宋" w:hAnsi="仿宋" w:cs="仿宋" w:hint="eastAsia"/>
            <w:lang w:eastAsia="zh-CN"/>
          </w:rPr>
          <w:t>(四)、利润率高</w:t>
        </w:r>
        <w:r>
          <w:tab/>
        </w:r>
        <w:r>
          <w:fldChar w:fldCharType="begin"/>
        </w:r>
        <w:r>
          <w:instrText xml:space="preserve"> PAGEREF _Toc26812 \h </w:instrText>
        </w:r>
        <w:r>
          <w:fldChar w:fldCharType="separate"/>
        </w:r>
        <w:r>
          <w:t>38</w:t>
        </w:r>
        <w:r>
          <w:fldChar w:fldCharType="end"/>
        </w:r>
      </w:hyperlink>
    </w:p>
    <w:p>
      <w:pPr>
        <w:pStyle w:val="TOC1"/>
        <w:tabs>
          <w:tab w:val="right" w:leader="dot" w:pos="8306"/>
        </w:tabs>
      </w:pPr>
      <w:hyperlink w:anchor="_Toc23746" w:history="1">
        <w:r>
          <w:rPr>
            <w:rFonts w:ascii="仿宋" w:eastAsia="仿宋" w:hAnsi="仿宋" w:cs="仿宋" w:hint="eastAsia"/>
            <w:lang w:eastAsia="zh-CN"/>
          </w:rPr>
          <w:t>十、彩色等离子体显示屏专用系列光刻浆料项目投资规划</w:t>
        </w:r>
        <w:r>
          <w:tab/>
        </w:r>
        <w:r>
          <w:fldChar w:fldCharType="begin"/>
        </w:r>
        <w:r>
          <w:instrText xml:space="preserve"> PAGEREF _Toc23746 \h </w:instrText>
        </w:r>
        <w:r>
          <w:fldChar w:fldCharType="separate"/>
        </w:r>
        <w:r>
          <w:t>40</w:t>
        </w:r>
        <w:r>
          <w:fldChar w:fldCharType="end"/>
        </w:r>
      </w:hyperlink>
    </w:p>
    <w:p>
      <w:pPr>
        <w:pStyle w:val="TOC2"/>
        <w:tabs>
          <w:tab w:val="right" w:leader="dot" w:pos="8306"/>
        </w:tabs>
      </w:pPr>
      <w:hyperlink w:anchor="_Toc26417" w:history="1">
        <w:r>
          <w:rPr>
            <w:rFonts w:ascii="仿宋" w:eastAsia="仿宋" w:hAnsi="仿宋" w:cs="仿宋" w:hint="eastAsia"/>
            <w:lang w:eastAsia="zh-CN"/>
          </w:rPr>
          <w:t>(一)、彩色等离子体显示屏专用系列光刻浆料项目总投资估算</w:t>
        </w:r>
        <w:r>
          <w:tab/>
        </w:r>
        <w:r>
          <w:fldChar w:fldCharType="begin"/>
        </w:r>
        <w:r>
          <w:instrText xml:space="preserve"> PAGEREF _Toc26417 \h </w:instrText>
        </w:r>
        <w:r>
          <w:fldChar w:fldCharType="separate"/>
        </w:r>
        <w:r>
          <w:t>40</w:t>
        </w:r>
        <w:r>
          <w:fldChar w:fldCharType="end"/>
        </w:r>
      </w:hyperlink>
    </w:p>
    <w:p>
      <w:pPr>
        <w:pStyle w:val="TOC2"/>
        <w:tabs>
          <w:tab w:val="right" w:leader="dot" w:pos="8306"/>
        </w:tabs>
      </w:pPr>
      <w:hyperlink w:anchor="_Toc12620" w:history="1">
        <w:r>
          <w:rPr>
            <w:rFonts w:ascii="仿宋" w:eastAsia="仿宋" w:hAnsi="仿宋" w:cs="仿宋" w:hint="eastAsia"/>
            <w:lang w:eastAsia="zh-CN"/>
          </w:rPr>
          <w:t>(二)、资金筹措</w:t>
        </w:r>
        <w:r>
          <w:tab/>
        </w:r>
        <w:r>
          <w:fldChar w:fldCharType="begin"/>
        </w:r>
        <w:r>
          <w:instrText xml:space="preserve"> PAGEREF _Toc12620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54" w:history="1">
        <w:r>
          <w:rPr>
            <w:rFonts w:ascii="仿宋" w:eastAsia="仿宋" w:hAnsi="仿宋" w:cs="仿宋" w:hint="eastAsia"/>
            <w:lang w:eastAsia="zh-CN"/>
          </w:rPr>
          <w:t>十一、彩色等离子体显示屏专用系列光刻浆料项目技术管理</w:t>
        </w:r>
        <w:r>
          <w:tab/>
        </w:r>
        <w:r>
          <w:fldChar w:fldCharType="begin"/>
        </w:r>
        <w:r>
          <w:instrText xml:space="preserve"> PAGEREF _Toc32754 \h </w:instrText>
        </w:r>
        <w:r>
          <w:fldChar w:fldCharType="separate"/>
        </w:r>
        <w:r>
          <w:t>43</w:t>
        </w:r>
        <w:r>
          <w:fldChar w:fldCharType="end"/>
        </w:r>
      </w:hyperlink>
    </w:p>
    <w:p>
      <w:pPr>
        <w:pStyle w:val="TOC2"/>
        <w:tabs>
          <w:tab w:val="right" w:leader="dot" w:pos="8306"/>
        </w:tabs>
      </w:pPr>
      <w:hyperlink w:anchor="_Toc4492" w:history="1">
        <w:r>
          <w:rPr>
            <w:rFonts w:ascii="仿宋" w:eastAsia="仿宋" w:hAnsi="仿宋" w:cs="仿宋" w:hint="eastAsia"/>
            <w:lang w:eastAsia="zh-CN"/>
          </w:rPr>
          <w:t>(一)、技术方案选用方向</w:t>
        </w:r>
        <w:r>
          <w:tab/>
        </w:r>
        <w:r>
          <w:fldChar w:fldCharType="begin"/>
        </w:r>
        <w:r>
          <w:instrText xml:space="preserve"> PAGEREF _Toc4492 \h </w:instrText>
        </w:r>
        <w:r>
          <w:fldChar w:fldCharType="separate"/>
        </w:r>
        <w:r>
          <w:t>43</w:t>
        </w:r>
        <w:r>
          <w:fldChar w:fldCharType="end"/>
        </w:r>
      </w:hyperlink>
    </w:p>
    <w:p>
      <w:pPr>
        <w:pStyle w:val="TOC2"/>
        <w:tabs>
          <w:tab w:val="right" w:leader="dot" w:pos="8306"/>
        </w:tabs>
      </w:pPr>
      <w:hyperlink w:anchor="_Toc5831" w:history="1">
        <w:r>
          <w:rPr>
            <w:rFonts w:ascii="仿宋" w:eastAsia="仿宋" w:hAnsi="仿宋" w:cs="仿宋" w:hint="eastAsia"/>
            <w:lang w:eastAsia="zh-CN"/>
          </w:rPr>
          <w:t>(二)、工艺技术方案选用原则</w:t>
        </w:r>
        <w:r>
          <w:tab/>
        </w:r>
        <w:r>
          <w:fldChar w:fldCharType="begin"/>
        </w:r>
        <w:r>
          <w:instrText xml:space="preserve"> PAGEREF _Toc5831 \h </w:instrText>
        </w:r>
        <w:r>
          <w:fldChar w:fldCharType="separate"/>
        </w:r>
        <w:r>
          <w:t>45</w:t>
        </w:r>
        <w:r>
          <w:fldChar w:fldCharType="end"/>
        </w:r>
      </w:hyperlink>
    </w:p>
    <w:p>
      <w:pPr>
        <w:pStyle w:val="TOC2"/>
        <w:tabs>
          <w:tab w:val="right" w:leader="dot" w:pos="8306"/>
        </w:tabs>
      </w:pPr>
      <w:hyperlink w:anchor="_Toc235" w:history="1">
        <w:r>
          <w:rPr>
            <w:rFonts w:ascii="仿宋" w:eastAsia="仿宋" w:hAnsi="仿宋" w:cs="仿宋" w:hint="eastAsia"/>
            <w:lang w:eastAsia="zh-CN"/>
          </w:rPr>
          <w:t>(三)、工艺技术方案要求</w:t>
        </w:r>
        <w:r>
          <w:tab/>
        </w:r>
        <w:r>
          <w:fldChar w:fldCharType="begin"/>
        </w:r>
        <w:r>
          <w:instrText xml:space="preserve"> PAGEREF _Toc235 \h </w:instrText>
        </w:r>
        <w:r>
          <w:fldChar w:fldCharType="separate"/>
        </w:r>
        <w:r>
          <w:t>47</w:t>
        </w:r>
        <w:r>
          <w:fldChar w:fldCharType="end"/>
        </w:r>
      </w:hyperlink>
    </w:p>
    <w:p>
      <w:pPr>
        <w:pStyle w:val="TOC1"/>
        <w:tabs>
          <w:tab w:val="right" w:leader="dot" w:pos="8306"/>
        </w:tabs>
      </w:pPr>
      <w:hyperlink w:anchor="_Toc7476" w:history="1">
        <w:r>
          <w:rPr>
            <w:rFonts w:ascii="仿宋" w:eastAsia="仿宋" w:hAnsi="仿宋" w:cs="仿宋" w:hint="eastAsia"/>
            <w:lang w:eastAsia="zh-CN"/>
          </w:rPr>
          <w:t>十二、彩色等离子体显示屏专用系列光刻浆料项目经营效益</w:t>
        </w:r>
        <w:r>
          <w:tab/>
        </w:r>
        <w:r>
          <w:fldChar w:fldCharType="begin"/>
        </w:r>
        <w:r>
          <w:instrText xml:space="preserve"> PAGEREF _Toc7476 \h </w:instrText>
        </w:r>
        <w:r>
          <w:fldChar w:fldCharType="separate"/>
        </w:r>
        <w:r>
          <w:t>49</w:t>
        </w:r>
        <w:r>
          <w:fldChar w:fldCharType="end"/>
        </w:r>
      </w:hyperlink>
    </w:p>
    <w:p>
      <w:pPr>
        <w:pStyle w:val="TOC2"/>
        <w:tabs>
          <w:tab w:val="right" w:leader="dot" w:pos="8306"/>
        </w:tabs>
      </w:pPr>
      <w:hyperlink w:anchor="_Toc8112" w:history="1">
        <w:r>
          <w:rPr>
            <w:rFonts w:ascii="仿宋" w:eastAsia="仿宋" w:hAnsi="仿宋" w:cs="仿宋" w:hint="eastAsia"/>
            <w:lang w:eastAsia="zh-CN"/>
          </w:rPr>
          <w:t>(一)、经济评价财务测算</w:t>
        </w:r>
        <w:r>
          <w:tab/>
        </w:r>
        <w:r>
          <w:fldChar w:fldCharType="begin"/>
        </w:r>
        <w:r>
          <w:instrText xml:space="preserve"> PAGEREF _Toc8112 \h </w:instrText>
        </w:r>
        <w:r>
          <w:fldChar w:fldCharType="separate"/>
        </w:r>
        <w:r>
          <w:t>49</w:t>
        </w:r>
        <w:r>
          <w:fldChar w:fldCharType="end"/>
        </w:r>
      </w:hyperlink>
    </w:p>
    <w:p>
      <w:pPr>
        <w:pStyle w:val="TOC2"/>
        <w:tabs>
          <w:tab w:val="right" w:leader="dot" w:pos="8306"/>
        </w:tabs>
      </w:pPr>
      <w:hyperlink w:anchor="_Toc7142" w:history="1">
        <w:r>
          <w:rPr>
            <w:rFonts w:ascii="仿宋" w:eastAsia="仿宋" w:hAnsi="仿宋" w:cs="仿宋" w:hint="eastAsia"/>
            <w:lang w:eastAsia="zh-CN"/>
          </w:rPr>
          <w:t>(二)、彩色等离子体显示屏专用系列光刻浆料项目盈利能力分析</w:t>
        </w:r>
        <w:r>
          <w:tab/>
        </w:r>
        <w:r>
          <w:fldChar w:fldCharType="begin"/>
        </w:r>
        <w:r>
          <w:instrText xml:space="preserve"> PAGEREF _Toc7142 \h </w:instrText>
        </w:r>
        <w:r>
          <w:fldChar w:fldCharType="separate"/>
        </w:r>
        <w:r>
          <w:t>51</w:t>
        </w:r>
        <w:r>
          <w:fldChar w:fldCharType="end"/>
        </w:r>
      </w:hyperlink>
    </w:p>
    <w:p>
      <w:pPr>
        <w:pStyle w:val="TOC1"/>
        <w:tabs>
          <w:tab w:val="right" w:leader="dot" w:pos="8306"/>
        </w:tabs>
      </w:pPr>
      <w:hyperlink w:anchor="_Toc16176" w:history="1">
        <w:r>
          <w:rPr>
            <w:rFonts w:ascii="仿宋" w:eastAsia="仿宋" w:hAnsi="仿宋" w:cs="仿宋" w:hint="eastAsia"/>
            <w:lang w:eastAsia="zh-CN"/>
          </w:rPr>
          <w:t>十三、彩色等离子体显示屏专用系列光刻浆料项目实施保障措施</w:t>
        </w:r>
        <w:r>
          <w:tab/>
        </w:r>
        <w:r>
          <w:fldChar w:fldCharType="begin"/>
        </w:r>
        <w:r>
          <w:instrText xml:space="preserve"> PAGEREF _Toc16176 \h </w:instrText>
        </w:r>
        <w:r>
          <w:fldChar w:fldCharType="separate"/>
        </w:r>
        <w:r>
          <w:t>52</w:t>
        </w:r>
        <w:r>
          <w:fldChar w:fldCharType="end"/>
        </w:r>
      </w:hyperlink>
    </w:p>
    <w:p>
      <w:pPr>
        <w:pStyle w:val="TOC2"/>
        <w:tabs>
          <w:tab w:val="right" w:leader="dot" w:pos="8306"/>
        </w:tabs>
      </w:pPr>
      <w:hyperlink w:anchor="_Toc25790" w:history="1">
        <w:r>
          <w:rPr>
            <w:rFonts w:ascii="仿宋" w:eastAsia="仿宋" w:hAnsi="仿宋" w:cs="仿宋" w:hint="eastAsia"/>
            <w:lang w:eastAsia="zh-CN"/>
          </w:rPr>
          <w:t>(一)、彩色等离子体显示屏专用系列光刻浆料项目实施保障机制</w:t>
        </w:r>
        <w:r>
          <w:tab/>
        </w:r>
        <w:r>
          <w:fldChar w:fldCharType="begin"/>
        </w:r>
        <w:r>
          <w:instrText xml:space="preserve"> PAGEREF _Toc25790 \h </w:instrText>
        </w:r>
        <w:r>
          <w:fldChar w:fldCharType="separate"/>
        </w:r>
        <w:r>
          <w:t>52</w:t>
        </w:r>
        <w:r>
          <w:fldChar w:fldCharType="end"/>
        </w:r>
      </w:hyperlink>
    </w:p>
    <w:p>
      <w:pPr>
        <w:pStyle w:val="TOC2"/>
        <w:tabs>
          <w:tab w:val="right" w:leader="dot" w:pos="8306"/>
        </w:tabs>
      </w:pPr>
      <w:hyperlink w:anchor="_Toc64" w:history="1">
        <w:r>
          <w:rPr>
            <w:rFonts w:ascii="仿宋" w:eastAsia="仿宋" w:hAnsi="仿宋" w:cs="仿宋" w:hint="eastAsia"/>
            <w:lang w:eastAsia="zh-CN"/>
          </w:rPr>
          <w:t>(二)、彩色等离子体显示屏专用系列光刻浆料项目法律合规要求</w:t>
        </w:r>
        <w:r>
          <w:tab/>
        </w:r>
        <w:r>
          <w:fldChar w:fldCharType="begin"/>
        </w:r>
        <w:r>
          <w:instrText xml:space="preserve"> PAGEREF _Toc64 \h </w:instrText>
        </w:r>
        <w:r>
          <w:fldChar w:fldCharType="separate"/>
        </w:r>
        <w:r>
          <w:t>56</w:t>
        </w:r>
        <w:r>
          <w:fldChar w:fldCharType="end"/>
        </w:r>
      </w:hyperlink>
    </w:p>
    <w:p>
      <w:pPr>
        <w:pStyle w:val="TOC2"/>
        <w:tabs>
          <w:tab w:val="right" w:leader="dot" w:pos="8306"/>
        </w:tabs>
      </w:pPr>
      <w:hyperlink w:anchor="_Toc6631" w:history="1">
        <w:r>
          <w:rPr>
            <w:rFonts w:ascii="仿宋" w:eastAsia="仿宋" w:hAnsi="仿宋" w:cs="仿宋" w:hint="eastAsia"/>
            <w:lang w:eastAsia="zh-CN"/>
          </w:rPr>
          <w:t>(三)、彩色等离子体显示屏专用系列光刻浆料项目合同管理与法律事务</w:t>
        </w:r>
        <w:r>
          <w:tab/>
        </w:r>
        <w:r>
          <w:fldChar w:fldCharType="begin"/>
        </w:r>
        <w:r>
          <w:instrText xml:space="preserve"> PAGEREF _Toc6631 \h </w:instrText>
        </w:r>
        <w:r>
          <w:fldChar w:fldCharType="separate"/>
        </w:r>
        <w:r>
          <w:t>61</w:t>
        </w:r>
        <w:r>
          <w:fldChar w:fldCharType="end"/>
        </w:r>
      </w:hyperlink>
    </w:p>
    <w:p>
      <w:pPr>
        <w:pStyle w:val="TOC2"/>
        <w:tabs>
          <w:tab w:val="right" w:leader="dot" w:pos="8306"/>
        </w:tabs>
      </w:pPr>
      <w:hyperlink w:anchor="_Toc5729" w:history="1">
        <w:r>
          <w:rPr>
            <w:rFonts w:ascii="仿宋" w:eastAsia="仿宋" w:hAnsi="仿宋" w:cs="仿宋" w:hint="eastAsia"/>
            <w:lang w:eastAsia="zh-CN"/>
          </w:rPr>
          <w:t>(四)、彩色等离子体显示屏专用系列光刻浆料项目知识产权保护策略</w:t>
        </w:r>
        <w:r>
          <w:tab/>
        </w:r>
        <w:r>
          <w:fldChar w:fldCharType="begin"/>
        </w:r>
        <w:r>
          <w:instrText xml:space="preserve"> PAGEREF _Toc5729 \h </w:instrText>
        </w:r>
        <w:r>
          <w:fldChar w:fldCharType="separate"/>
        </w:r>
        <w:r>
          <w:t>68</w:t>
        </w:r>
        <w:r>
          <w:fldChar w:fldCharType="end"/>
        </w:r>
      </w:hyperlink>
    </w:p>
    <w:p>
      <w:pPr>
        <w:pStyle w:val="TOC1"/>
        <w:tabs>
          <w:tab w:val="right" w:leader="dot" w:pos="8306"/>
        </w:tabs>
      </w:pPr>
      <w:hyperlink w:anchor="_Toc23251" w:history="1">
        <w:r>
          <w:rPr>
            <w:rFonts w:ascii="仿宋" w:eastAsia="仿宋" w:hAnsi="仿宋" w:cs="仿宋" w:hint="eastAsia"/>
            <w:lang w:eastAsia="zh-CN"/>
          </w:rPr>
          <w:t>十四、营销与推广策略</w:t>
        </w:r>
        <w:r>
          <w:tab/>
        </w:r>
        <w:r>
          <w:fldChar w:fldCharType="begin"/>
        </w:r>
        <w:r>
          <w:instrText xml:space="preserve"> PAGEREF _Toc23251 \h </w:instrText>
        </w:r>
        <w:r>
          <w:fldChar w:fldCharType="separate"/>
        </w:r>
        <w:r>
          <w:t>71</w:t>
        </w:r>
        <w:r>
          <w:fldChar w:fldCharType="end"/>
        </w:r>
      </w:hyperlink>
    </w:p>
    <w:p>
      <w:pPr>
        <w:pStyle w:val="TOC2"/>
        <w:tabs>
          <w:tab w:val="right" w:leader="dot" w:pos="8306"/>
        </w:tabs>
      </w:pPr>
      <w:hyperlink w:anchor="_Toc23885" w:history="1">
        <w:r>
          <w:rPr>
            <w:rFonts w:ascii="仿宋" w:eastAsia="仿宋" w:hAnsi="仿宋" w:cs="仿宋" w:hint="eastAsia"/>
            <w:lang w:eastAsia="zh-CN"/>
          </w:rPr>
          <w:t>(一)、产品/服务定位与特点</w:t>
        </w:r>
        <w:r>
          <w:tab/>
        </w:r>
        <w:r>
          <w:fldChar w:fldCharType="begin"/>
        </w:r>
        <w:r>
          <w:instrText xml:space="preserve"> PAGEREF _Toc23885 \h </w:instrText>
        </w:r>
        <w:r>
          <w:fldChar w:fldCharType="separate"/>
        </w:r>
        <w:r>
          <w:t>71</w:t>
        </w:r>
        <w:r>
          <w:fldChar w:fldCharType="end"/>
        </w:r>
      </w:hyperlink>
    </w:p>
    <w:p>
      <w:pPr>
        <w:pStyle w:val="TOC2"/>
        <w:tabs>
          <w:tab w:val="right" w:leader="dot" w:pos="8306"/>
        </w:tabs>
      </w:pPr>
      <w:hyperlink w:anchor="_Toc11812" w:history="1">
        <w:r>
          <w:rPr>
            <w:rFonts w:ascii="仿宋" w:eastAsia="仿宋" w:hAnsi="仿宋" w:cs="仿宋" w:hint="eastAsia"/>
            <w:lang w:eastAsia="zh-CN"/>
          </w:rPr>
          <w:t>(二)、市场定位与竞争分析</w:t>
        </w:r>
        <w:r>
          <w:tab/>
        </w:r>
        <w:r>
          <w:fldChar w:fldCharType="begin"/>
        </w:r>
        <w:r>
          <w:instrText xml:space="preserve"> PAGEREF _Toc11812 \h </w:instrText>
        </w:r>
        <w:r>
          <w:fldChar w:fldCharType="separate"/>
        </w:r>
        <w:r>
          <w:t>72</w:t>
        </w:r>
        <w:r>
          <w:fldChar w:fldCharType="end"/>
        </w:r>
      </w:hyperlink>
    </w:p>
    <w:p>
      <w:pPr>
        <w:pStyle w:val="TOC2"/>
        <w:tabs>
          <w:tab w:val="right" w:leader="dot" w:pos="8306"/>
        </w:tabs>
      </w:pPr>
      <w:hyperlink w:anchor="_Toc7101" w:history="1">
        <w:r>
          <w:rPr>
            <w:rFonts w:ascii="仿宋" w:eastAsia="仿宋" w:hAnsi="仿宋" w:cs="仿宋" w:hint="eastAsia"/>
            <w:lang w:eastAsia="zh-CN"/>
          </w:rPr>
          <w:t>(三)、营销渠道与策略</w:t>
        </w:r>
        <w:r>
          <w:tab/>
        </w:r>
        <w:r>
          <w:fldChar w:fldCharType="begin"/>
        </w:r>
        <w:r>
          <w:instrText xml:space="preserve"> PAGEREF _Toc7101 \h </w:instrText>
        </w:r>
        <w:r>
          <w:fldChar w:fldCharType="separate"/>
        </w:r>
        <w:r>
          <w:t>74</w:t>
        </w:r>
        <w:r>
          <w:fldChar w:fldCharType="end"/>
        </w:r>
      </w:hyperlink>
    </w:p>
    <w:p>
      <w:pPr>
        <w:pStyle w:val="TOC2"/>
        <w:tabs>
          <w:tab w:val="right" w:leader="dot" w:pos="8306"/>
        </w:tabs>
      </w:pPr>
      <w:hyperlink w:anchor="_Toc14276" w:history="1">
        <w:r>
          <w:rPr>
            <w:rFonts w:ascii="仿宋" w:eastAsia="仿宋" w:hAnsi="仿宋" w:cs="仿宋" w:hint="eastAsia"/>
            <w:lang w:eastAsia="zh-CN"/>
          </w:rPr>
          <w:t>(四)、推广与宣传活动</w:t>
        </w:r>
        <w:r>
          <w:tab/>
        </w:r>
        <w:r>
          <w:fldChar w:fldCharType="begin"/>
        </w:r>
        <w:r>
          <w:instrText xml:space="preserve"> PAGEREF _Toc14276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1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的主要产品是XXXX，预计年产值为XXX万元。这一产品在市场中占据着重要的地位，其广泛的应用范围使得该彩色等离子体显示屏专用系列光刻浆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彩色等离子体显示屏专用系列光刻浆料项目的xxx产品作为重要的原材料之一，将在多个领域发挥关键作用。其在建筑、交通、能源等方面的广泛应用将为整个产业链提供强大的支持，形成产业协同效应。彩色等离子体显示屏专用系列光刻浆料项目的年产值XXX万XXX万XXX万万元不仅反映了其在市场上的巨大潜力，更预示着它对国民经济的积极贡献。这种关联度高、涉及面广的产业关系，使得该彩色等离子体显示屏专用系列光刻浆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总征地面积为XXXX平方米，相当于约XX.XX亩，其中净用地面积为XXXX平方米，红线范围内相当于约XX.XX亩。这一用地规模充分考虑了彩色等离子体显示屏专用系列光刻浆料项目的建设需求，保障了彩色等离子体显示屏专用系列光刻浆料项目在合适的空间内得以充分发展。彩色等离子体显示屏专用系列光刻浆料项目规划的总建筑面积为XXXX平方米，其中主体工程建设占XXXX平方米，计容建筑面积达XXXX平方米。预计建筑工程的投资将达到XXXX万元，为彩色等离子体显示屏专用系列光刻浆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计划购置的设备共计XXXX台（套），设备购置费用为XXXX万元。这一设备购置计划充分考虑到彩色等离子体显示屏专用系列光刻浆料项目的生产需求和技术要求，确保了彩色等离子体显示屏专用系列光刻浆料项目在生产运营中具备先进的技术装备和高效的生产能力。设备的合理配置将为彩色等离子体显示屏专用系列光刻浆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计划总投资为XXXX万元，预计年实现营业收入为XXXX万元。这一产能规模的设定旨在确保彩色等离子体显示屏专用系列光刻浆料项目能够在投资与回报之间取得平衡，实现长期可持续的发展。彩色等离子体显示屏专用系列光刻浆料项目的总投资充分考虑到各个方面的需求，包括用地建设、设备购置等多个环节，以确保彩色等离子体显示屏专用系列光刻浆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23"/>
      <w:r>
        <w:rPr>
          <w:rFonts w:ascii="仿宋" w:eastAsia="仿宋" w:hAnsi="仿宋" w:cs="仿宋" w:hint="eastAsia"/>
          <w:sz w:val="28"/>
          <w:lang w:eastAsia="zh-CN"/>
        </w:rPr>
        <w:t>二、彩色等离子体显示屏专用系列光刻浆料项目建设背景及必要性分析</w:t>
      </w:r>
      <w:bookmarkEnd w:id="5"/>
    </w:p>
    <w:p>
      <w:pPr>
        <w:pStyle w:val="Heading2"/>
        <w:rPr>
          <w:rFonts w:ascii="仿宋" w:eastAsia="仿宋" w:hAnsi="仿宋" w:cs="仿宋" w:hint="eastAsia"/>
          <w:lang w:eastAsia="zh-CN"/>
        </w:rPr>
      </w:pPr>
      <w:bookmarkStart w:id="6" w:name="_Toc12192"/>
      <w:r>
        <w:rPr>
          <w:rFonts w:ascii="仿宋" w:eastAsia="仿宋" w:hAnsi="仿宋" w:cs="仿宋" w:hint="eastAsia"/>
          <w:lang w:eastAsia="zh-CN"/>
        </w:rPr>
        <w:t>(一)、彩色等离子体显示屏专用系列光刻浆料项目背景分析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等离子体显示屏专用系列光刻浆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等离子体显示屏专用系列光刻浆料项目在这个潮流中的定位。同时，我们将关注行业内涌现的新兴机遇，以便彩色等离子体显示屏专用系列光刻浆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等离子体显示屏专用系列光刻浆料项目提供了强大的发展动力。我们将聚焦于行业内最新的技术发展趋势，包括但不限于人工智能、大数据分析、物联网等领域。通过深度的技术研究，我们将确保彩色等离子体显示屏专用系列光刻浆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等离子体显示屏专用系列光刻浆料项目发展的源泉。我们将投入更多的精力对市场需求进行深入剖析，超越表面的需求，深入挖掘潜在的市场痛点和机遇。通过对市场需求的细致了解，彩色等离子体显示屏专用系列光刻浆料项目将更有针对性地设计解决方案，满足市场的多样化需求，从而更好地促进彩色等离子体显示屏专用系列光刻浆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等离子体显示屏专用系列光刻浆料项目战略至关重要。我们将对竞争态势进行更为深入的分析，包括但不限于市场份额、产品特点、客户满意度等多个维度。通过深度的竞争分析，彩色等离子体显示屏专用系列光刻浆料项目将能够更准确地把握市场脉搏，制定具有竞争力的彩色等离子体显示屏专用系列光刻浆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色等离子体显示屏专用系列光刻浆料项目的发展具有直接的影响。我们将进行更为全面的法规和政策分析，了解行业发展中的潜在法律风险和合规挑战。通过充分了解和遵守相关法规，彩色等离子体显示屏专用系列光刻浆料项目将确保在法律框架内合法合规运营，为彩色等离子体显示屏专用系列光刻浆料项目的稳健发展提供有力支持。</w:t>
      </w:r>
    </w:p>
    <w:p>
      <w:pPr>
        <w:pStyle w:val="Heading2"/>
        <w:ind w:firstLine="560" w:firstLineChars="200"/>
        <w:rPr>
          <w:rFonts w:ascii="仿宋" w:eastAsia="仿宋" w:hAnsi="仿宋" w:cs="仿宋" w:hint="eastAsia"/>
          <w:sz w:val="28"/>
          <w:lang w:eastAsia="zh-CN"/>
        </w:rPr>
      </w:pPr>
      <w:bookmarkStart w:id="7" w:name="_Toc12884"/>
      <w:r>
        <w:rPr>
          <w:rFonts w:ascii="仿宋" w:eastAsia="仿宋" w:hAnsi="仿宋" w:cs="仿宋" w:hint="eastAsia"/>
          <w:sz w:val="28"/>
          <w:lang w:eastAsia="zh-CN"/>
        </w:rPr>
        <w:t>(二)、彩色等离子体显示屏专用系列光刻浆料项目建设必要性分析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建设的迫切性源于对行业发展趋势的深刻洞察。我们正处于一个行业变革的时代，科技创新、数字化转型成为企业发展的关键动力。彩色等离子体显示屏专用系列光刻浆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建设不仅仅是为了跟上潮流，更是为了通过技术创新推动企业的持续发展。通过引入先进的技术和解决方案，彩色等离子体显示屏专用系列光刻浆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色等离子体显示屏专用系列光刻浆料项目的建设成为必然选择，通过提高产品质量、拓展服务领域，从而在竞争中获得更多的机会。彩色等离子体显示屏专用系列光刻浆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色等离子体显示屏专用系列光刻浆料项目建设的必要性体现在对客户需求更精准的满足。通过彩色等离子体显示屏专用系列光刻浆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建设的背后是对企业持续创新的追求。只有通过不断创新，企业才能在竞争中立于不败之地。彩色等离子体显示屏专用系列光刻浆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243"/>
      <w:r>
        <w:rPr>
          <w:rFonts w:ascii="仿宋" w:eastAsia="仿宋" w:hAnsi="仿宋" w:cs="仿宋" w:hint="eastAsia"/>
          <w:sz w:val="28"/>
          <w:lang w:eastAsia="zh-CN"/>
        </w:rPr>
        <w:t>三、彩色等离子体显示屏专用系列光刻浆料项目土建工程</w:t>
      </w:r>
      <w:bookmarkEnd w:id="8"/>
    </w:p>
    <w:p>
      <w:pPr>
        <w:pStyle w:val="Heading2"/>
        <w:rPr>
          <w:rFonts w:ascii="仿宋" w:eastAsia="仿宋" w:hAnsi="仿宋" w:cs="仿宋" w:hint="eastAsia"/>
          <w:lang w:eastAsia="zh-CN"/>
        </w:rPr>
      </w:pPr>
      <w:bookmarkStart w:id="9" w:name="_Toc182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在彩色等离子体显示屏专用系列光刻浆料项目的建筑工程设计中，我们将秉承一系列重要的设计原则，以确保彩色等离子体显示屏专用系列光刻浆料项目建筑在功能、美观、可持续性等方面达到最佳效果。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首要原则是确保建筑的功能性得到最大化的发挥。我们将充分理解彩色等离子体显示屏专用系列光刻浆料项目的实际需求，合理布局各个功能区域，保证建筑在满足业务需求的同时，提供高效的工作环境。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在建筑设计中，我们将综合考虑建设和运营成本。通过精细的经济效益分析，确保设计方案在高效利用资源的同时，对彩色等离子体显示屏专用系列光刻浆料项目的长期盈利能力有积极的贡献。</w:t>
      </w:r>
    </w:p>
    <w:p>
      <w:pPr>
        <w:pStyle w:val="Heading2"/>
        <w:ind w:firstLine="560" w:firstLineChars="200"/>
        <w:rPr>
          <w:rFonts w:ascii="仿宋" w:eastAsia="仿宋" w:hAnsi="仿宋" w:cs="仿宋" w:hint="eastAsia"/>
          <w:sz w:val="28"/>
          <w:lang w:eastAsia="zh-CN"/>
        </w:rPr>
      </w:pPr>
      <w:bookmarkStart w:id="10" w:name="_Toc3073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等离子体显示屏专用系列光刻浆料项目的土建工程设计中，我们将精准设定设计年限，结合彩色等离子体显示屏专用系列光刻浆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色等离子体显示屏专用系列光刻浆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90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彩色等离子体显示屏专用系列光刻浆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色等离子体显示屏专用系列光刻浆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色等离子体显示屏专用系列光刻浆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2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本期工程彩色等离子体显示屏专用系列光刻浆料项目预计总建筑面积XXX平方米，其中：计容建筑面积XXX平方米，计划建筑工程投资XX万元，占彩色等离子体显示屏专用系列光刻浆料项目总投资的XX%。</w:t>
      </w:r>
    </w:p>
    <w:p>
      <w:pPr>
        <w:pStyle w:val="Heading1"/>
        <w:ind w:firstLine="560" w:firstLineChars="200"/>
        <w:rPr>
          <w:rFonts w:ascii="仿宋" w:eastAsia="仿宋" w:hAnsi="仿宋" w:cs="仿宋" w:hint="eastAsia"/>
          <w:sz w:val="28"/>
          <w:lang w:eastAsia="zh-CN"/>
        </w:rPr>
      </w:pPr>
      <w:bookmarkStart w:id="13" w:name="_Toc19434"/>
      <w:r>
        <w:rPr>
          <w:rFonts w:ascii="仿宋" w:eastAsia="仿宋" w:hAnsi="仿宋" w:cs="仿宋" w:hint="eastAsia"/>
          <w:sz w:val="28"/>
          <w:lang w:eastAsia="zh-CN"/>
        </w:rPr>
        <w:t>四、彩色等离子体显示屏专用系列光刻浆料项目建设单位说明</w:t>
      </w:r>
      <w:bookmarkEnd w:id="13"/>
    </w:p>
    <w:p>
      <w:pPr>
        <w:pStyle w:val="Heading2"/>
        <w:rPr>
          <w:rFonts w:ascii="仿宋" w:eastAsia="仿宋" w:hAnsi="仿宋" w:cs="仿宋" w:hint="eastAsia"/>
          <w:lang w:eastAsia="zh-CN"/>
        </w:rPr>
      </w:pPr>
      <w:bookmarkStart w:id="14" w:name="_Toc4439"/>
      <w:r>
        <w:rPr>
          <w:rFonts w:ascii="仿宋" w:eastAsia="仿宋" w:hAnsi="仿宋" w:cs="仿宋" w:hint="eastAsia"/>
          <w:lang w:eastAsia="zh-CN"/>
        </w:rPr>
        <w:t>(一)、彩色等离子体显示屏专用系列光刻浆料项目承办单位基本情况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71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色等离子体显示屏专用系列光刻浆料项目承办单位的XXXX，我们着眼于实现可持续的经济效益。通过技术创新和解决方案的提供，公司预计在彩色等离子体显示屏专用系列光刻浆料项目执行期间将获得可观的收入增长。这一收入来源主要包括彩色等离子体显示屏专用系列光刻浆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同时，我们注重成本控制和效率提升，以确保彩色等离子体显示屏专用系列光刻浆料项目的可持续盈利。透过精细的管理和资源优化，公司期望实现彩色等离子体显示屏专用系列光刻浆料项目利润最大化。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色等离子体显示屏专用系列光刻浆料项目实施进行全面的投资评估，包括彩色等离子体显示屏专用系列光刻浆料项目启动阶段的资金投入和后续运营成本。通过对彩色等离子体显示屏专用系列光刻浆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色等离子体显示屏专用系列光刻浆料项目实施过程中具备足够的资金流动性，公司将进行详尽的现金流分析。这包括资金需求的合理预测、彩色等离子体显示屏专用系列光刻浆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088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867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彩色等离子体显示屏专用系列光刻浆料项目的技术管理特点体现在其创新导向。通过引入最先进的技术趋势和解决方案，彩色等离子体显示屏专用系列光刻浆料项目致力于提升科技含量、提高质量和效率水平。这意味着我们将采用最新的工具和方法，确保彩色等离子体显示屏专用系列光刻浆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等离子体显示屏专用系列光刻浆料项目技术管理的显著特征。通过整合不同领域的技术资源，我们实现了跨学科的协同工作。这有助于优化技术架构，提高整体效能。此外，整合性策略还促进了不同技术团队之间的紧密沟通和高效合作，确保彩色等离子体显示屏专用系列光刻浆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等离子体显示屏专用系列光刻浆料项目所采用的技术。通过不断优化技术方案，彩色等离子体显示屏专用系列光刻浆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等离子体显示屏专用系列光刻浆料项目团队将在彩色等离子体显示屏专用系列光刻浆料项目初期识别可能的技术风险，并采取相应的预防和应对措施。通过建立健全的风险评估机制，彩色等离子体显示屏专用系列光刻浆料项目能够在实施过程中及时发现并解决潜在的技术问题，保障彩色等离子体显示屏专用系列光刻浆料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彩色等离子体显示屏专用系列光刻浆料项目中，技术将成为彩色等离子体显示屏专用系列光刻浆料项目成功的有力支持。这一深度剖析揭示了技术管理在彩色等离子体显示屏专用系列光刻浆料项目实施中的关键作用，为彩色等离子体显示屏专用系列光刻浆料项目的技术基础奠定了坚实的基础。</w:t>
      </w:r>
    </w:p>
    <w:p>
      <w:pPr>
        <w:pStyle w:val="Heading2"/>
        <w:ind w:firstLine="560" w:firstLineChars="200"/>
        <w:rPr>
          <w:rFonts w:ascii="仿宋" w:eastAsia="仿宋" w:hAnsi="仿宋" w:cs="仿宋" w:hint="eastAsia"/>
          <w:sz w:val="28"/>
          <w:lang w:eastAsia="zh-CN"/>
        </w:rPr>
      </w:pPr>
      <w:bookmarkStart w:id="18" w:name="_Toc1987"/>
      <w:r>
        <w:rPr>
          <w:rFonts w:ascii="仿宋" w:eastAsia="仿宋" w:hAnsi="仿宋" w:cs="仿宋" w:hint="eastAsia"/>
          <w:sz w:val="28"/>
          <w:lang w:eastAsia="zh-CN"/>
        </w:rPr>
        <w:t>(二)、彩色等离子体显示屏专用系列光刻浆料项目工艺技术设计方案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等离子体显示屏专用系列光刻浆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色等离子体显示屏专用系列光刻浆料项目将严格按照相关行业规范要求进行组织。通过有效控制产品质量，彩色等离子体显示屏专用系列光刻浆料项目将致力于为顾客提供优质的彩色等离子体显示屏专用系列光刻浆料项目产品和良好的服务。这体现了彩色等离子体显示屏专用系列光刻浆料项目对于生产活动合规性和质量标准的高度重视，为彩色等离子体显示屏专用系列光刻浆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等离子体显示屏专用系列光刻浆料项目注重生态效益和清洁生产原则。彩色等离子体显示屏专用系列光刻浆料项目建设将紧密结合地方特色经济发展，与社会经济发展规划和区域环境保护规划方案相协调一致。通过与当地区域自然生态系统的结合，彩色等离子体显示屏专用系列光刻浆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https://d.book118.com/755134034340011041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彩色等离子体显示屏专用系列光刻浆料项目规划设计方案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471EF"/>
    <w:rsid w:val="2BC471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340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2024-01-12T05:11:00Z</dcterms:created>
  <dcterms:modified xsi:type="dcterms:W3CDTF">2024-01-12T05:12:12Z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15E94834132746A0B93787D67F6024F2_11</vt:lpwstr>
  </property>
  <property fmtid="{D5CDD505-2E9C-101B-9397-08002B2CF9AE}" pid="3" name="KSOProductBuildVer">
    <vt:lpwstr>2052-12.1.0.16120</vt:lpwstr>
  </property>
</Properties>
</file>