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BodyText"/>
        <w:spacing w:before="2"/>
        <w:rPr>
          <w:rFonts w:ascii="Times New Roman"/>
          <w:sz w:val="24"/>
        </w:rPr>
      </w:pPr>
    </w:p>
    <w:p>
      <w:pPr>
        <w:pStyle w:val="Title"/>
        <w:rPr>
          <w:rFonts w:ascii="宋体"/>
          <w:sz w:val="28"/>
        </w:rPr>
      </w:pPr>
      <w:r>
        <w:pict>
          <v:shapetype id="_x0000_t202" coordsize="21600,21600" o:spt="202" path="m,l,21600r21600,l21600,xe">
            <v:stroke joinstyle="miter"/>
            <v:path gradientshapeok="t" o:connecttype="rect"/>
          </v:shapetype>
          <v:shape id="_x0000_s1025" type="#_x0000_t202" style="width:87.6pt;height:27.35pt;margin-top:-14.11pt;margin-left:58.54pt;mso-position-horizontal-relative:page;position:absolute;z-index:251658240" filled="f" stroked="f">
            <v:textbox inset="0,0,0,0">
              <w:txbxContent>
                <w:tbl>
                  <w:tblPr>
                    <w:tblStyle w:val="TableNormal"/>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53"/>
                    <w:gridCol w:w="1098"/>
                  </w:tblGrid>
                  <w:tr>
                    <w:tblPrEx>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272"/>
                      <w:jc w:val="left"/>
                    </w:trPr>
                    <w:tc>
                      <w:tcPr>
                        <w:tcW w:w="653" w:type="dxa"/>
                      </w:tcPr>
                      <w:p>
                        <w:pPr>
                          <w:pStyle w:val="TableParagraph"/>
                          <w:spacing w:before="0" w:line="234" w:lineRule="exact"/>
                          <w:ind w:left="200"/>
                          <w:jc w:val="left"/>
                          <w:rPr>
                            <w:rFonts w:ascii="Times New Roman"/>
                            <w:sz w:val="21"/>
                          </w:rPr>
                        </w:pPr>
                        <w:r>
                          <w:rPr>
                            <w:rFonts w:ascii="Times New Roman"/>
                            <w:sz w:val="21"/>
                          </w:rPr>
                          <w:t>ICS</w:t>
                        </w:r>
                      </w:p>
                    </w:tc>
                    <w:tc>
                      <w:tcPr>
                        <w:tcW w:w="1098" w:type="dxa"/>
                      </w:tcPr>
                      <w:p>
                        <w:pPr>
                          <w:pStyle w:val="TableParagraph"/>
                          <w:spacing w:before="0" w:line="253" w:lineRule="exact"/>
                          <w:ind w:left="55"/>
                          <w:jc w:val="left"/>
                          <w:rPr>
                            <w:rFonts w:ascii="黑体"/>
                            <w:sz w:val="21"/>
                          </w:rPr>
                        </w:pPr>
                        <w:r>
                          <w:rPr>
                            <w:rFonts w:ascii="黑体"/>
                            <w:sz w:val="21"/>
                          </w:rPr>
                          <w:t>13.060.3</w:t>
                        </w:r>
                      </w:p>
                    </w:tc>
                  </w:tr>
                  <w:tr>
                    <w:tblPrEx>
                      <w:tblW w:w="0" w:type="auto"/>
                      <w:jc w:val="left"/>
                      <w:tblInd w:w="7" w:type="dxa"/>
                      <w:tblLayout w:type="fixed"/>
                      <w:tblCellMar>
                        <w:top w:w="0" w:type="dxa"/>
                        <w:left w:w="0" w:type="dxa"/>
                        <w:bottom w:w="0" w:type="dxa"/>
                        <w:right w:w="0" w:type="dxa"/>
                      </w:tblCellMar>
                      <w:tblLook w:val="01E0"/>
                    </w:tblPrEx>
                    <w:trPr>
                      <w:trHeight w:val="273"/>
                      <w:jc w:val="left"/>
                    </w:trPr>
                    <w:tc>
                      <w:tcPr>
                        <w:tcW w:w="653" w:type="dxa"/>
                      </w:tcPr>
                      <w:p>
                        <w:pPr>
                          <w:pStyle w:val="TableParagraph"/>
                          <w:spacing w:before="31" w:line="223" w:lineRule="exact"/>
                          <w:ind w:left="200"/>
                          <w:jc w:val="left"/>
                          <w:rPr>
                            <w:rFonts w:ascii="Times New Roman"/>
                            <w:sz w:val="21"/>
                          </w:rPr>
                        </w:pPr>
                        <w:r>
                          <w:rPr>
                            <w:rFonts w:ascii="Times New Roman"/>
                            <w:sz w:val="21"/>
                          </w:rPr>
                          <w:t>CCS</w:t>
                        </w:r>
                      </w:p>
                    </w:tc>
                    <w:tc>
                      <w:tcPr>
                        <w:tcW w:w="1098" w:type="dxa"/>
                      </w:tcPr>
                      <w:p>
                        <w:pPr>
                          <w:pStyle w:val="TableParagraph"/>
                          <w:spacing w:before="34" w:line="220" w:lineRule="exact"/>
                          <w:ind w:left="55"/>
                          <w:jc w:val="left"/>
                          <w:rPr>
                            <w:rFonts w:ascii="黑体"/>
                            <w:sz w:val="21"/>
                          </w:rPr>
                        </w:pPr>
                        <w:r>
                          <w:rPr>
                            <w:rFonts w:ascii="黑体"/>
                            <w:sz w:val="21"/>
                          </w:rPr>
                          <w:t>P 41</w:t>
                        </w:r>
                      </w:p>
                    </w:tc>
                  </w:tr>
                </w:tbl>
                <w:p>
                  <w:pPr>
                    <w:pStyle w:val="BodyText"/>
                  </w:pPr>
                </w:p>
              </w:txbxContent>
            </v:textbox>
          </v:shape>
        </w:pict>
      </w:r>
      <w:r>
        <w:rPr>
          <w:w w:val="130"/>
        </w:rPr>
        <w:t>DB42</w:t>
      </w:r>
      <w:r>
        <w:rPr>
          <w:rFonts w:ascii="宋体"/>
          <w:w w:val="126"/>
          <w:sz w:val="28"/>
        </w:rPr>
        <w:t xml:space="preserve"> </w:t>
      </w:r>
    </w:p>
    <w:p>
      <w:pPr>
        <w:tabs>
          <w:tab w:val="left" w:pos="2589"/>
          <w:tab w:val="left" w:pos="4116"/>
          <w:tab w:val="left" w:pos="5643"/>
          <w:tab w:val="left" w:pos="7170"/>
          <w:tab w:val="left" w:pos="8697"/>
          <w:tab w:val="left" w:pos="10223"/>
        </w:tabs>
        <w:spacing w:before="254"/>
        <w:ind w:left="1063" w:right="0" w:firstLine="0"/>
        <w:jc w:val="left"/>
        <w:rPr>
          <w:rFonts w:ascii="黑体" w:eastAsia="黑体" w:hint="eastAsia"/>
          <w:sz w:val="48"/>
        </w:rPr>
      </w:pPr>
      <w:r>
        <w:rPr>
          <w:rFonts w:ascii="黑体" w:eastAsia="黑体" w:hint="eastAsia"/>
          <w:sz w:val="48"/>
        </w:rPr>
        <w:t>湖</w:t>
        <w:tab/>
        <w:t>北</w:t>
        <w:tab/>
        <w:t>省</w:t>
        <w:tab/>
        <w:t>地</w:t>
        <w:tab/>
        <w:t>方</w:t>
        <w:tab/>
        <w:t>标</w:t>
        <w:tab/>
        <w:t>准</w:t>
      </w:r>
    </w:p>
    <w:p>
      <w:pPr>
        <w:spacing w:before="341"/>
        <w:ind w:left="0" w:right="867" w:firstLine="0"/>
        <w:jc w:val="right"/>
        <w:rPr>
          <w:rFonts w:ascii="黑体" w:hAnsi="黑体"/>
          <w:sz w:val="28"/>
        </w:rPr>
      </w:pPr>
      <w:r>
        <w:rPr>
          <w:rFonts w:ascii="黑体" w:hAnsi="黑体"/>
          <w:sz w:val="28"/>
        </w:rPr>
        <w:t>DB42/T</w:t>
      </w:r>
      <w:r>
        <w:rPr>
          <w:rFonts w:ascii="黑体" w:hAnsi="黑体"/>
          <w:spacing w:val="-6"/>
          <w:sz w:val="28"/>
        </w:rPr>
        <w:t xml:space="preserve"> </w:t>
      </w:r>
      <w:r>
        <w:rPr>
          <w:rFonts w:ascii="黑体" w:hAnsi="黑体"/>
          <w:sz w:val="28"/>
        </w:rPr>
        <w:t>2157—2023</w:t>
      </w:r>
    </w:p>
    <w:p>
      <w:pPr>
        <w:pStyle w:val="BodyText"/>
        <w:rPr>
          <w:rFonts w:ascii="黑体"/>
          <w:sz w:val="20"/>
        </w:rPr>
      </w:pPr>
    </w:p>
    <w:p>
      <w:pPr>
        <w:pStyle w:val="BodyText"/>
        <w:spacing w:before="2"/>
        <w:rPr>
          <w:rFonts w:ascii="黑体"/>
          <w:sz w:val="28"/>
        </w:rPr>
      </w:pPr>
      <w:r>
        <w:pict>
          <v:shape id="_x0000_s1026" style="width:481.85pt;height:0.1pt;margin-top:20.44pt;margin-left:70.9pt;mso-position-horizontal-relative:page;mso-wrap-distance-left:0;mso-wrap-distance-right:0;position:absolute;z-index:-251656192" coordorigin="1418,409" coordsize="9637,0" path="m1418,409l11055,409e" filled="f" stroked="t" strokecolor="black" strokeweight="0.75pt">
            <v:stroke dashstyle="solid"/>
            <v:path arrowok="t"/>
            <w10:wrap type="topAndBottom"/>
          </v:shape>
        </w:pict>
      </w:r>
    </w:p>
    <w:p>
      <w:pPr>
        <w:pStyle w:val="BodyText"/>
        <w:rPr>
          <w:rFonts w:ascii="黑体"/>
          <w:sz w:val="28"/>
        </w:rPr>
      </w:pPr>
    </w:p>
    <w:p>
      <w:pPr>
        <w:pStyle w:val="BodyText"/>
        <w:rPr>
          <w:rFonts w:ascii="黑体"/>
          <w:sz w:val="28"/>
        </w:rPr>
      </w:pPr>
    </w:p>
    <w:p>
      <w:pPr>
        <w:pStyle w:val="BodyText"/>
        <w:rPr>
          <w:rFonts w:ascii="黑体"/>
          <w:sz w:val="28"/>
        </w:rPr>
      </w:pPr>
    </w:p>
    <w:p>
      <w:pPr>
        <w:pStyle w:val="BodyText"/>
        <w:rPr>
          <w:rFonts w:ascii="黑体"/>
          <w:sz w:val="28"/>
        </w:rPr>
      </w:pPr>
    </w:p>
    <w:p>
      <w:pPr>
        <w:pStyle w:val="BodyText"/>
        <w:rPr>
          <w:rFonts w:ascii="黑体"/>
          <w:sz w:val="28"/>
        </w:rPr>
      </w:pPr>
    </w:p>
    <w:p>
      <w:pPr>
        <w:pStyle w:val="BodyText"/>
        <w:spacing w:before="5"/>
        <w:rPr>
          <w:rFonts w:ascii="黑体"/>
          <w:sz w:val="28"/>
        </w:rPr>
      </w:pPr>
    </w:p>
    <w:p>
      <w:pPr>
        <w:spacing w:before="0" w:line="252" w:lineRule="auto"/>
        <w:ind w:left="5477" w:right="724" w:hanging="4163"/>
        <w:jc w:val="left"/>
        <w:rPr>
          <w:rFonts w:ascii="黑体" w:eastAsia="黑体" w:hint="eastAsia"/>
          <w:sz w:val="52"/>
        </w:rPr>
      </w:pPr>
      <w:r>
        <w:pict>
          <v:group id="_x0000_s1027" style="width:560pt;height:384pt;margin-top:90.51pt;margin-left:17pt;mso-position-horizontal-relative:page;position:absolute;z-index:251659264" coordorigin="340,1810" coordsize="11200,7680">
            <v:line id="_x0000_s1028" style="position:absolute" from="1417,8124" to="11054,8124" stroked="t" strokecolor="black" strokeweight="0.75pt">
              <v:stroke dashstyle="solid"/>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width:11200;height:7680;left:340;position:absolute;top:1810" stroked="f">
              <v:imagedata r:id="rId4" o:title=""/>
            </v:shape>
          </v:group>
        </w:pict>
      </w:r>
      <w:r>
        <w:rPr>
          <w:rFonts w:ascii="黑体" w:eastAsia="黑体" w:hint="eastAsia"/>
          <w:sz w:val="52"/>
        </w:rPr>
        <w:t>乡镇生活污水治理设施运营维护管理技术规程</w:t>
      </w:r>
    </w:p>
    <w:p>
      <w:pPr>
        <w:pStyle w:val="BodyText"/>
        <w:spacing w:before="8"/>
        <w:rPr>
          <w:rFonts w:ascii="黑体"/>
          <w:sz w:val="26"/>
        </w:rPr>
      </w:pPr>
      <w:r>
        <w:pict>
          <v:group id="_x0000_s1030" style="width:484.45pt;height:313.65pt;margin-top:19.01pt;margin-left:70.94pt;mso-position-horizontal-relative:page;mso-wrap-distance-left:0;mso-wrap-distance-right:0;position:absolute;z-index:-251655168" coordorigin="1419,380" coordsize="9689,6273">
            <v:shape id="_x0000_s1031" type="#_x0000_t202" style="width:9540;height:641;left:1476;position:absolute;top:380" filled="f" stroked="f">
              <v:textbox inset="0,0,0,0">
                <w:txbxContent>
                  <w:p>
                    <w:pPr>
                      <w:spacing w:before="0" w:line="320" w:lineRule="exact"/>
                      <w:ind w:left="3" w:right="22" w:firstLine="0"/>
                      <w:jc w:val="center"/>
                      <w:rPr>
                        <w:rFonts w:ascii="黑体"/>
                        <w:sz w:val="28"/>
                      </w:rPr>
                    </w:pPr>
                    <w:r>
                      <w:rPr>
                        <w:rFonts w:ascii="黑体"/>
                        <w:sz w:val="28"/>
                      </w:rPr>
                      <w:t>Technical specification for operation, maintenance and management</w:t>
                    </w:r>
                    <w:r>
                      <w:rPr>
                        <w:rFonts w:ascii="黑体"/>
                        <w:spacing w:val="-46"/>
                        <w:sz w:val="28"/>
                      </w:rPr>
                      <w:t xml:space="preserve"> </w:t>
                    </w:r>
                    <w:r>
                      <w:rPr>
                        <w:rFonts w:ascii="黑体"/>
                        <w:sz w:val="28"/>
                      </w:rPr>
                      <w:t>of</w:t>
                    </w:r>
                  </w:p>
                  <w:p>
                    <w:pPr>
                      <w:spacing w:before="1" w:line="319" w:lineRule="exact"/>
                      <w:ind w:left="3" w:right="19" w:firstLine="0"/>
                      <w:jc w:val="center"/>
                      <w:rPr>
                        <w:rFonts w:ascii="黑体"/>
                        <w:sz w:val="28"/>
                      </w:rPr>
                    </w:pPr>
                    <w:r>
                      <w:rPr>
                        <w:rFonts w:ascii="黑体"/>
                        <w:sz w:val="28"/>
                      </w:rPr>
                      <w:t>rural domestic wastewater treatment facilities</w:t>
                    </w:r>
                  </w:p>
                </w:txbxContent>
              </v:textbox>
            </v:shape>
            <v:shape id="_x0000_s1032" type="#_x0000_t202" style="width:2334;height:281;left:1418;position:absolute;top:6371" filled="f" stroked="f">
              <v:textbox inset="0,0,0,0">
                <w:txbxContent>
                  <w:p>
                    <w:pPr>
                      <w:spacing w:before="0" w:line="281" w:lineRule="exact"/>
                      <w:ind w:left="0" w:right="0" w:firstLine="0"/>
                      <w:jc w:val="left"/>
                      <w:rPr>
                        <w:rFonts w:ascii="黑体" w:eastAsia="黑体" w:hint="eastAsia"/>
                        <w:sz w:val="28"/>
                      </w:rPr>
                    </w:pPr>
                    <w:r>
                      <w:rPr>
                        <w:rFonts w:ascii="黑体" w:eastAsia="黑体" w:hint="eastAsia"/>
                        <w:sz w:val="28"/>
                      </w:rPr>
                      <w:t>2023</w:t>
                    </w:r>
                    <w:r>
                      <w:rPr>
                        <w:rFonts w:ascii="黑体" w:eastAsia="黑体" w:hint="eastAsia"/>
                        <w:spacing w:val="-48"/>
                        <w:sz w:val="28"/>
                      </w:rPr>
                      <w:t xml:space="preserve"> - </w:t>
                    </w:r>
                    <w:r>
                      <w:rPr>
                        <w:rFonts w:ascii="黑体" w:eastAsia="黑体" w:hint="eastAsia"/>
                        <w:sz w:val="28"/>
                      </w:rPr>
                      <w:t>12</w:t>
                    </w:r>
                    <w:r>
                      <w:rPr>
                        <w:rFonts w:ascii="黑体" w:eastAsia="黑体" w:hint="eastAsia"/>
                        <w:spacing w:val="-48"/>
                        <w:sz w:val="28"/>
                      </w:rPr>
                      <w:t xml:space="preserve"> - </w:t>
                    </w:r>
                    <w:r>
                      <w:rPr>
                        <w:rFonts w:ascii="黑体" w:eastAsia="黑体" w:hint="eastAsia"/>
                        <w:sz w:val="28"/>
                      </w:rPr>
                      <w:t>23</w:t>
                    </w:r>
                    <w:r>
                      <w:rPr>
                        <w:rFonts w:ascii="黑体" w:eastAsia="黑体" w:hint="eastAsia"/>
                        <w:spacing w:val="-24"/>
                        <w:sz w:val="28"/>
                      </w:rPr>
                      <w:t xml:space="preserve"> 发布</w:t>
                    </w:r>
                  </w:p>
                </w:txbxContent>
              </v:textbox>
            </v:shape>
            <v:shape id="_x0000_s1033" type="#_x0000_t202" style="width:2334;height:281;left:8774;position:absolute;top:6371" filled="f" stroked="f">
              <v:textbox inset="0,0,0,0">
                <w:txbxContent>
                  <w:p>
                    <w:pPr>
                      <w:spacing w:before="0" w:line="281" w:lineRule="exact"/>
                      <w:ind w:left="0" w:right="0" w:firstLine="0"/>
                      <w:jc w:val="left"/>
                      <w:rPr>
                        <w:rFonts w:ascii="黑体" w:eastAsia="黑体" w:hint="eastAsia"/>
                        <w:sz w:val="28"/>
                      </w:rPr>
                    </w:pPr>
                    <w:r>
                      <w:rPr>
                        <w:rFonts w:ascii="黑体" w:eastAsia="黑体" w:hint="eastAsia"/>
                        <w:sz w:val="28"/>
                      </w:rPr>
                      <w:t>2024</w:t>
                    </w:r>
                    <w:r>
                      <w:rPr>
                        <w:rFonts w:ascii="黑体" w:eastAsia="黑体" w:hint="eastAsia"/>
                        <w:spacing w:val="-48"/>
                        <w:sz w:val="28"/>
                      </w:rPr>
                      <w:t xml:space="preserve"> - </w:t>
                    </w:r>
                    <w:r>
                      <w:rPr>
                        <w:rFonts w:ascii="黑体" w:eastAsia="黑体" w:hint="eastAsia"/>
                        <w:sz w:val="28"/>
                      </w:rPr>
                      <w:t>04</w:t>
                    </w:r>
                    <w:r>
                      <w:rPr>
                        <w:rFonts w:ascii="黑体" w:eastAsia="黑体" w:hint="eastAsia"/>
                        <w:spacing w:val="-48"/>
                        <w:sz w:val="28"/>
                      </w:rPr>
                      <w:t xml:space="preserve"> - </w:t>
                    </w:r>
                    <w:r>
                      <w:rPr>
                        <w:rFonts w:ascii="黑体" w:eastAsia="黑体" w:hint="eastAsia"/>
                        <w:sz w:val="28"/>
                      </w:rPr>
                      <w:t>23</w:t>
                    </w:r>
                    <w:r>
                      <w:rPr>
                        <w:rFonts w:ascii="黑体" w:eastAsia="黑体" w:hint="eastAsia"/>
                        <w:spacing w:val="-24"/>
                        <w:sz w:val="28"/>
                      </w:rPr>
                      <w:t xml:space="preserve"> 实施</w:t>
                    </w:r>
                  </w:p>
                </w:txbxContent>
              </v:textbox>
            </v:shape>
            <w10:wrap type="topAndBottom"/>
          </v:group>
        </w:pict>
      </w:r>
    </w:p>
    <w:p>
      <w:pPr>
        <w:pStyle w:val="BodyText"/>
        <w:rPr>
          <w:rFonts w:ascii="黑体"/>
          <w:sz w:val="20"/>
        </w:rPr>
      </w:pPr>
    </w:p>
    <w:p>
      <w:pPr>
        <w:pStyle w:val="BodyText"/>
        <w:spacing w:before="3"/>
        <w:rPr>
          <w:rFonts w:ascii="黑体"/>
          <w:sz w:val="22"/>
        </w:rPr>
      </w:pPr>
    </w:p>
    <w:tbl>
      <w:tblPr>
        <w:tblStyle w:val="TableNormal"/>
        <w:tblW w:w="0" w:type="auto"/>
        <w:jc w:val="left"/>
        <w:tblInd w:w="22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470"/>
        <w:gridCol w:w="2295"/>
      </w:tblGrid>
      <w:tr>
        <w:tblPrEx>
          <w:tblW w:w="0" w:type="auto"/>
          <w:jc w:val="left"/>
          <w:tblInd w:w="22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321"/>
          <w:jc w:val="left"/>
        </w:trPr>
        <w:tc>
          <w:tcPr>
            <w:tcW w:w="5470" w:type="dxa"/>
          </w:tcPr>
          <w:p>
            <w:pPr>
              <w:pStyle w:val="TableParagraph"/>
              <w:spacing w:before="0" w:line="302" w:lineRule="exact"/>
              <w:ind w:left="200"/>
              <w:jc w:val="left"/>
              <w:rPr>
                <w:rFonts w:ascii="黑体" w:eastAsia="黑体" w:hint="eastAsia"/>
                <w:sz w:val="28"/>
              </w:rPr>
            </w:pPr>
            <w:r>
              <w:rPr>
                <w:rFonts w:ascii="黑体" w:eastAsia="黑体" w:hint="eastAsia"/>
                <w:spacing w:val="59"/>
                <w:w w:val="135"/>
                <w:sz w:val="28"/>
              </w:rPr>
              <w:t>湖北省住房和城乡建设厅</w:t>
            </w:r>
          </w:p>
        </w:tc>
        <w:tc>
          <w:tcPr>
            <w:tcW w:w="2295" w:type="dxa"/>
            <w:vMerge w:val="restart"/>
          </w:tcPr>
          <w:p>
            <w:pPr>
              <w:pStyle w:val="TableParagraph"/>
              <w:spacing w:before="143"/>
              <w:ind w:left="467"/>
              <w:jc w:val="left"/>
              <w:rPr>
                <w:rFonts w:ascii="黑体" w:eastAsia="黑体" w:hint="eastAsia"/>
                <w:sz w:val="28"/>
              </w:rPr>
            </w:pPr>
            <w:r>
              <w:rPr>
                <w:rFonts w:ascii="黑体" w:eastAsia="黑体" w:hint="eastAsia"/>
                <w:sz w:val="28"/>
              </w:rPr>
              <w:t>联 合 发 布</w:t>
            </w:r>
          </w:p>
        </w:tc>
      </w:tr>
      <w:tr>
        <w:tblPrEx>
          <w:tblW w:w="0" w:type="auto"/>
          <w:jc w:val="left"/>
          <w:tblInd w:w="2212" w:type="dxa"/>
          <w:tblLayout w:type="fixed"/>
          <w:tblCellMar>
            <w:top w:w="0" w:type="dxa"/>
            <w:left w:w="0" w:type="dxa"/>
            <w:bottom w:w="0" w:type="dxa"/>
            <w:right w:w="0" w:type="dxa"/>
          </w:tblCellMar>
          <w:tblLook w:val="01E0"/>
        </w:tblPrEx>
        <w:trPr>
          <w:trHeight w:val="321"/>
          <w:jc w:val="left"/>
        </w:trPr>
        <w:tc>
          <w:tcPr>
            <w:tcW w:w="5470" w:type="dxa"/>
          </w:tcPr>
          <w:p>
            <w:pPr>
              <w:pStyle w:val="TableParagraph"/>
              <w:spacing w:before="2" w:line="299" w:lineRule="exact"/>
              <w:ind w:left="200"/>
              <w:jc w:val="left"/>
              <w:rPr>
                <w:rFonts w:ascii="黑体" w:eastAsia="黑体" w:hint="eastAsia"/>
                <w:sz w:val="28"/>
              </w:rPr>
            </w:pPr>
            <w:r>
              <w:rPr>
                <w:rFonts w:ascii="黑体" w:eastAsia="黑体" w:hint="eastAsia"/>
                <w:spacing w:val="-41"/>
                <w:w w:val="135"/>
                <w:sz w:val="28"/>
              </w:rPr>
              <w:t>湖 北 省 市 场 监 督 管 理 局</w:t>
            </w:r>
          </w:p>
        </w:tc>
        <w:tc>
          <w:tcPr>
            <w:tcW w:w="2295" w:type="dxa"/>
            <w:vMerge/>
            <w:tcBorders>
              <w:top w:val="nil"/>
            </w:tcBorders>
          </w:tcPr>
          <w:p>
            <w:pPr>
              <w:rPr>
                <w:sz w:val="2"/>
                <w:szCs w:val="2"/>
              </w:rPr>
            </w:pPr>
          </w:p>
        </w:tc>
      </w:tr>
    </w:tbl>
    <w:p>
      <w:pPr>
        <w:pStyle w:val="BodyText"/>
        <w:rPr>
          <w:rFonts w:ascii="黑体"/>
          <w:sz w:val="20"/>
        </w:rPr>
      </w:pPr>
    </w:p>
    <w:p>
      <w:pPr>
        <w:pStyle w:val="BodyText"/>
        <w:rPr>
          <w:rFonts w:ascii="黑体"/>
          <w:sz w:val="20"/>
        </w:rPr>
      </w:pPr>
    </w:p>
    <w:p>
      <w:pPr>
        <w:pStyle w:val="BodyText"/>
        <w:rPr>
          <w:rFonts w:ascii="黑体"/>
          <w:sz w:val="20"/>
        </w:rPr>
      </w:pPr>
    </w:p>
    <w:p>
      <w:pPr>
        <w:pStyle w:val="BodyText"/>
        <w:spacing w:before="8"/>
        <w:rPr>
          <w:rFonts w:ascii="黑体"/>
          <w:sz w:val="19"/>
        </w:rPr>
      </w:pPr>
    </w:p>
    <w:p>
      <w:pPr>
        <w:pStyle w:val="BodyText"/>
        <w:rPr>
          <w:rFonts w:ascii="黑体"/>
          <w:sz w:val="2"/>
        </w:rPr>
      </w:pPr>
    </w:p>
    <w:p>
      <w:pPr>
        <w:pStyle w:val="BodyText"/>
        <w:rPr>
          <w:rFonts w:ascii="黑体"/>
          <w:sz w:val="2"/>
        </w:rPr>
      </w:pPr>
    </w:p>
    <w:p>
      <w:pPr>
        <w:pStyle w:val="BodyText"/>
        <w:rPr>
          <w:rFonts w:ascii="黑体"/>
          <w:sz w:val="2"/>
        </w:rPr>
        <w:sectPr>
          <w:type w:val="continuous"/>
          <w:pgSz w:w="11910" w:h="16840"/>
          <w:pgMar w:top="560" w:right="260" w:bottom="0" w:left="240" w:header="708" w:footer="708"/>
          <w:cols w:space="708"/>
        </w:sectPr>
      </w:pPr>
    </w:p>
    <w:p>
      <w:pPr>
        <w:pStyle w:val="BodyText"/>
        <w:rPr>
          <w:rFonts w:ascii="黑体"/>
          <w:sz w:val="2"/>
        </w:rPr>
      </w:pPr>
    </w:p>
    <w:p>
      <w:pPr>
        <w:spacing w:before="0" w:line="22" w:lineRule="exact"/>
        <w:ind w:left="1178" w:right="0" w:firstLine="0"/>
        <w:jc w:val="left"/>
        <w:rPr>
          <w:sz w:val="2"/>
        </w:rPr>
      </w:pPr>
      <w:r>
        <w:rPr>
          <w:w w:val="96"/>
          <w:sz w:val="2"/>
        </w:rPr>
        <w:t xml:space="preserve"> </w:t>
      </w:r>
    </w:p>
    <w:p>
      <w:pPr>
        <w:spacing w:after="0" w:line="22" w:lineRule="exact"/>
        <w:jc w:val="left"/>
        <w:rPr>
          <w:sz w:val="2"/>
        </w:rPr>
        <w:sectPr>
          <w:type w:val="nextPage"/>
          <w:pgSz w:w="11910" w:h="16840"/>
          <w:pgMar w:top="560" w:right="260" w:bottom="0" w:left="240" w:header="708" w:footer="708"/>
          <w:pgNumType w:start="2"/>
          <w:cols w:space="708"/>
          <w:titlePg w:val="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27"/>
        </w:rPr>
      </w:pPr>
    </w:p>
    <w:p>
      <w:pPr>
        <w:pStyle w:val="BodyText"/>
        <w:ind w:left="2860"/>
        <w:rPr>
          <w:sz w:val="20"/>
        </w:rPr>
      </w:pPr>
      <w:r>
        <w:rPr>
          <w:sz w:val="20"/>
        </w:rPr>
        <w:drawing>
          <wp:inline distT="0" distB="0" distL="0" distR="0">
            <wp:extent cx="4028503" cy="2533650"/>
            <wp:effectExtent l="0" t="0" r="0" b="0"/>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png"/>
                    <pic:cNvPicPr/>
                  </pic:nvPicPr>
                  <pic:blipFill>
                    <a:blip xmlns:r="http://schemas.openxmlformats.org/officeDocument/2006/relationships" r:embed="rId5" cstate="print"/>
                    <a:stretch>
                      <a:fillRect/>
                    </a:stretch>
                  </pic:blipFill>
                  <pic:spPr>
                    <a:xfrm>
                      <a:off x="0" y="0"/>
                      <a:ext cx="4028503" cy="2533650"/>
                    </a:xfrm>
                    <a:prstGeom prst="rect">
                      <a:avLst/>
                    </a:prstGeom>
                  </pic:spPr>
                </pic:pic>
              </a:graphicData>
            </a:graphic>
          </wp:inline>
        </w:drawing>
      </w:r>
    </w:p>
    <w:p>
      <w:pPr>
        <w:spacing w:after="0"/>
        <w:rPr>
          <w:sz w:val="20"/>
        </w:rPr>
        <w:sectPr>
          <w:pgSz w:w="11910" w:h="16840"/>
          <w:pgMar w:top="1580" w:right="260" w:bottom="280" w:left="240" w:header="708" w:footer="708"/>
          <w:pgNumType w:start="3"/>
          <w:cols w:space="708"/>
        </w:sectPr>
      </w:pPr>
    </w:p>
    <w:p>
      <w:pPr>
        <w:pStyle w:val="BodyText"/>
        <w:rPr>
          <w:sz w:val="20"/>
        </w:rPr>
      </w:pPr>
    </w:p>
    <w:p>
      <w:pPr>
        <w:pStyle w:val="BodyText"/>
        <w:rPr>
          <w:sz w:val="20"/>
        </w:rPr>
      </w:pPr>
    </w:p>
    <w:p>
      <w:pPr>
        <w:pStyle w:val="BodyText"/>
        <w:spacing w:before="9"/>
        <w:rPr>
          <w:sz w:val="22"/>
        </w:rPr>
      </w:pPr>
    </w:p>
    <w:p>
      <w:pPr>
        <w:pStyle w:val="Heading1"/>
        <w:tabs>
          <w:tab w:val="left" w:pos="1261"/>
        </w:tabs>
        <w:ind w:left="303"/>
      </w:pPr>
      <w:r>
        <w:t>目</w:t>
        <w:tab/>
        <w:t>次</w:t>
      </w:r>
    </w:p>
    <w:p>
      <w:pPr>
        <w:pStyle w:val="BodyText"/>
        <w:rPr>
          <w:rFonts w:ascii="黑体"/>
          <w:sz w:val="32"/>
        </w:rPr>
      </w:pPr>
    </w:p>
    <w:p>
      <w:pPr>
        <w:pStyle w:val="BodyText"/>
        <w:tabs>
          <w:tab w:val="left" w:leader="dot" w:pos="10110"/>
        </w:tabs>
        <w:spacing w:before="277"/>
        <w:ind w:left="1178"/>
      </w:pPr>
      <w:r>
        <w:t>前言</w:t>
      </w:r>
      <w:r>
        <w:rPr>
          <w:rFonts w:ascii="Times New Roman" w:eastAsia="Times New Roman"/>
        </w:rPr>
        <w:tab/>
      </w:r>
      <w:r>
        <w:t>III</w:t>
      </w:r>
    </w:p>
    <w:p>
      <w:pPr>
        <w:pStyle w:val="BodyText"/>
        <w:tabs>
          <w:tab w:val="left" w:leader="dot" w:pos="10321"/>
        </w:tabs>
        <w:spacing w:before="131"/>
        <w:ind w:left="1178"/>
      </w:pPr>
      <w:r>
        <w:t xml:space="preserve">1 </w:t>
      </w:r>
      <w:r>
        <w:rPr>
          <w:spacing w:val="2"/>
        </w:rPr>
        <w:t xml:space="preserve"> </w:t>
      </w:r>
      <w:r>
        <w:rPr>
          <w:spacing w:val="-3"/>
        </w:rPr>
        <w:t>范围</w:t>
      </w:r>
      <w:r>
        <w:rPr>
          <w:rFonts w:ascii="Times New Roman" w:eastAsia="Times New Roman"/>
          <w:spacing w:val="-3"/>
        </w:rPr>
        <w:tab/>
      </w:r>
      <w:r>
        <w:t>1</w:t>
      </w:r>
    </w:p>
    <w:p>
      <w:pPr>
        <w:pStyle w:val="BodyText"/>
        <w:tabs>
          <w:tab w:val="left" w:leader="dot" w:pos="10321"/>
        </w:tabs>
        <w:spacing w:before="130"/>
        <w:ind w:left="1178"/>
      </w:pPr>
      <w:r>
        <w:t xml:space="preserve">2 </w:t>
      </w:r>
      <w:r>
        <w:rPr>
          <w:spacing w:val="6"/>
        </w:rPr>
        <w:t xml:space="preserve"> </w:t>
      </w:r>
      <w:r>
        <w:rPr>
          <w:spacing w:val="-3"/>
        </w:rPr>
        <w:t>规</w:t>
      </w:r>
      <w:r>
        <w:t>范</w:t>
      </w:r>
      <w:r>
        <w:rPr>
          <w:spacing w:val="-3"/>
        </w:rPr>
        <w:t>性</w:t>
      </w:r>
      <w:r>
        <w:t>引</w:t>
      </w:r>
      <w:r>
        <w:rPr>
          <w:spacing w:val="-3"/>
        </w:rPr>
        <w:t>用</w:t>
      </w:r>
      <w:r>
        <w:t>文件</w:t>
      </w:r>
      <w:r>
        <w:rPr>
          <w:rFonts w:ascii="Times New Roman" w:eastAsia="Times New Roman"/>
        </w:rPr>
        <w:tab/>
      </w:r>
      <w:r>
        <w:t>1</w:t>
      </w:r>
    </w:p>
    <w:p>
      <w:pPr>
        <w:pStyle w:val="BodyText"/>
        <w:tabs>
          <w:tab w:val="left" w:leader="dot" w:pos="10321"/>
        </w:tabs>
        <w:spacing w:before="131"/>
        <w:ind w:left="1178"/>
      </w:pPr>
      <w:r>
        <w:t xml:space="preserve">3 </w:t>
      </w:r>
      <w:r>
        <w:rPr>
          <w:spacing w:val="5"/>
        </w:rPr>
        <w:t xml:space="preserve"> </w:t>
      </w:r>
      <w:r>
        <w:rPr>
          <w:spacing w:val="-3"/>
        </w:rPr>
        <w:t>术</w:t>
      </w:r>
      <w:r>
        <w:t>语</w:t>
      </w:r>
      <w:r>
        <w:rPr>
          <w:spacing w:val="-3"/>
        </w:rPr>
        <w:t>和</w:t>
      </w:r>
      <w:r>
        <w:t>定义</w:t>
      </w:r>
      <w:r>
        <w:rPr>
          <w:rFonts w:ascii="Times New Roman" w:eastAsia="Times New Roman"/>
        </w:rPr>
        <w:tab/>
      </w:r>
      <w:r>
        <w:t>2</w:t>
      </w:r>
    </w:p>
    <w:p>
      <w:pPr>
        <w:pStyle w:val="BodyText"/>
        <w:tabs>
          <w:tab w:val="left" w:leader="dot" w:pos="10321"/>
        </w:tabs>
        <w:spacing w:before="132"/>
        <w:ind w:left="1178"/>
      </w:pPr>
      <w:r>
        <w:t xml:space="preserve">4 </w:t>
      </w:r>
      <w:r>
        <w:rPr>
          <w:spacing w:val="4"/>
        </w:rPr>
        <w:t xml:space="preserve"> </w:t>
      </w:r>
      <w:r>
        <w:rPr>
          <w:spacing w:val="-3"/>
        </w:rPr>
        <w:t>基</w:t>
      </w:r>
      <w:r>
        <w:t>本</w:t>
      </w:r>
      <w:r>
        <w:rPr>
          <w:spacing w:val="-3"/>
        </w:rPr>
        <w:t>规</w:t>
      </w:r>
      <w:r>
        <w:t>定</w:t>
      </w:r>
      <w:r>
        <w:rPr>
          <w:rFonts w:ascii="Times New Roman" w:eastAsia="Times New Roman"/>
        </w:rPr>
        <w:tab/>
      </w:r>
      <w:r>
        <w:t>2</w:t>
      </w:r>
    </w:p>
    <w:p>
      <w:pPr>
        <w:pStyle w:val="BodyText"/>
        <w:tabs>
          <w:tab w:val="left" w:leader="dot" w:pos="10321"/>
        </w:tabs>
        <w:spacing w:before="130"/>
        <w:ind w:left="1178"/>
      </w:pPr>
      <w:r>
        <w:t xml:space="preserve">5 </w:t>
      </w:r>
      <w:r>
        <w:rPr>
          <w:spacing w:val="7"/>
        </w:rPr>
        <w:t xml:space="preserve"> </w:t>
      </w:r>
      <w:r>
        <w:rPr>
          <w:spacing w:val="-3"/>
        </w:rPr>
        <w:t>污</w:t>
      </w:r>
      <w:r>
        <w:t>水</w:t>
      </w:r>
      <w:r>
        <w:rPr>
          <w:spacing w:val="-3"/>
        </w:rPr>
        <w:t>收</w:t>
      </w:r>
      <w:r>
        <w:t>集</w:t>
      </w:r>
      <w:r>
        <w:rPr>
          <w:spacing w:val="-3"/>
        </w:rPr>
        <w:t>及</w:t>
      </w:r>
      <w:r>
        <w:t>排</w:t>
      </w:r>
      <w:r>
        <w:rPr>
          <w:spacing w:val="-3"/>
        </w:rPr>
        <w:t>放</w:t>
      </w:r>
      <w:r>
        <w:t>设施</w:t>
      </w:r>
      <w:r>
        <w:rPr>
          <w:rFonts w:ascii="Times New Roman" w:eastAsia="Times New Roman"/>
        </w:rPr>
        <w:tab/>
      </w:r>
      <w:r>
        <w:t>3</w:t>
      </w:r>
    </w:p>
    <w:p>
      <w:pPr>
        <w:pStyle w:val="BodyText"/>
        <w:tabs>
          <w:tab w:val="left" w:leader="dot" w:pos="10321"/>
        </w:tabs>
        <w:spacing w:before="132"/>
        <w:ind w:left="1178"/>
      </w:pPr>
      <w:r>
        <w:t xml:space="preserve">6 </w:t>
      </w:r>
      <w:r>
        <w:rPr>
          <w:spacing w:val="5"/>
        </w:rPr>
        <w:t xml:space="preserve"> </w:t>
      </w:r>
      <w:r>
        <w:rPr>
          <w:spacing w:val="-3"/>
        </w:rPr>
        <w:t>污</w:t>
      </w:r>
      <w:r>
        <w:t>水</w:t>
      </w:r>
      <w:r>
        <w:rPr>
          <w:spacing w:val="-3"/>
        </w:rPr>
        <w:t>处</w:t>
      </w:r>
      <w:r>
        <w:t>理厂</w:t>
      </w:r>
      <w:r>
        <w:rPr>
          <w:rFonts w:ascii="Times New Roman" w:eastAsia="Times New Roman"/>
        </w:rPr>
        <w:tab/>
      </w:r>
      <w:r>
        <w:t>5</w:t>
      </w:r>
    </w:p>
    <w:p>
      <w:pPr>
        <w:pStyle w:val="BodyText"/>
        <w:tabs>
          <w:tab w:val="left" w:leader="dot" w:pos="10216"/>
        </w:tabs>
        <w:spacing w:before="132"/>
        <w:ind w:left="1178"/>
      </w:pPr>
      <w:r>
        <w:t xml:space="preserve">7 </w:t>
      </w:r>
      <w:r>
        <w:rPr>
          <w:spacing w:val="2"/>
        </w:rPr>
        <w:t xml:space="preserve"> </w:t>
      </w:r>
      <w:r>
        <w:rPr>
          <w:spacing w:val="-3"/>
        </w:rPr>
        <w:t>泵站</w:t>
      </w:r>
      <w:r>
        <w:rPr>
          <w:rFonts w:ascii="Times New Roman" w:eastAsia="Times New Roman"/>
          <w:spacing w:val="-3"/>
        </w:rPr>
        <w:tab/>
      </w:r>
      <w:r>
        <w:t>11</w:t>
      </w:r>
    </w:p>
    <w:p>
      <w:pPr>
        <w:pStyle w:val="BodyText"/>
        <w:tabs>
          <w:tab w:val="left" w:leader="dot" w:pos="10216"/>
        </w:tabs>
        <w:spacing w:before="129"/>
        <w:ind w:left="1178"/>
      </w:pPr>
      <w:r>
        <w:t xml:space="preserve">8 </w:t>
      </w:r>
      <w:r>
        <w:rPr>
          <w:spacing w:val="4"/>
        </w:rPr>
        <w:t xml:space="preserve"> </w:t>
      </w:r>
      <w:r>
        <w:rPr>
          <w:spacing w:val="-3"/>
        </w:rPr>
        <w:t>通</w:t>
      </w:r>
      <w:r>
        <w:t>用</w:t>
      </w:r>
      <w:r>
        <w:rPr>
          <w:spacing w:val="-3"/>
        </w:rPr>
        <w:t>设</w:t>
      </w:r>
      <w:r>
        <w:t>施</w:t>
      </w:r>
      <w:r>
        <w:rPr>
          <w:rFonts w:ascii="Times New Roman" w:eastAsia="Times New Roman"/>
        </w:rPr>
        <w:tab/>
      </w:r>
      <w:r>
        <w:t>13</w:t>
      </w:r>
    </w:p>
    <w:p>
      <w:pPr>
        <w:pStyle w:val="BodyText"/>
        <w:tabs>
          <w:tab w:val="left" w:leader="dot" w:pos="10216"/>
        </w:tabs>
        <w:spacing w:before="132"/>
        <w:ind w:left="1178"/>
      </w:pPr>
      <w:r>
        <w:t xml:space="preserve">9 </w:t>
      </w:r>
      <w:r>
        <w:rPr>
          <w:spacing w:val="4"/>
        </w:rPr>
        <w:t xml:space="preserve"> </w:t>
      </w:r>
      <w:r>
        <w:rPr>
          <w:spacing w:val="-3"/>
        </w:rPr>
        <w:t>环</w:t>
      </w:r>
      <w:r>
        <w:t>境</w:t>
      </w:r>
      <w:r>
        <w:rPr>
          <w:spacing w:val="-3"/>
        </w:rPr>
        <w:t>保</w:t>
      </w:r>
      <w:r>
        <w:t>护</w:t>
      </w:r>
      <w:r>
        <w:rPr>
          <w:rFonts w:ascii="Times New Roman" w:eastAsia="Times New Roman"/>
        </w:rPr>
        <w:tab/>
      </w:r>
      <w:r>
        <w:t>16</w:t>
      </w:r>
    </w:p>
    <w:p>
      <w:pPr>
        <w:pStyle w:val="BodyText"/>
        <w:tabs>
          <w:tab w:val="left" w:leader="dot" w:pos="10216"/>
        </w:tabs>
        <w:spacing w:before="131"/>
        <w:ind w:left="1178"/>
      </w:pPr>
      <w:r>
        <w:t xml:space="preserve">10 </w:t>
      </w:r>
      <w:r>
        <w:rPr>
          <w:spacing w:val="6"/>
        </w:rPr>
        <w:t xml:space="preserve"> </w:t>
      </w:r>
      <w:r>
        <w:rPr>
          <w:spacing w:val="-3"/>
        </w:rPr>
        <w:t>安</w:t>
      </w:r>
      <w:r>
        <w:t>全</w:t>
      </w:r>
      <w:r>
        <w:rPr>
          <w:spacing w:val="-3"/>
        </w:rPr>
        <w:t>与</w:t>
      </w:r>
      <w:r>
        <w:t>应</w:t>
      </w:r>
      <w:r>
        <w:rPr>
          <w:spacing w:val="-3"/>
        </w:rPr>
        <w:t>急</w:t>
      </w:r>
      <w:r>
        <w:t>管理</w:t>
      </w:r>
      <w:r>
        <w:rPr>
          <w:rFonts w:ascii="Times New Roman" w:eastAsia="Times New Roman"/>
        </w:rPr>
        <w:tab/>
      </w:r>
      <w:r>
        <w:t>17</w:t>
      </w:r>
    </w:p>
    <w:p>
      <w:pPr>
        <w:pStyle w:val="BodyText"/>
        <w:tabs>
          <w:tab w:val="left" w:leader="dot" w:pos="10216"/>
        </w:tabs>
        <w:spacing w:before="130"/>
        <w:ind w:left="1178"/>
      </w:pPr>
      <w:r>
        <w:drawing>
          <wp:anchor distT="0" distB="0" distL="0" distR="0" simplePos="0" relativeHeight="251662336" behindDoc="0" locked="0" layoutInCell="1" allowOverlap="1">
            <wp:simplePos x="0" y="0"/>
            <wp:positionH relativeFrom="page">
              <wp:posOffset>215900</wp:posOffset>
            </wp:positionH>
            <wp:positionV relativeFrom="paragraph">
              <wp:posOffset>239648</wp:posOffset>
            </wp:positionV>
            <wp:extent cx="7112000" cy="4876800"/>
            <wp:effectExtent l="0" t="0" r="0" b="0"/>
            <wp:wrapNone/>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png"/>
                    <pic:cNvPicPr/>
                  </pic:nvPicPr>
                  <pic:blipFill>
                    <a:blip xmlns:r="http://schemas.openxmlformats.org/officeDocument/2006/relationships" r:embed="rId4" cstate="print"/>
                    <a:stretch>
                      <a:fillRect/>
                    </a:stretch>
                  </pic:blipFill>
                  <pic:spPr>
                    <a:xfrm>
                      <a:off x="0" y="0"/>
                      <a:ext cx="7112000" cy="4876800"/>
                    </a:xfrm>
                    <a:prstGeom prst="rect">
                      <a:avLst/>
                    </a:prstGeom>
                  </pic:spPr>
                </pic:pic>
              </a:graphicData>
            </a:graphic>
          </wp:anchor>
        </w:drawing>
      </w:r>
      <w:r>
        <w:t xml:space="preserve">11 </w:t>
      </w:r>
      <w:r>
        <w:rPr>
          <w:spacing w:val="6"/>
        </w:rPr>
        <w:t xml:space="preserve"> </w:t>
      </w:r>
      <w:r>
        <w:rPr>
          <w:spacing w:val="-3"/>
        </w:rPr>
        <w:t>档</w:t>
      </w:r>
      <w:r>
        <w:t>案</w:t>
      </w:r>
      <w:r>
        <w:rPr>
          <w:spacing w:val="-3"/>
        </w:rPr>
        <w:t>与</w:t>
      </w:r>
      <w:r>
        <w:t>信</w:t>
      </w:r>
      <w:r>
        <w:rPr>
          <w:spacing w:val="-3"/>
        </w:rPr>
        <w:t>息</w:t>
      </w:r>
      <w:r>
        <w:t>管理</w:t>
      </w:r>
      <w:r>
        <w:rPr>
          <w:rFonts w:ascii="Times New Roman" w:eastAsia="Times New Roman"/>
        </w:rPr>
        <w:tab/>
      </w:r>
      <w:r>
        <w:t>19</w:t>
      </w:r>
    </w:p>
    <w:p>
      <w:pPr>
        <w:pStyle w:val="BodyText"/>
        <w:spacing w:before="5"/>
        <w:rPr>
          <w:sz w:val="9"/>
        </w:rPr>
      </w:pPr>
      <w:r>
        <w:pict>
          <v:group id="_x0000_s1034" style="width:468.25pt;height:361.9pt;margin-top:7.97pt;margin-left:70.94pt;mso-position-horizontal-relative:page;mso-wrap-distance-left:0;mso-wrap-distance-right:0;position:absolute;z-index:-251653120" coordorigin="1419,159" coordsize="9365,7238">
            <v:shape id="_x0000_s1035" type="#_x0000_t202" style="width:9365;height:2612;left:1418;position:absolute;top:159" filled="f" stroked="f">
              <v:textbox inset="0,0,0,0">
                <w:txbxContent>
                  <w:p>
                    <w:pPr>
                      <w:tabs>
                        <w:tab w:val="left" w:leader="dot" w:pos="9037"/>
                      </w:tabs>
                      <w:spacing w:before="0" w:line="241" w:lineRule="exact"/>
                      <w:ind w:left="0" w:right="0" w:firstLine="0"/>
                      <w:jc w:val="left"/>
                      <w:rPr>
                        <w:sz w:val="21"/>
                      </w:rPr>
                    </w:pPr>
                    <w:r>
                      <w:rPr>
                        <w:sz w:val="21"/>
                      </w:rPr>
                      <w:t xml:space="preserve">12 </w:t>
                    </w:r>
                    <w:r>
                      <w:rPr>
                        <w:spacing w:val="4"/>
                        <w:sz w:val="21"/>
                      </w:rPr>
                      <w:t xml:space="preserve"> </w:t>
                    </w:r>
                    <w:r>
                      <w:rPr>
                        <w:spacing w:val="-3"/>
                        <w:sz w:val="21"/>
                      </w:rPr>
                      <w:t>绩</w:t>
                    </w:r>
                    <w:r>
                      <w:rPr>
                        <w:sz w:val="21"/>
                      </w:rPr>
                      <w:t>效</w:t>
                    </w:r>
                    <w:r>
                      <w:rPr>
                        <w:spacing w:val="-3"/>
                        <w:sz w:val="21"/>
                      </w:rPr>
                      <w:t>管</w:t>
                    </w:r>
                    <w:r>
                      <w:rPr>
                        <w:sz w:val="21"/>
                      </w:rPr>
                      <w:t>理</w:t>
                    </w:r>
                    <w:r>
                      <w:rPr>
                        <w:rFonts w:ascii="Times New Roman" w:eastAsia="Times New Roman"/>
                        <w:sz w:val="21"/>
                      </w:rPr>
                      <w:tab/>
                    </w:r>
                    <w:r>
                      <w:rPr>
                        <w:sz w:val="21"/>
                      </w:rPr>
                      <w:t>21</w:t>
                    </w:r>
                  </w:p>
                  <w:p>
                    <w:pPr>
                      <w:tabs>
                        <w:tab w:val="left" w:leader="dot" w:pos="9037"/>
                      </w:tabs>
                      <w:spacing w:before="131"/>
                      <w:ind w:left="0" w:right="0" w:firstLine="0"/>
                      <w:jc w:val="left"/>
                      <w:rPr>
                        <w:sz w:val="21"/>
                      </w:rPr>
                    </w:pPr>
                    <w:r>
                      <w:rPr>
                        <w:sz w:val="21"/>
                      </w:rPr>
                      <w:t>附录</w:t>
                    </w:r>
                    <w:r>
                      <w:rPr>
                        <w:spacing w:val="-51"/>
                        <w:sz w:val="21"/>
                      </w:rPr>
                      <w:t xml:space="preserve"> </w:t>
                    </w:r>
                    <w:r>
                      <w:rPr>
                        <w:sz w:val="21"/>
                      </w:rPr>
                      <w:t>A（</w:t>
                    </w:r>
                    <w:r>
                      <w:rPr>
                        <w:spacing w:val="-3"/>
                        <w:sz w:val="21"/>
                      </w:rPr>
                      <w:t>资</w:t>
                    </w:r>
                    <w:r>
                      <w:rPr>
                        <w:sz w:val="21"/>
                      </w:rPr>
                      <w:t>料</w:t>
                    </w:r>
                    <w:r>
                      <w:rPr>
                        <w:spacing w:val="-3"/>
                        <w:sz w:val="21"/>
                      </w:rPr>
                      <w:t>性</w:t>
                    </w:r>
                    <w:r>
                      <w:rPr>
                        <w:sz w:val="21"/>
                      </w:rPr>
                      <w:t xml:space="preserve">） </w:t>
                    </w:r>
                    <w:r>
                      <w:rPr>
                        <w:spacing w:val="7"/>
                        <w:sz w:val="21"/>
                      </w:rPr>
                      <w:t xml:space="preserve"> </w:t>
                    </w:r>
                    <w:r>
                      <w:rPr>
                        <w:sz w:val="21"/>
                      </w:rPr>
                      <w:t>运</w:t>
                    </w:r>
                    <w:r>
                      <w:rPr>
                        <w:spacing w:val="-3"/>
                        <w:sz w:val="21"/>
                      </w:rPr>
                      <w:t>维</w:t>
                    </w:r>
                    <w:r>
                      <w:rPr>
                        <w:sz w:val="21"/>
                      </w:rPr>
                      <w:t>管理</w:t>
                    </w:r>
                    <w:r>
                      <w:rPr>
                        <w:spacing w:val="-3"/>
                        <w:sz w:val="21"/>
                      </w:rPr>
                      <w:t>常</w:t>
                    </w:r>
                    <w:r>
                      <w:rPr>
                        <w:sz w:val="21"/>
                      </w:rPr>
                      <w:t>见</w:t>
                    </w:r>
                    <w:r>
                      <w:rPr>
                        <w:spacing w:val="-3"/>
                        <w:sz w:val="21"/>
                      </w:rPr>
                      <w:t>问</w:t>
                    </w:r>
                    <w:r>
                      <w:rPr>
                        <w:sz w:val="21"/>
                      </w:rPr>
                      <w:t>题</w:t>
                    </w:r>
                    <w:r>
                      <w:rPr>
                        <w:spacing w:val="-3"/>
                        <w:sz w:val="21"/>
                      </w:rPr>
                      <w:t>及</w:t>
                    </w:r>
                    <w:r>
                      <w:rPr>
                        <w:sz w:val="21"/>
                      </w:rPr>
                      <w:t>对策</w:t>
                    </w:r>
                    <w:r>
                      <w:rPr>
                        <w:rFonts w:ascii="Times New Roman" w:eastAsia="Times New Roman"/>
                        <w:sz w:val="21"/>
                      </w:rPr>
                      <w:tab/>
                    </w:r>
                    <w:r>
                      <w:rPr>
                        <w:sz w:val="21"/>
                      </w:rPr>
                      <w:t>22</w:t>
                    </w:r>
                  </w:p>
                  <w:p>
                    <w:pPr>
                      <w:tabs>
                        <w:tab w:val="left" w:leader="dot" w:pos="9037"/>
                      </w:tabs>
                      <w:spacing w:before="130"/>
                      <w:ind w:left="0" w:right="0" w:firstLine="0"/>
                      <w:jc w:val="left"/>
                      <w:rPr>
                        <w:sz w:val="21"/>
                      </w:rPr>
                    </w:pPr>
                    <w:r>
                      <w:rPr>
                        <w:sz w:val="21"/>
                      </w:rPr>
                      <w:t>附录</w:t>
                    </w:r>
                    <w:r>
                      <w:rPr>
                        <w:spacing w:val="-51"/>
                        <w:sz w:val="21"/>
                      </w:rPr>
                      <w:t xml:space="preserve"> </w:t>
                    </w:r>
                    <w:r>
                      <w:rPr>
                        <w:sz w:val="21"/>
                      </w:rPr>
                      <w:t>B（</w:t>
                    </w:r>
                    <w:r>
                      <w:rPr>
                        <w:spacing w:val="-3"/>
                        <w:sz w:val="21"/>
                      </w:rPr>
                      <w:t>资</w:t>
                    </w:r>
                    <w:r>
                      <w:rPr>
                        <w:sz w:val="21"/>
                      </w:rPr>
                      <w:t>料</w:t>
                    </w:r>
                    <w:r>
                      <w:rPr>
                        <w:spacing w:val="-3"/>
                        <w:sz w:val="21"/>
                      </w:rPr>
                      <w:t>性</w:t>
                    </w:r>
                    <w:r>
                      <w:rPr>
                        <w:sz w:val="21"/>
                      </w:rPr>
                      <w:t xml:space="preserve">） </w:t>
                    </w:r>
                    <w:r>
                      <w:rPr>
                        <w:spacing w:val="7"/>
                        <w:sz w:val="21"/>
                      </w:rPr>
                      <w:t xml:space="preserve"> </w:t>
                    </w:r>
                    <w:r>
                      <w:rPr>
                        <w:sz w:val="21"/>
                      </w:rPr>
                      <w:t>运</w:t>
                    </w:r>
                    <w:r>
                      <w:rPr>
                        <w:spacing w:val="-3"/>
                        <w:sz w:val="21"/>
                      </w:rPr>
                      <w:t>行</w:t>
                    </w:r>
                    <w:r>
                      <w:rPr>
                        <w:sz w:val="21"/>
                      </w:rPr>
                      <w:t>管理</w:t>
                    </w:r>
                    <w:r>
                      <w:rPr>
                        <w:spacing w:val="-3"/>
                        <w:sz w:val="21"/>
                      </w:rPr>
                      <w:t>状</w:t>
                    </w:r>
                    <w:r>
                      <w:rPr>
                        <w:sz w:val="21"/>
                      </w:rPr>
                      <w:t>态</w:t>
                    </w:r>
                    <w:r>
                      <w:rPr>
                        <w:spacing w:val="-3"/>
                        <w:sz w:val="21"/>
                      </w:rPr>
                      <w:t>判</w:t>
                    </w:r>
                    <w:r>
                      <w:rPr>
                        <w:sz w:val="21"/>
                      </w:rPr>
                      <w:t>别</w:t>
                    </w:r>
                    <w:r>
                      <w:rPr>
                        <w:spacing w:val="-3"/>
                        <w:sz w:val="21"/>
                      </w:rPr>
                      <w:t>指</w:t>
                    </w:r>
                    <w:r>
                      <w:rPr>
                        <w:sz w:val="21"/>
                      </w:rPr>
                      <w:t>标</w:t>
                    </w:r>
                    <w:r>
                      <w:rPr>
                        <w:rFonts w:ascii="Times New Roman" w:eastAsia="Times New Roman"/>
                        <w:sz w:val="21"/>
                      </w:rPr>
                      <w:tab/>
                    </w:r>
                    <w:r>
                      <w:rPr>
                        <w:sz w:val="21"/>
                      </w:rPr>
                      <w:t>24</w:t>
                    </w:r>
                  </w:p>
                  <w:p>
                    <w:pPr>
                      <w:tabs>
                        <w:tab w:val="left" w:leader="dot" w:pos="9037"/>
                      </w:tabs>
                      <w:spacing w:before="132"/>
                      <w:ind w:left="0" w:right="0" w:firstLine="0"/>
                      <w:jc w:val="left"/>
                      <w:rPr>
                        <w:sz w:val="21"/>
                      </w:rPr>
                    </w:pPr>
                    <w:r>
                      <w:rPr>
                        <w:sz w:val="21"/>
                      </w:rPr>
                      <w:t>附录</w:t>
                    </w:r>
                    <w:r>
                      <w:rPr>
                        <w:spacing w:val="-51"/>
                        <w:sz w:val="21"/>
                      </w:rPr>
                      <w:t xml:space="preserve"> </w:t>
                    </w:r>
                    <w:r>
                      <w:rPr>
                        <w:sz w:val="21"/>
                      </w:rPr>
                      <w:t>C（</w:t>
                    </w:r>
                    <w:r>
                      <w:rPr>
                        <w:spacing w:val="-3"/>
                        <w:sz w:val="21"/>
                      </w:rPr>
                      <w:t>资</w:t>
                    </w:r>
                    <w:r>
                      <w:rPr>
                        <w:sz w:val="21"/>
                      </w:rPr>
                      <w:t>料</w:t>
                    </w:r>
                    <w:r>
                      <w:rPr>
                        <w:spacing w:val="-3"/>
                        <w:sz w:val="21"/>
                      </w:rPr>
                      <w:t>性</w:t>
                    </w:r>
                    <w:r>
                      <w:rPr>
                        <w:sz w:val="21"/>
                      </w:rPr>
                      <w:t xml:space="preserve">） </w:t>
                    </w:r>
                    <w:r>
                      <w:rPr>
                        <w:spacing w:val="7"/>
                        <w:sz w:val="21"/>
                      </w:rPr>
                      <w:t xml:space="preserve"> </w:t>
                    </w:r>
                    <w:r>
                      <w:rPr>
                        <w:sz w:val="21"/>
                      </w:rPr>
                      <w:t>安</w:t>
                    </w:r>
                    <w:r>
                      <w:rPr>
                        <w:spacing w:val="-3"/>
                        <w:sz w:val="21"/>
                      </w:rPr>
                      <w:t>全</w:t>
                    </w:r>
                    <w:r>
                      <w:rPr>
                        <w:sz w:val="21"/>
                      </w:rPr>
                      <w:t>生产</w:t>
                    </w:r>
                    <w:r>
                      <w:rPr>
                        <w:spacing w:val="-3"/>
                        <w:sz w:val="21"/>
                      </w:rPr>
                      <w:t>应</w:t>
                    </w:r>
                    <w:r>
                      <w:rPr>
                        <w:sz w:val="21"/>
                      </w:rPr>
                      <w:t>急</w:t>
                    </w:r>
                    <w:r>
                      <w:rPr>
                        <w:spacing w:val="-3"/>
                        <w:sz w:val="21"/>
                      </w:rPr>
                      <w:t>物</w:t>
                    </w:r>
                    <w:r>
                      <w:rPr>
                        <w:sz w:val="21"/>
                      </w:rPr>
                      <w:t>资</w:t>
                    </w:r>
                    <w:r>
                      <w:rPr>
                        <w:spacing w:val="-3"/>
                        <w:sz w:val="21"/>
                      </w:rPr>
                      <w:t>清</w:t>
                    </w:r>
                    <w:r>
                      <w:rPr>
                        <w:sz w:val="21"/>
                      </w:rPr>
                      <w:t>单</w:t>
                    </w:r>
                    <w:r>
                      <w:rPr>
                        <w:rFonts w:ascii="Times New Roman" w:eastAsia="Times New Roman"/>
                        <w:sz w:val="21"/>
                      </w:rPr>
                      <w:tab/>
                    </w:r>
                    <w:r>
                      <w:rPr>
                        <w:sz w:val="21"/>
                      </w:rPr>
                      <w:t>26</w:t>
                    </w:r>
                  </w:p>
                  <w:p>
                    <w:pPr>
                      <w:tabs>
                        <w:tab w:val="left" w:leader="dot" w:pos="9037"/>
                      </w:tabs>
                      <w:spacing w:before="132"/>
                      <w:ind w:left="0" w:right="0" w:firstLine="0"/>
                      <w:jc w:val="left"/>
                      <w:rPr>
                        <w:sz w:val="21"/>
                      </w:rPr>
                    </w:pPr>
                    <w:r>
                      <w:rPr>
                        <w:sz w:val="21"/>
                      </w:rPr>
                      <w:t>附录</w:t>
                    </w:r>
                    <w:r>
                      <w:rPr>
                        <w:spacing w:val="-50"/>
                        <w:sz w:val="21"/>
                      </w:rPr>
                      <w:t xml:space="preserve"> </w:t>
                    </w:r>
                    <w:r>
                      <w:rPr>
                        <w:sz w:val="21"/>
                      </w:rPr>
                      <w:t>D（</w:t>
                    </w:r>
                    <w:r>
                      <w:rPr>
                        <w:spacing w:val="-3"/>
                        <w:sz w:val="21"/>
                      </w:rPr>
                      <w:t>规</w:t>
                    </w:r>
                    <w:r>
                      <w:rPr>
                        <w:sz w:val="21"/>
                      </w:rPr>
                      <w:t>范</w:t>
                    </w:r>
                    <w:r>
                      <w:rPr>
                        <w:spacing w:val="-3"/>
                        <w:sz w:val="21"/>
                      </w:rPr>
                      <w:t>性</w:t>
                    </w:r>
                    <w:r>
                      <w:rPr>
                        <w:sz w:val="21"/>
                      </w:rPr>
                      <w:t xml:space="preserve">） </w:t>
                    </w:r>
                    <w:r>
                      <w:rPr>
                        <w:spacing w:val="11"/>
                        <w:sz w:val="21"/>
                      </w:rPr>
                      <w:t xml:space="preserve"> </w:t>
                    </w:r>
                    <w:r>
                      <w:rPr>
                        <w:sz w:val="21"/>
                      </w:rPr>
                      <w:t>安</w:t>
                    </w:r>
                    <w:r>
                      <w:rPr>
                        <w:spacing w:val="-3"/>
                        <w:sz w:val="21"/>
                      </w:rPr>
                      <w:t>全</w:t>
                    </w:r>
                    <w:r>
                      <w:rPr>
                        <w:sz w:val="21"/>
                      </w:rPr>
                      <w:t>生产</w:t>
                    </w:r>
                    <w:r>
                      <w:rPr>
                        <w:spacing w:val="-3"/>
                        <w:sz w:val="21"/>
                      </w:rPr>
                      <w:t>事</w:t>
                    </w:r>
                    <w:r>
                      <w:rPr>
                        <w:sz w:val="21"/>
                      </w:rPr>
                      <w:t>故</w:t>
                    </w:r>
                    <w:r>
                      <w:rPr>
                        <w:spacing w:val="-3"/>
                        <w:sz w:val="21"/>
                      </w:rPr>
                      <w:t>和</w:t>
                    </w:r>
                    <w:r>
                      <w:rPr>
                        <w:sz w:val="21"/>
                      </w:rPr>
                      <w:t>突</w:t>
                    </w:r>
                    <w:r>
                      <w:rPr>
                        <w:spacing w:val="-3"/>
                        <w:sz w:val="21"/>
                      </w:rPr>
                      <w:t>发</w:t>
                    </w:r>
                    <w:r>
                      <w:rPr>
                        <w:sz w:val="21"/>
                      </w:rPr>
                      <w:t>环</w:t>
                    </w:r>
                    <w:r>
                      <w:rPr>
                        <w:spacing w:val="-3"/>
                        <w:sz w:val="21"/>
                      </w:rPr>
                      <w:t>境</w:t>
                    </w:r>
                    <w:r>
                      <w:rPr>
                        <w:sz w:val="21"/>
                      </w:rPr>
                      <w:t>事</w:t>
                    </w:r>
                    <w:r>
                      <w:rPr>
                        <w:spacing w:val="-3"/>
                        <w:sz w:val="21"/>
                      </w:rPr>
                      <w:t>件</w:t>
                    </w:r>
                    <w:r>
                      <w:rPr>
                        <w:sz w:val="21"/>
                      </w:rPr>
                      <w:t>分级</w:t>
                    </w:r>
                    <w:r>
                      <w:rPr>
                        <w:spacing w:val="-3"/>
                        <w:sz w:val="21"/>
                      </w:rPr>
                      <w:t>标</w:t>
                    </w:r>
                    <w:r>
                      <w:rPr>
                        <w:sz w:val="21"/>
                      </w:rPr>
                      <w:t>准</w:t>
                    </w:r>
                    <w:r>
                      <w:rPr>
                        <w:rFonts w:ascii="Times New Roman" w:eastAsia="Times New Roman"/>
                        <w:sz w:val="21"/>
                      </w:rPr>
                      <w:tab/>
                    </w:r>
                    <w:r>
                      <w:rPr>
                        <w:sz w:val="21"/>
                      </w:rPr>
                      <w:t>28</w:t>
                    </w:r>
                  </w:p>
                  <w:p>
                    <w:pPr>
                      <w:tabs>
                        <w:tab w:val="left" w:leader="dot" w:pos="9037"/>
                      </w:tabs>
                      <w:spacing w:before="129"/>
                      <w:ind w:left="0" w:right="0" w:firstLine="0"/>
                      <w:jc w:val="left"/>
                      <w:rPr>
                        <w:sz w:val="21"/>
                      </w:rPr>
                    </w:pPr>
                    <w:r>
                      <w:rPr>
                        <w:sz w:val="21"/>
                      </w:rPr>
                      <w:t>附录</w:t>
                    </w:r>
                    <w:r>
                      <w:rPr>
                        <w:spacing w:val="-51"/>
                        <w:sz w:val="21"/>
                      </w:rPr>
                      <w:t xml:space="preserve"> </w:t>
                    </w:r>
                    <w:r>
                      <w:rPr>
                        <w:sz w:val="21"/>
                      </w:rPr>
                      <w:t>E（</w:t>
                    </w:r>
                    <w:r>
                      <w:rPr>
                        <w:spacing w:val="-3"/>
                        <w:sz w:val="21"/>
                      </w:rPr>
                      <w:t>资</w:t>
                    </w:r>
                    <w:r>
                      <w:rPr>
                        <w:sz w:val="21"/>
                      </w:rPr>
                      <w:t>料</w:t>
                    </w:r>
                    <w:r>
                      <w:rPr>
                        <w:spacing w:val="-3"/>
                        <w:sz w:val="21"/>
                      </w:rPr>
                      <w:t>性</w:t>
                    </w:r>
                    <w:r>
                      <w:rPr>
                        <w:sz w:val="21"/>
                      </w:rPr>
                      <w:t xml:space="preserve">） </w:t>
                    </w:r>
                    <w:r>
                      <w:rPr>
                        <w:spacing w:val="7"/>
                        <w:sz w:val="21"/>
                      </w:rPr>
                      <w:t xml:space="preserve"> </w:t>
                    </w:r>
                    <w:r>
                      <w:rPr>
                        <w:sz w:val="21"/>
                      </w:rPr>
                      <w:t>运</w:t>
                    </w:r>
                    <w:r>
                      <w:rPr>
                        <w:spacing w:val="-3"/>
                        <w:sz w:val="21"/>
                      </w:rPr>
                      <w:t>营</w:t>
                    </w:r>
                    <w:r>
                      <w:rPr>
                        <w:sz w:val="21"/>
                      </w:rPr>
                      <w:t>期绩</w:t>
                    </w:r>
                    <w:r>
                      <w:rPr>
                        <w:spacing w:val="-3"/>
                        <w:sz w:val="21"/>
                      </w:rPr>
                      <w:t>效</w:t>
                    </w:r>
                    <w:r>
                      <w:rPr>
                        <w:sz w:val="21"/>
                      </w:rPr>
                      <w:t>评</w:t>
                    </w:r>
                    <w:r>
                      <w:rPr>
                        <w:spacing w:val="-3"/>
                        <w:sz w:val="21"/>
                      </w:rPr>
                      <w:t>价</w:t>
                    </w:r>
                    <w:r>
                      <w:rPr>
                        <w:sz w:val="21"/>
                      </w:rPr>
                      <w:t>资</w:t>
                    </w:r>
                    <w:r>
                      <w:rPr>
                        <w:spacing w:val="-3"/>
                        <w:sz w:val="21"/>
                      </w:rPr>
                      <w:t>料</w:t>
                    </w:r>
                    <w:r>
                      <w:rPr>
                        <w:sz w:val="21"/>
                      </w:rPr>
                      <w:t>清单</w:t>
                    </w:r>
                    <w:r>
                      <w:rPr>
                        <w:rFonts w:ascii="Times New Roman" w:eastAsia="Times New Roman"/>
                        <w:sz w:val="21"/>
                      </w:rPr>
                      <w:tab/>
                    </w:r>
                    <w:r>
                      <w:rPr>
                        <w:sz w:val="21"/>
                      </w:rPr>
                      <w:t>29</w:t>
                    </w:r>
                  </w:p>
                  <w:p>
                    <w:pPr>
                      <w:tabs>
                        <w:tab w:val="left" w:leader="dot" w:pos="9037"/>
                      </w:tabs>
                      <w:spacing w:before="132" w:line="240" w:lineRule="exact"/>
                      <w:ind w:left="0" w:right="0" w:firstLine="0"/>
                      <w:jc w:val="left"/>
                      <w:rPr>
                        <w:sz w:val="21"/>
                      </w:rPr>
                    </w:pPr>
                    <w:r>
                      <w:rPr>
                        <w:sz w:val="21"/>
                      </w:rPr>
                      <w:t>参考</w:t>
                    </w:r>
                    <w:r>
                      <w:rPr>
                        <w:spacing w:val="-3"/>
                        <w:sz w:val="21"/>
                      </w:rPr>
                      <w:t>文</w:t>
                    </w:r>
                    <w:r>
                      <w:rPr>
                        <w:sz w:val="21"/>
                      </w:rPr>
                      <w:t>献</w:t>
                    </w:r>
                    <w:r>
                      <w:rPr>
                        <w:rFonts w:ascii="Times New Roman" w:eastAsia="Times New Roman"/>
                        <w:sz w:val="21"/>
                      </w:rPr>
                      <w:tab/>
                    </w:r>
                    <w:r>
                      <w:rPr>
                        <w:sz w:val="21"/>
                      </w:rPr>
                      <w:t>30</w:t>
                    </w:r>
                  </w:p>
                </w:txbxContent>
              </v:textbox>
            </v:shape>
            <v:shape id="_x0000_s1036" type="#_x0000_t202" style="width:202;height:180;left:10456;position:absolute;top:7216" filled="f" stroked="f">
              <v:textbox inset="0,0,0,0">
                <w:txbxContent>
                  <w:p>
                    <w:pPr>
                      <w:spacing w:before="0" w:line="180" w:lineRule="exact"/>
                      <w:ind w:left="0" w:right="0" w:firstLine="0"/>
                      <w:jc w:val="left"/>
                      <w:rPr>
                        <w:sz w:val="18"/>
                      </w:rPr>
                    </w:pPr>
                    <w:r>
                      <w:rPr>
                        <w:sz w:val="18"/>
                      </w:rPr>
                      <w:t xml:space="preserve">I </w:t>
                    </w:r>
                  </w:p>
                </w:txbxContent>
              </v:textbox>
            </v:shape>
            <w10:wrap type="topAndBottom"/>
          </v:group>
        </w:pict>
      </w:r>
    </w:p>
    <w:p>
      <w:pPr>
        <w:spacing w:after="0"/>
        <w:rPr>
          <w:sz w:val="9"/>
        </w:rPr>
        <w:sectPr>
          <w:headerReference w:type="default" r:id="rId6"/>
          <w:pgSz w:w="11910" w:h="16840"/>
          <w:pgMar w:top="1640" w:right="260" w:bottom="280" w:left="240" w:header="1448" w:footer="0"/>
          <w:pgNumType w:start="4"/>
          <w:cols w:space="708"/>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27"/>
        </w:rPr>
      </w:pPr>
    </w:p>
    <w:p>
      <w:pPr>
        <w:pStyle w:val="BodyText"/>
        <w:ind w:left="2860"/>
        <w:rPr>
          <w:sz w:val="20"/>
        </w:rPr>
      </w:pPr>
      <w:r>
        <w:rPr>
          <w:sz w:val="20"/>
        </w:rPr>
        <w:drawing>
          <wp:inline distT="0" distB="0" distL="0" distR="0">
            <wp:extent cx="4028503" cy="2533650"/>
            <wp:effectExtent l="0" t="0" r="0" b="0"/>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2.png"/>
                    <pic:cNvPicPr/>
                  </pic:nvPicPr>
                  <pic:blipFill>
                    <a:blip xmlns:r="http://schemas.openxmlformats.org/officeDocument/2006/relationships" r:embed="rId5" cstate="print"/>
                    <a:stretch>
                      <a:fillRect/>
                    </a:stretch>
                  </pic:blipFill>
                  <pic:spPr>
                    <a:xfrm>
                      <a:off x="0" y="0"/>
                      <a:ext cx="4028503" cy="2533650"/>
                    </a:xfrm>
                    <a:prstGeom prst="rect">
                      <a:avLst/>
                    </a:prstGeom>
                  </pic:spPr>
                </pic:pic>
              </a:graphicData>
            </a:graphic>
          </wp:inline>
        </w:drawing>
      </w:r>
    </w:p>
    <w:p>
      <w:pPr>
        <w:spacing w:after="0"/>
        <w:rPr>
          <w:sz w:val="20"/>
        </w:rPr>
        <w:sectPr>
          <w:headerReference w:type="even" r:id="rId7"/>
          <w:headerReference w:type="default" r:id="rId8"/>
          <w:pgSz w:w="11910" w:h="16840"/>
          <w:pgMar w:top="1580" w:right="260" w:bottom="280" w:left="240" w:header="0" w:footer="0"/>
          <w:pgNumType w:start="5"/>
          <w:cols w:space="708"/>
        </w:sectPr>
      </w:pPr>
    </w:p>
    <w:p>
      <w:pPr>
        <w:pStyle w:val="BodyText"/>
        <w:rPr>
          <w:sz w:val="20"/>
        </w:rPr>
      </w:pPr>
    </w:p>
    <w:p>
      <w:pPr>
        <w:pStyle w:val="BodyText"/>
        <w:rPr>
          <w:sz w:val="20"/>
        </w:rPr>
      </w:pPr>
    </w:p>
    <w:p>
      <w:pPr>
        <w:pStyle w:val="BodyText"/>
        <w:spacing w:before="10"/>
        <w:rPr>
          <w:sz w:val="18"/>
        </w:rPr>
      </w:pPr>
    </w:p>
    <w:p>
      <w:pPr>
        <w:pStyle w:val="Heading1"/>
        <w:tabs>
          <w:tab w:val="left" w:pos="1683"/>
        </w:tabs>
        <w:ind w:left="725"/>
      </w:pPr>
      <w:r>
        <w:t>前</w:t>
        <w:tab/>
        <w:t>言</w:t>
      </w:r>
    </w:p>
    <w:p>
      <w:pPr>
        <w:pStyle w:val="BodyText"/>
        <w:spacing w:before="8"/>
        <w:rPr>
          <w:rFonts w:ascii="黑体"/>
          <w:sz w:val="46"/>
        </w:rPr>
      </w:pPr>
    </w:p>
    <w:p>
      <w:pPr>
        <w:pStyle w:val="BodyText"/>
        <w:spacing w:line="278" w:lineRule="auto"/>
        <w:ind w:left="1178" w:right="866" w:firstLine="420"/>
      </w:pPr>
      <w:r>
        <w:t xml:space="preserve">本文件按照GB/T 1.1—2020《标准化工作导则 第1部分：标准化文件的结构和起草规则》的规定起草。 </w:t>
      </w:r>
    </w:p>
    <w:p>
      <w:pPr>
        <w:pStyle w:val="BodyText"/>
        <w:spacing w:line="278" w:lineRule="auto"/>
        <w:ind w:left="1598" w:right="1924"/>
      </w:pPr>
      <w:r>
        <w:rPr>
          <w:spacing w:val="-3"/>
        </w:rPr>
        <w:t>请注意本文件的某些内容可能涉及专利。本文件的发布机构不承担识别专利的责任。本文件由湖北省住房和城乡建设厅提出并归口。</w:t>
      </w:r>
      <w:r>
        <w:t xml:space="preserve"> </w:t>
      </w:r>
    </w:p>
    <w:p>
      <w:pPr>
        <w:pStyle w:val="BodyText"/>
        <w:spacing w:line="278" w:lineRule="auto"/>
        <w:ind w:left="1178" w:right="866" w:firstLine="420"/>
        <w:jc w:val="both"/>
      </w:pPr>
      <w:r>
        <w:rPr>
          <w:spacing w:val="-9"/>
        </w:rPr>
        <w:t>本文件起草单位：中国市政工程中南设计研究总院有限公司，湖北永业行评估咨询有限公司，湖北</w:t>
      </w:r>
      <w:r>
        <w:rPr>
          <w:spacing w:val="-10"/>
        </w:rPr>
        <w:t>汉江益清环保科技有限公司，武汉市水务集团有限公司，华中科技大学环境科学与工程学院，湖北省城</w:t>
      </w:r>
      <w:r>
        <w:rPr>
          <w:spacing w:val="-5"/>
        </w:rPr>
        <w:t>市规划设计研究院，洪湖市天创水务有限公司。</w:t>
      </w:r>
      <w:r>
        <w:t xml:space="preserve"> </w:t>
      </w:r>
    </w:p>
    <w:p>
      <w:pPr>
        <w:pStyle w:val="BodyText"/>
        <w:spacing w:line="278" w:lineRule="auto"/>
        <w:ind w:left="1178" w:right="866" w:firstLine="420"/>
        <w:jc w:val="both"/>
      </w:pPr>
      <w:r>
        <w:rPr>
          <w:spacing w:val="-13"/>
        </w:rPr>
        <w:t>本文件主要起草人：吴瑜红、李国洪、禹滋柏、付建国、尤鑫、李卿、周旭、文云波、鲁宏武、关</w:t>
      </w:r>
      <w:r>
        <w:rPr>
          <w:spacing w:val="-10"/>
        </w:rPr>
        <w:t>凯、王宗平、陈华、曲双双、王子、万春、马涛、谢鹏超、陈思、王思阳、花凌云、汤伟、占淑娴、王</w:t>
      </w:r>
      <w:r>
        <w:rPr>
          <w:spacing w:val="-5"/>
        </w:rPr>
        <w:t>伟斌、陈璇、辛月星、雷智丰、陈浩然、雷琳慧、陈青。</w:t>
      </w:r>
      <w:r>
        <w:t xml:space="preserve"> </w:t>
      </w:r>
    </w:p>
    <w:p>
      <w:pPr>
        <w:pStyle w:val="BodyText"/>
        <w:spacing w:line="278" w:lineRule="auto"/>
        <w:ind w:left="1178" w:right="658" w:firstLine="420"/>
      </w:pPr>
      <w:r>
        <w:t xml:space="preserve">本文件实施应用中的疑问，可咨询湖北省住房和城乡建设厅，联系电话：027-68873088，邮箱： </w:t>
      </w:r>
      <w:r>
        <w:rPr>
          <w:w w:val="100"/>
        </w:rPr>
        <w:t>mail.</w:t>
      </w:r>
      <w:r>
        <w:rPr>
          <w:spacing w:val="-3"/>
          <w:w w:val="100"/>
        </w:rPr>
        <w:t>h</w:t>
      </w:r>
      <w:r>
        <w:rPr>
          <w:w w:val="100"/>
        </w:rPr>
        <w:t>bsz</w:t>
      </w:r>
      <w:r>
        <w:rPr>
          <w:spacing w:val="-3"/>
          <w:w w:val="100"/>
        </w:rPr>
        <w:t>j</w:t>
      </w:r>
      <w:r>
        <w:rPr>
          <w:w w:val="100"/>
        </w:rPr>
        <w:t>t.n</w:t>
      </w:r>
      <w:r>
        <w:rPr>
          <w:spacing w:val="-3"/>
          <w:w w:val="100"/>
        </w:rPr>
        <w:t>e</w:t>
      </w:r>
      <w:r>
        <w:rPr>
          <w:w w:val="100"/>
        </w:rPr>
        <w:t>t.c</w:t>
      </w:r>
      <w:r>
        <w:rPr>
          <w:spacing w:val="-3"/>
          <w:w w:val="100"/>
        </w:rPr>
        <w:t>n</w:t>
      </w:r>
      <w:r>
        <w:rPr>
          <w:spacing w:val="-12"/>
          <w:w w:val="100"/>
        </w:rPr>
        <w:t>；对本文件的有关修改意见建议请反馈至中国市政工程中南设计研究总院有限公司，</w:t>
      </w:r>
      <w:r>
        <w:rPr>
          <w:spacing w:val="-6"/>
        </w:rPr>
        <w:t>联系电话：</w:t>
      </w:r>
      <w:r>
        <w:t>027-82631888</w:t>
      </w:r>
      <w:r>
        <w:rPr>
          <w:spacing w:val="-3"/>
        </w:rPr>
        <w:t>，地址：武汉市江岸区解放公园路8</w:t>
      </w:r>
      <w:r>
        <w:rPr>
          <w:spacing w:val="-2"/>
        </w:rPr>
        <w:t>号。</w:t>
      </w:r>
      <w:r>
        <w:t xml:space="preserve"> </w:t>
      </w:r>
    </w:p>
    <w:p>
      <w:pPr>
        <w:pStyle w:val="BodyText"/>
        <w:spacing w:line="269" w:lineRule="exact"/>
        <w:ind w:left="1598"/>
      </w:pPr>
      <w:r>
        <w:drawing>
          <wp:anchor distT="0" distB="0" distL="0" distR="0" simplePos="0" relativeHeight="251664384" behindDoc="0" locked="0" layoutInCell="1" allowOverlap="1">
            <wp:simplePos x="0" y="0"/>
            <wp:positionH relativeFrom="page">
              <wp:posOffset>215900</wp:posOffset>
            </wp:positionH>
            <wp:positionV relativeFrom="paragraph">
              <wp:posOffset>461684</wp:posOffset>
            </wp:positionV>
            <wp:extent cx="7112000" cy="4876800"/>
            <wp:effectExtent l="0" t="0" r="0" b="0"/>
            <wp:wrapNone/>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png"/>
                    <pic:cNvPicPr/>
                  </pic:nvPicPr>
                  <pic:blipFill>
                    <a:blip xmlns:r="http://schemas.openxmlformats.org/officeDocument/2006/relationships" r:embed="rId4" cstate="print"/>
                    <a:stretch>
                      <a:fillRect/>
                    </a:stretch>
                  </pic:blipFill>
                  <pic:spPr>
                    <a:xfrm>
                      <a:off x="0" y="0"/>
                      <a:ext cx="7112000" cy="4876800"/>
                    </a:xfrm>
                    <a:prstGeom prst="rect">
                      <a:avLst/>
                    </a:prstGeom>
                  </pic:spPr>
                </pic:pic>
              </a:graphicData>
            </a:graphic>
          </wp:anchor>
        </w:drawing>
      </w:r>
      <w:r>
        <w:rPr>
          <w:w w:val="100"/>
        </w:rPr>
        <w:t xml:space="preserve"> </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17"/>
        </w:rPr>
      </w:pPr>
      <w:r>
        <w:pict>
          <v:shape id="_x0000_s1037" type="#_x0000_t202" style="width:19.1pt;height:9pt;margin-top:13.32pt;margin-left:513.82pt;mso-position-horizontal-relative:page;mso-wrap-distance-left:0;mso-wrap-distance-right:0;position:absolute;z-index:-251651072" filled="f" stroked="f">
            <v:textbox inset="0,0,0,0">
              <w:txbxContent>
                <w:p>
                  <w:pPr>
                    <w:spacing w:before="0" w:line="180" w:lineRule="exact"/>
                    <w:ind w:left="0" w:right="0" w:firstLine="0"/>
                    <w:jc w:val="left"/>
                    <w:rPr>
                      <w:sz w:val="18"/>
                    </w:rPr>
                  </w:pPr>
                  <w:r>
                    <w:rPr>
                      <w:sz w:val="18"/>
                    </w:rPr>
                    <w:t xml:space="preserve">III </w:t>
                  </w:r>
                </w:p>
              </w:txbxContent>
            </v:textbox>
            <w10:wrap type="topAndBottom"/>
          </v:shape>
        </w:pict>
      </w:r>
    </w:p>
    <w:p>
      <w:pPr>
        <w:spacing w:after="0"/>
        <w:rPr>
          <w:sz w:val="17"/>
        </w:rPr>
        <w:sectPr>
          <w:headerReference w:type="even" r:id="rId9"/>
          <w:headerReference w:type="default" r:id="rId10"/>
          <w:pgSz w:w="11910" w:h="16840"/>
          <w:pgMar w:top="1640" w:right="260" w:bottom="280" w:left="240" w:header="1448" w:footer="0"/>
          <w:pgNumType w:start="6"/>
          <w:cols w:space="708"/>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27"/>
        </w:rPr>
      </w:pPr>
    </w:p>
    <w:p>
      <w:pPr>
        <w:pStyle w:val="BodyText"/>
        <w:ind w:left="2860"/>
        <w:rPr>
          <w:sz w:val="20"/>
        </w:rPr>
      </w:pPr>
      <w:r>
        <w:rPr>
          <w:sz w:val="20"/>
        </w:rPr>
        <w:drawing>
          <wp:inline distT="0" distB="0" distL="0" distR="0">
            <wp:extent cx="4028503" cy="2533650"/>
            <wp:effectExtent l="0" t="0" r="0" b="0"/>
            <wp:docPr id="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2.png"/>
                    <pic:cNvPicPr/>
                  </pic:nvPicPr>
                  <pic:blipFill>
                    <a:blip xmlns:r="http://schemas.openxmlformats.org/officeDocument/2006/relationships" r:embed="rId5" cstate="print"/>
                    <a:stretch>
                      <a:fillRect/>
                    </a:stretch>
                  </pic:blipFill>
                  <pic:spPr>
                    <a:xfrm>
                      <a:off x="0" y="0"/>
                      <a:ext cx="4028503" cy="2533650"/>
                    </a:xfrm>
                    <a:prstGeom prst="rect">
                      <a:avLst/>
                    </a:prstGeom>
                  </pic:spPr>
                </pic:pic>
              </a:graphicData>
            </a:graphic>
          </wp:inline>
        </w:drawing>
      </w:r>
    </w:p>
    <w:p>
      <w:pPr>
        <w:spacing w:after="0"/>
        <w:rPr>
          <w:sz w:val="20"/>
        </w:rPr>
        <w:sectPr>
          <w:headerReference w:type="even" r:id="rId11"/>
          <w:headerReference w:type="default" r:id="rId12"/>
          <w:pgSz w:w="11910" w:h="16840"/>
          <w:pgMar w:top="1580" w:right="260" w:bottom="280" w:left="240" w:header="0" w:footer="0"/>
          <w:pgNumType w:start="7"/>
          <w:cols w:space="708"/>
        </w:sectPr>
      </w:pPr>
    </w:p>
    <w:p>
      <w:pPr>
        <w:pStyle w:val="BodyText"/>
        <w:spacing w:before="2"/>
        <w:rPr>
          <w:sz w:val="20"/>
        </w:rPr>
      </w:pPr>
    </w:p>
    <w:p>
      <w:pPr>
        <w:pStyle w:val="Heading1"/>
        <w:spacing w:before="55"/>
      </w:pPr>
      <w:r>
        <w:t>乡镇生活污水治理设施运营维护管理技术规程</w:t>
      </w:r>
    </w:p>
    <w:p>
      <w:pPr>
        <w:pStyle w:val="BodyText"/>
        <w:rPr>
          <w:rFonts w:ascii="黑体"/>
          <w:sz w:val="20"/>
        </w:rPr>
      </w:pPr>
    </w:p>
    <w:p>
      <w:pPr>
        <w:pStyle w:val="BodyText"/>
        <w:spacing w:before="11"/>
        <w:rPr>
          <w:rFonts w:ascii="黑体"/>
          <w:sz w:val="28"/>
        </w:rPr>
      </w:pPr>
    </w:p>
    <w:p>
      <w:pPr>
        <w:pStyle w:val="ListParagraph"/>
        <w:numPr>
          <w:ilvl w:val="0"/>
          <w:numId w:val="26"/>
        </w:numPr>
        <w:tabs>
          <w:tab w:val="left" w:pos="1494"/>
        </w:tabs>
        <w:spacing w:before="72" w:after="0" w:line="240" w:lineRule="auto"/>
        <w:ind w:left="1493" w:right="0" w:hanging="316"/>
        <w:jc w:val="left"/>
        <w:rPr>
          <w:rFonts w:ascii="黑体" w:eastAsia="黑体" w:hint="eastAsia"/>
          <w:sz w:val="21"/>
        </w:rPr>
      </w:pPr>
      <w:r>
        <w:rPr>
          <w:rFonts w:ascii="黑体" w:eastAsia="黑体" w:hint="eastAsia"/>
          <w:sz w:val="21"/>
        </w:rPr>
        <w:t>范围</w:t>
      </w:r>
    </w:p>
    <w:p>
      <w:pPr>
        <w:pStyle w:val="BodyText"/>
        <w:spacing w:before="9"/>
        <w:rPr>
          <w:rFonts w:ascii="黑体"/>
          <w:sz w:val="27"/>
        </w:rPr>
      </w:pPr>
    </w:p>
    <w:p>
      <w:pPr>
        <w:pStyle w:val="BodyText"/>
        <w:spacing w:line="278" w:lineRule="auto"/>
        <w:ind w:left="1178" w:right="866" w:firstLine="420"/>
      </w:pPr>
      <w:r>
        <w:rPr>
          <w:spacing w:val="-7"/>
        </w:rPr>
        <w:t>本文件规定了湖北省乡镇生活污水收集及排放设施、污水处理厂、泵站和通用设施的运营维护、环</w:t>
      </w:r>
      <w:r>
        <w:rPr>
          <w:spacing w:val="-5"/>
        </w:rPr>
        <w:t>境保护、安全与应急管理、档案与信息化管理和绩效管理要求。</w:t>
      </w:r>
      <w:r>
        <w:t xml:space="preserve"> </w:t>
      </w:r>
    </w:p>
    <w:p>
      <w:pPr>
        <w:pStyle w:val="BodyText"/>
        <w:spacing w:line="278" w:lineRule="auto"/>
        <w:ind w:left="1178" w:right="866" w:firstLine="420"/>
        <w:jc w:val="both"/>
      </w:pPr>
      <w:r>
        <w:rPr>
          <w:spacing w:val="-3"/>
        </w:rPr>
        <w:t>本文件适用于湖北省内处理规模为</w:t>
      </w:r>
      <w:r>
        <w:t>200m3/d</w:t>
      </w:r>
      <w:r>
        <w:rPr>
          <w:spacing w:val="-10"/>
        </w:rPr>
        <w:t>以上</w:t>
      </w:r>
      <w:r>
        <w:t>（含</w:t>
      </w:r>
      <w:r>
        <w:rPr>
          <w:spacing w:val="-3"/>
        </w:rPr>
        <w:t>200m3/d）</w:t>
      </w:r>
      <w:r>
        <w:rPr>
          <w:spacing w:val="-17"/>
        </w:rPr>
        <w:t>、</w:t>
      </w:r>
      <w:r>
        <w:t>5000m3/d</w:t>
      </w:r>
      <w:r>
        <w:rPr>
          <w:spacing w:val="-10"/>
        </w:rPr>
        <w:t>以下</w:t>
      </w:r>
      <w:r>
        <w:t>（含</w:t>
      </w:r>
      <w:r>
        <w:rPr>
          <w:spacing w:val="-5"/>
        </w:rPr>
        <w:t>5000m3/d）</w:t>
      </w:r>
      <w:r>
        <w:rPr>
          <w:spacing w:val="-3"/>
        </w:rPr>
        <w:t>，新</w:t>
      </w:r>
      <w:r>
        <w:rPr>
          <w:spacing w:val="-10"/>
        </w:rPr>
        <w:t>建、改建及扩建乡镇生活污水处理设施的运营、维护及安全管理。工业园及企业污水处理设施不在本规</w:t>
      </w:r>
      <w:r>
        <w:rPr>
          <w:spacing w:val="-6"/>
        </w:rPr>
        <w:t>程范围内。</w:t>
      </w:r>
      <w:r>
        <w:t xml:space="preserve"> </w:t>
      </w:r>
    </w:p>
    <w:p>
      <w:pPr>
        <w:pStyle w:val="BodyText"/>
        <w:spacing w:before="4"/>
        <w:rPr>
          <w:sz w:val="24"/>
        </w:rPr>
      </w:pPr>
    </w:p>
    <w:p>
      <w:pPr>
        <w:pStyle w:val="ListParagraph"/>
        <w:numPr>
          <w:ilvl w:val="0"/>
          <w:numId w:val="26"/>
        </w:numPr>
        <w:tabs>
          <w:tab w:val="left" w:pos="1494"/>
        </w:tabs>
        <w:spacing w:before="0" w:after="0" w:line="240" w:lineRule="auto"/>
        <w:ind w:left="1493" w:right="0" w:hanging="316"/>
        <w:jc w:val="left"/>
        <w:rPr>
          <w:rFonts w:ascii="黑体" w:eastAsia="黑体" w:hint="eastAsia"/>
          <w:sz w:val="21"/>
        </w:rPr>
      </w:pPr>
      <w:r>
        <w:rPr>
          <w:rFonts w:ascii="黑体" w:eastAsia="黑体" w:hint="eastAsia"/>
          <w:spacing w:val="-2"/>
          <w:sz w:val="21"/>
        </w:rPr>
        <w:t>规范性引用文件</w:t>
      </w:r>
    </w:p>
    <w:p>
      <w:pPr>
        <w:pStyle w:val="BodyText"/>
        <w:spacing w:before="9"/>
        <w:rPr>
          <w:rFonts w:ascii="黑体"/>
          <w:sz w:val="27"/>
        </w:rPr>
      </w:pPr>
    </w:p>
    <w:p>
      <w:pPr>
        <w:pStyle w:val="BodyText"/>
        <w:spacing w:line="278" w:lineRule="auto"/>
        <w:ind w:left="1178" w:right="760" w:firstLine="420"/>
      </w:pPr>
      <w:r>
        <w:rPr>
          <w:spacing w:val="-10"/>
        </w:rPr>
        <w:t xml:space="preserve">下列文件中的内容通过文中的规范性引用而构成本文件必不可少的条款。其中，注日期的引用文件， </w:t>
      </w:r>
      <w:r>
        <w:rPr>
          <w:spacing w:val="-9"/>
        </w:rPr>
        <w:t>仅该日期对应的版本适用于本文件；不注日期的引用文件，其最新版本</w:t>
      </w:r>
      <w:r>
        <w:t>（</w:t>
      </w:r>
      <w:r>
        <w:rPr>
          <w:spacing w:val="-3"/>
        </w:rPr>
        <w:t>包括所有的修改单</w:t>
      </w:r>
      <w:r>
        <w:rPr>
          <w:spacing w:val="-25"/>
        </w:rPr>
        <w:t>）</w:t>
      </w:r>
      <w:r>
        <w:rPr>
          <w:spacing w:val="-3"/>
        </w:rPr>
        <w:t>适用于本文件。</w:t>
      </w:r>
      <w:r>
        <w:t xml:space="preserve"> </w:t>
      </w:r>
    </w:p>
    <w:p>
      <w:pPr>
        <w:pStyle w:val="BodyText"/>
        <w:spacing w:line="278" w:lineRule="auto"/>
        <w:ind w:left="1598" w:right="6233"/>
      </w:pPr>
      <w:r>
        <w:drawing>
          <wp:anchor distT="0" distB="0" distL="0" distR="0" simplePos="0" relativeHeight="251666432" behindDoc="0" locked="0" layoutInCell="1" allowOverlap="1">
            <wp:simplePos x="0" y="0"/>
            <wp:positionH relativeFrom="page">
              <wp:posOffset>215900</wp:posOffset>
            </wp:positionH>
            <wp:positionV relativeFrom="paragraph">
              <wp:posOffset>711834</wp:posOffset>
            </wp:positionV>
            <wp:extent cx="7112000" cy="4876800"/>
            <wp:effectExtent l="0" t="0" r="0" b="0"/>
            <wp:wrapNone/>
            <wp:docPr id="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png"/>
                    <pic:cNvPicPr/>
                  </pic:nvPicPr>
                  <pic:blipFill>
                    <a:blip xmlns:r="http://schemas.openxmlformats.org/officeDocument/2006/relationships" r:embed="rId4" cstate="print"/>
                    <a:stretch>
                      <a:fillRect/>
                    </a:stretch>
                  </pic:blipFill>
                  <pic:spPr>
                    <a:xfrm>
                      <a:off x="0" y="0"/>
                      <a:ext cx="7112000" cy="4876800"/>
                    </a:xfrm>
                    <a:prstGeom prst="rect">
                      <a:avLst/>
                    </a:prstGeom>
                  </pic:spPr>
                </pic:pic>
              </a:graphicData>
            </a:graphic>
          </wp:anchor>
        </w:drawing>
      </w:r>
      <w:r>
        <w:t xml:space="preserve">GB 4284  农用污泥中污染物控制标准GB  12348   工业企业厂界噪声标准GB  14554   恶臭污染物排放标准GB/T  15562.1   环境保护图形标志GB 16889  生活垃圾填埋场控制标准 GB 18466 医疗机构水污染排放标准 </w:t>
      </w:r>
    </w:p>
    <w:p>
      <w:pPr>
        <w:pStyle w:val="BodyText"/>
        <w:spacing w:line="269" w:lineRule="exact"/>
        <w:ind w:left="1598"/>
      </w:pPr>
      <w:r>
        <w:t xml:space="preserve">GB 18597 危险废物贮存污染控制标准 </w:t>
      </w:r>
    </w:p>
    <w:p>
      <w:pPr>
        <w:pStyle w:val="BodyText"/>
        <w:spacing w:before="43"/>
        <w:ind w:left="1598"/>
      </w:pPr>
      <w:r>
        <w:t xml:space="preserve">GB 18918 城镇污水处理厂污染物排放标准 </w:t>
      </w:r>
    </w:p>
    <w:p>
      <w:pPr>
        <w:pStyle w:val="BodyText"/>
        <w:spacing w:before="43" w:line="278" w:lineRule="auto"/>
        <w:ind w:left="1598" w:right="4656"/>
      </w:pPr>
      <w:r>
        <w:t>GB/T 23485</w:t>
      </w:r>
      <w:r>
        <w:rPr>
          <w:spacing w:val="-3"/>
        </w:rPr>
        <w:t xml:space="preserve">  城镇污水处理厂污泥处置混合填埋泥质GB/T </w:t>
      </w:r>
      <w:r>
        <w:t>23486</w:t>
      </w:r>
      <w:r>
        <w:rPr>
          <w:spacing w:val="-3"/>
        </w:rPr>
        <w:t xml:space="preserve"> 城镇污水处理厂污泥处置园林绿化用泥质</w:t>
      </w:r>
      <w:r>
        <w:t>GB/T 24600</w:t>
      </w:r>
      <w:r>
        <w:rPr>
          <w:spacing w:val="-3"/>
        </w:rPr>
        <w:t xml:space="preserve">  城镇污水处理厂污泥处置土地改良泥质GB/T </w:t>
      </w:r>
      <w:r>
        <w:t>24602</w:t>
      </w:r>
      <w:r>
        <w:rPr>
          <w:spacing w:val="-3"/>
        </w:rPr>
        <w:t xml:space="preserve">  城镇污水处理污泥处置单独焚烧用泥质GB/T</w:t>
      </w:r>
      <w:r>
        <w:rPr>
          <w:spacing w:val="67"/>
        </w:rPr>
        <w:t xml:space="preserve"> </w:t>
      </w:r>
      <w:r>
        <w:t>25031</w:t>
      </w:r>
      <w:r>
        <w:rPr>
          <w:spacing w:val="-1"/>
        </w:rPr>
        <w:t xml:space="preserve">  城镇污水处理厂污泥处置制砖用泥质</w:t>
      </w:r>
      <w:r>
        <w:t>GB/T</w:t>
      </w:r>
      <w:r>
        <w:rPr>
          <w:spacing w:val="1"/>
        </w:rPr>
        <w:t xml:space="preserve"> </w:t>
      </w:r>
      <w:r>
        <w:t>31190</w:t>
      </w:r>
      <w:r>
        <w:rPr>
          <w:spacing w:val="-3"/>
        </w:rPr>
        <w:t xml:space="preserve"> 实验室废弃化学品收集技术规范</w:t>
      </w:r>
      <w:r>
        <w:t xml:space="preserve"> </w:t>
      </w:r>
    </w:p>
    <w:p>
      <w:pPr>
        <w:pStyle w:val="BodyText"/>
        <w:spacing w:line="268" w:lineRule="exact"/>
        <w:ind w:left="1598"/>
      </w:pPr>
      <w:r>
        <w:t xml:space="preserve">GB/T 31962 污水排入城镇下水道水质标准 </w:t>
      </w:r>
    </w:p>
    <w:p>
      <w:pPr>
        <w:pStyle w:val="BodyText"/>
        <w:spacing w:before="43" w:line="278" w:lineRule="auto"/>
        <w:ind w:left="1598" w:right="4236"/>
      </w:pPr>
      <w:r>
        <w:t xml:space="preserve">GB/T 40201  农村生活污水处理设施运行效果评价技术要求GB 50014 室外排水设计标准 </w:t>
      </w:r>
    </w:p>
    <w:p>
      <w:pPr>
        <w:pStyle w:val="BodyText"/>
        <w:spacing w:line="269" w:lineRule="exact"/>
        <w:ind w:left="1598"/>
      </w:pPr>
      <w:r>
        <w:t xml:space="preserve">GB 50027 城乡排水工程项目规范 </w:t>
      </w:r>
    </w:p>
    <w:p>
      <w:pPr>
        <w:pStyle w:val="BodyText"/>
        <w:spacing w:before="44" w:line="278" w:lineRule="auto"/>
        <w:ind w:left="1598" w:right="5497"/>
      </w:pPr>
      <w:r>
        <w:t xml:space="preserve">GB/T 51347 农村生活污水处理工程技术标准GBZ/T 205 密闭空间作业职业危害防护规范CJ/T 51 城镇污水水质标准检验方法 </w:t>
      </w:r>
    </w:p>
    <w:p>
      <w:pPr>
        <w:pStyle w:val="BodyText"/>
        <w:spacing w:line="278" w:lineRule="auto"/>
        <w:ind w:left="1598" w:right="4553"/>
      </w:pPr>
      <w:r>
        <w:t xml:space="preserve">CJ 68 城镇排水管渠与泵站运行、维护及安全技术规程CJ/T 309 城镇污水处理厂污泥处置农用泥质 </w:t>
      </w:r>
    </w:p>
    <w:p>
      <w:pPr>
        <w:pStyle w:val="BodyText"/>
        <w:spacing w:line="278" w:lineRule="auto"/>
        <w:ind w:left="1598" w:right="4865"/>
      </w:pPr>
      <w:r>
        <w:t xml:space="preserve">CJ/T 314 城镇污水厂污泥处置水泥熟料生产用泥质CJJ 6  城镇排水管道维护安全技术规程 </w:t>
      </w:r>
    </w:p>
    <w:p>
      <w:pPr>
        <w:pStyle w:val="BodyText"/>
        <w:spacing w:line="269" w:lineRule="exact"/>
        <w:ind w:left="1598"/>
      </w:pPr>
      <w:r>
        <w:t xml:space="preserve">CJJ/T 54 污水自然处理工程技术规程 </w:t>
      </w:r>
    </w:p>
    <w:p>
      <w:pPr>
        <w:pStyle w:val="BodyText"/>
        <w:spacing w:before="10"/>
        <w:rPr>
          <w:sz w:val="14"/>
        </w:rPr>
      </w:pPr>
    </w:p>
    <w:p>
      <w:pPr>
        <w:spacing w:before="75"/>
        <w:ind w:left="0" w:right="1006" w:firstLine="0"/>
        <w:jc w:val="right"/>
        <w:rPr>
          <w:sz w:val="18"/>
        </w:rPr>
      </w:pPr>
      <w:r>
        <w:rPr>
          <w:sz w:val="18"/>
        </w:rPr>
        <w:t xml:space="preserve">1 </w:t>
      </w:r>
    </w:p>
    <w:p>
      <w:pPr>
        <w:spacing w:after="0"/>
        <w:jc w:val="right"/>
        <w:rPr>
          <w:sz w:val="18"/>
        </w:rPr>
        <w:sectPr>
          <w:headerReference w:type="even" r:id="rId13"/>
          <w:headerReference w:type="default" r:id="rId14"/>
          <w:pgSz w:w="11910" w:h="16840"/>
          <w:pgMar w:top="1640" w:right="260" w:bottom="280" w:left="240" w:header="1448" w:footer="0"/>
          <w:pgNumType w:start="8"/>
          <w:cols w:space="708"/>
        </w:sectPr>
      </w:pPr>
    </w:p>
    <w:p>
      <w:pPr>
        <w:pStyle w:val="BodyText"/>
        <w:spacing w:before="4"/>
        <w:rPr>
          <w:sz w:val="17"/>
        </w:rPr>
      </w:pPr>
    </w:p>
    <w:p>
      <w:pPr>
        <w:pStyle w:val="BodyText"/>
        <w:spacing w:before="71" w:line="278" w:lineRule="auto"/>
        <w:ind w:left="1313" w:right="5151"/>
      </w:pPr>
      <w:r>
        <w:t xml:space="preserve">CJJ 60 城镇污水处理厂运行、维护及安全技术规程CJJ/T 285 一体化预制泵站工程技术标准 </w:t>
      </w:r>
    </w:p>
    <w:p>
      <w:pPr>
        <w:pStyle w:val="BodyText"/>
        <w:spacing w:line="278" w:lineRule="auto"/>
        <w:ind w:left="1313" w:right="4102"/>
      </w:pPr>
      <w:r>
        <w:t xml:space="preserve">HJ 355  水污染源在线监测系统(CODCr、NH3-N等)运行技术规范HJ 579 膜分离法污水处理工程技术规范 </w:t>
      </w:r>
    </w:p>
    <w:p>
      <w:pPr>
        <w:pStyle w:val="BodyText"/>
        <w:spacing w:line="278" w:lineRule="auto"/>
        <w:ind w:left="1313" w:right="5890"/>
      </w:pPr>
      <w:r>
        <w:t>HJ</w:t>
      </w:r>
      <w:r>
        <w:rPr>
          <w:spacing w:val="66"/>
        </w:rPr>
        <w:t xml:space="preserve"> </w:t>
      </w:r>
      <w:r>
        <w:t>2005</w:t>
      </w:r>
      <w:r>
        <w:rPr>
          <w:spacing w:val="-2"/>
        </w:rPr>
        <w:t xml:space="preserve">  人工湿地污水处理工程技术规范</w:t>
      </w:r>
      <w:r>
        <w:t>HJ</w:t>
      </w:r>
      <w:r>
        <w:rPr>
          <w:spacing w:val="5"/>
        </w:rPr>
        <w:t xml:space="preserve"> </w:t>
      </w:r>
      <w:r>
        <w:t>2006</w:t>
      </w:r>
      <w:r>
        <w:rPr>
          <w:spacing w:val="-3"/>
        </w:rPr>
        <w:t xml:space="preserve">  污水混凝与絮凝处理工程技术规范</w:t>
      </w:r>
      <w:r>
        <w:t>HJ</w:t>
      </w:r>
      <w:r>
        <w:rPr>
          <w:spacing w:val="2"/>
        </w:rPr>
        <w:t xml:space="preserve"> </w:t>
      </w:r>
      <w:r>
        <w:t>2008</w:t>
      </w:r>
      <w:r>
        <w:rPr>
          <w:spacing w:val="-3"/>
        </w:rPr>
        <w:t xml:space="preserve"> 污水过滤处理工程技术规范</w:t>
      </w:r>
      <w:r>
        <w:t xml:space="preserve"> </w:t>
      </w:r>
    </w:p>
    <w:p>
      <w:pPr>
        <w:pStyle w:val="BodyText"/>
        <w:spacing w:line="269" w:lineRule="exact"/>
        <w:ind w:left="1313"/>
      </w:pPr>
      <w:r>
        <w:t xml:space="preserve">HJ 2038 城镇污水处理厂运行监督管理技术规范 </w:t>
      </w:r>
    </w:p>
    <w:p>
      <w:pPr>
        <w:pStyle w:val="BodyText"/>
        <w:spacing w:before="9"/>
        <w:rPr>
          <w:sz w:val="27"/>
        </w:rPr>
      </w:pPr>
    </w:p>
    <w:p>
      <w:pPr>
        <w:pStyle w:val="ListParagraph"/>
        <w:numPr>
          <w:ilvl w:val="0"/>
          <w:numId w:val="25"/>
        </w:numPr>
        <w:tabs>
          <w:tab w:val="left" w:pos="1208"/>
        </w:tabs>
        <w:spacing w:before="0" w:after="0" w:line="240" w:lineRule="auto"/>
        <w:ind w:left="1207" w:right="0" w:hanging="316"/>
        <w:jc w:val="left"/>
        <w:rPr>
          <w:rFonts w:ascii="黑体" w:eastAsia="黑体" w:hint="eastAsia"/>
          <w:sz w:val="21"/>
        </w:rPr>
      </w:pPr>
      <w:r>
        <w:rPr>
          <w:rFonts w:ascii="黑体" w:eastAsia="黑体" w:hint="eastAsia"/>
          <w:spacing w:val="-1"/>
          <w:sz w:val="21"/>
        </w:rPr>
        <w:t>术语和定义</w:t>
      </w:r>
    </w:p>
    <w:p>
      <w:pPr>
        <w:pStyle w:val="BodyText"/>
        <w:spacing w:before="9"/>
        <w:rPr>
          <w:rFonts w:ascii="黑体"/>
          <w:sz w:val="27"/>
        </w:rPr>
      </w:pPr>
    </w:p>
    <w:p>
      <w:pPr>
        <w:pStyle w:val="BodyText"/>
        <w:spacing w:before="1"/>
        <w:ind w:left="1313"/>
      </w:pPr>
      <w:r>
        <w:drawing>
          <wp:anchor distT="0" distB="0" distL="0" distR="0" simplePos="0" relativeHeight="251667456" behindDoc="0" locked="0" layoutInCell="1" allowOverlap="1">
            <wp:simplePos x="0" y="0"/>
            <wp:positionH relativeFrom="page">
              <wp:posOffset>725484</wp:posOffset>
            </wp:positionH>
            <wp:positionV relativeFrom="paragraph">
              <wp:posOffset>238615</wp:posOffset>
            </wp:positionV>
            <wp:extent cx="170891" cy="93345"/>
            <wp:effectExtent l="0" t="0" r="0" b="0"/>
            <wp:wrapTopAndBottom/>
            <wp:docPr id="1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3.png"/>
                    <pic:cNvPicPr/>
                  </pic:nvPicPr>
                  <pic:blipFill>
                    <a:blip xmlns:r="http://schemas.openxmlformats.org/officeDocument/2006/relationships" r:embed="rId15" cstate="print"/>
                    <a:stretch>
                      <a:fillRect/>
                    </a:stretch>
                  </pic:blipFill>
                  <pic:spPr>
                    <a:xfrm>
                      <a:off x="0" y="0"/>
                      <a:ext cx="170891" cy="93345"/>
                    </a:xfrm>
                    <a:prstGeom prst="rect">
                      <a:avLst/>
                    </a:prstGeom>
                  </pic:spPr>
                </pic:pic>
              </a:graphicData>
            </a:graphic>
          </wp:anchor>
        </w:drawing>
      </w:r>
      <w:r>
        <w:t xml:space="preserve">下列术语和定义适用于本文件。 </w:t>
      </w:r>
    </w:p>
    <w:p>
      <w:pPr>
        <w:pStyle w:val="BodyText"/>
        <w:spacing w:before="73"/>
        <w:ind w:left="1313"/>
        <w:rPr>
          <w:rFonts w:ascii="黑体" w:eastAsia="黑体" w:hint="eastAsia"/>
        </w:rPr>
      </w:pPr>
      <w:r>
        <w:rPr>
          <w:rFonts w:ascii="黑体" w:eastAsia="黑体" w:hint="eastAsia"/>
        </w:rPr>
        <w:t>生活污水处理设施 domestic wastewater treatment facilities</w:t>
      </w:r>
    </w:p>
    <w:p>
      <w:pPr>
        <w:pStyle w:val="BodyText"/>
        <w:spacing w:before="43"/>
        <w:ind w:left="1313"/>
      </w:pPr>
      <w:r>
        <w:t>用于收集、输送和处理生活污水的构筑物、设备、附属设施及提升设施的统称。</w:t>
      </w:r>
    </w:p>
    <w:p>
      <w:pPr>
        <w:spacing w:before="48"/>
        <w:ind w:left="1296" w:right="0" w:firstLine="0"/>
        <w:jc w:val="left"/>
        <w:rPr>
          <w:sz w:val="20"/>
        </w:rPr>
      </w:pPr>
      <w:r>
        <w:drawing>
          <wp:anchor distT="0" distB="0" distL="0" distR="0" simplePos="0" relativeHeight="251668480" behindDoc="0" locked="0" layoutInCell="1" allowOverlap="1">
            <wp:simplePos x="0" y="0"/>
            <wp:positionH relativeFrom="page">
              <wp:posOffset>725478</wp:posOffset>
            </wp:positionH>
            <wp:positionV relativeFrom="paragraph">
              <wp:posOffset>265157</wp:posOffset>
            </wp:positionV>
            <wp:extent cx="189132" cy="93345"/>
            <wp:effectExtent l="0" t="0" r="0" b="0"/>
            <wp:wrapTopAndBottom/>
            <wp:docPr id="1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4.png"/>
                    <pic:cNvPicPr/>
                  </pic:nvPicPr>
                  <pic:blipFill>
                    <a:blip xmlns:r="http://schemas.openxmlformats.org/officeDocument/2006/relationships" r:embed="rId16" cstate="print"/>
                    <a:stretch>
                      <a:fillRect/>
                    </a:stretch>
                  </pic:blipFill>
                  <pic:spPr>
                    <a:xfrm>
                      <a:off x="0" y="0"/>
                      <a:ext cx="189132" cy="93345"/>
                    </a:xfrm>
                    <a:prstGeom prst="rect">
                      <a:avLst/>
                    </a:prstGeom>
                  </pic:spPr>
                </pic:pic>
              </a:graphicData>
            </a:graphic>
          </wp:anchor>
        </w:drawing>
      </w:r>
      <w:r>
        <w:rPr>
          <w:b/>
          <w:sz w:val="20"/>
        </w:rPr>
        <w:t>注：</w:t>
      </w:r>
      <w:r>
        <w:rPr>
          <w:sz w:val="20"/>
        </w:rPr>
        <w:t>包括化粪池、接户井、污水管渠、检查井、提升泵站（一体化提升井）、污水处理厂（站）等。</w:t>
      </w:r>
    </w:p>
    <w:p>
      <w:pPr>
        <w:pStyle w:val="BodyText"/>
        <w:spacing w:before="73"/>
        <w:ind w:left="1313"/>
        <w:rPr>
          <w:rFonts w:ascii="黑体" w:eastAsia="黑体" w:hint="eastAsia"/>
        </w:rPr>
      </w:pPr>
      <w:r>
        <w:rPr>
          <w:rFonts w:ascii="黑体" w:eastAsia="黑体" w:hint="eastAsia"/>
        </w:rPr>
        <w:t>运维单位 operation and maintenance company</w:t>
      </w:r>
    </w:p>
    <w:p>
      <w:pPr>
        <w:pStyle w:val="BodyText"/>
        <w:spacing w:before="43"/>
        <w:ind w:left="1313"/>
      </w:pPr>
      <w:r>
        <w:drawing>
          <wp:anchor distT="0" distB="0" distL="0" distR="0" simplePos="0" relativeHeight="251669504" behindDoc="0" locked="0" layoutInCell="1" allowOverlap="1">
            <wp:simplePos x="0" y="0"/>
            <wp:positionH relativeFrom="page">
              <wp:posOffset>725478</wp:posOffset>
            </wp:positionH>
            <wp:positionV relativeFrom="paragraph">
              <wp:posOffset>265284</wp:posOffset>
            </wp:positionV>
            <wp:extent cx="189132" cy="93345"/>
            <wp:effectExtent l="0" t="0" r="0" b="0"/>
            <wp:wrapTopAndBottom/>
            <wp:docPr id="1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5.png"/>
                    <pic:cNvPicPr/>
                  </pic:nvPicPr>
                  <pic:blipFill>
                    <a:blip xmlns:r="http://schemas.openxmlformats.org/officeDocument/2006/relationships" r:embed="rId17" cstate="print"/>
                    <a:stretch>
                      <a:fillRect/>
                    </a:stretch>
                  </pic:blipFill>
                  <pic:spPr>
                    <a:xfrm>
                      <a:off x="0" y="0"/>
                      <a:ext cx="189132" cy="93345"/>
                    </a:xfrm>
                    <a:prstGeom prst="rect">
                      <a:avLst/>
                    </a:prstGeom>
                  </pic:spPr>
                </pic:pic>
              </a:graphicData>
            </a:graphic>
          </wp:anchor>
        </w:drawing>
      </w:r>
      <w:r>
        <w:t>从事污水处理及其设施操作与维护生产活动的单位。</w:t>
      </w:r>
    </w:p>
    <w:p>
      <w:pPr>
        <w:pStyle w:val="BodyText"/>
        <w:spacing w:before="73"/>
        <w:ind w:left="1313"/>
        <w:rPr>
          <w:rFonts w:ascii="黑体" w:eastAsia="黑体" w:hint="eastAsia"/>
        </w:rPr>
      </w:pPr>
      <w:r>
        <w:rPr>
          <w:rFonts w:ascii="黑体" w:eastAsia="黑体" w:hint="eastAsia"/>
        </w:rPr>
        <w:t>运营维护 operation and maintenance</w:t>
      </w:r>
    </w:p>
    <w:p>
      <w:pPr>
        <w:pStyle w:val="BodyText"/>
        <w:spacing w:before="43"/>
        <w:ind w:left="1313"/>
      </w:pPr>
      <w:r>
        <w:drawing>
          <wp:anchor distT="0" distB="0" distL="0" distR="0" simplePos="0" relativeHeight="251670528" behindDoc="0" locked="0" layoutInCell="1" allowOverlap="1">
            <wp:simplePos x="0" y="0"/>
            <wp:positionH relativeFrom="page">
              <wp:posOffset>725512</wp:posOffset>
            </wp:positionH>
            <wp:positionV relativeFrom="paragraph">
              <wp:posOffset>265284</wp:posOffset>
            </wp:positionV>
            <wp:extent cx="195176" cy="93345"/>
            <wp:effectExtent l="0" t="0" r="0" b="0"/>
            <wp:wrapTopAndBottom/>
            <wp:docPr id="1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6.png"/>
                    <pic:cNvPicPr/>
                  </pic:nvPicPr>
                  <pic:blipFill>
                    <a:blip xmlns:r="http://schemas.openxmlformats.org/officeDocument/2006/relationships" r:embed="rId18" cstate="print"/>
                    <a:stretch>
                      <a:fillRect/>
                    </a:stretch>
                  </pic:blipFill>
                  <pic:spPr>
                    <a:xfrm>
                      <a:off x="0" y="0"/>
                      <a:ext cx="195176" cy="93345"/>
                    </a:xfrm>
                    <a:prstGeom prst="rect">
                      <a:avLst/>
                    </a:prstGeom>
                  </pic:spPr>
                </pic:pic>
              </a:graphicData>
            </a:graphic>
          </wp:anchor>
        </w:drawing>
      </w:r>
      <w:r>
        <w:drawing>
          <wp:anchor distT="0" distB="0" distL="0" distR="0" simplePos="0" relativeHeight="251674624" behindDoc="0" locked="0" layoutInCell="1" allowOverlap="1">
            <wp:simplePos x="0" y="0"/>
            <wp:positionH relativeFrom="page">
              <wp:posOffset>215900</wp:posOffset>
            </wp:positionH>
            <wp:positionV relativeFrom="paragraph">
              <wp:posOffset>-128016</wp:posOffset>
            </wp:positionV>
            <wp:extent cx="7112000" cy="4876800"/>
            <wp:effectExtent l="0" t="0" r="0" b="0"/>
            <wp:wrapNone/>
            <wp:docPr id="2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png"/>
                    <pic:cNvPicPr/>
                  </pic:nvPicPr>
                  <pic:blipFill>
                    <a:blip xmlns:r="http://schemas.openxmlformats.org/officeDocument/2006/relationships" r:embed="rId4" cstate="print"/>
                    <a:stretch>
                      <a:fillRect/>
                    </a:stretch>
                  </pic:blipFill>
                  <pic:spPr>
                    <a:xfrm>
                      <a:off x="0" y="0"/>
                      <a:ext cx="7112000" cy="4876800"/>
                    </a:xfrm>
                    <a:prstGeom prst="rect">
                      <a:avLst/>
                    </a:prstGeom>
                  </pic:spPr>
                </pic:pic>
              </a:graphicData>
            </a:graphic>
          </wp:anchor>
        </w:drawing>
      </w:r>
      <w:r>
        <w:t>对生活污水收集、输送和处理设施开展的运行、巡检、维护等管理活动。</w:t>
      </w:r>
    </w:p>
    <w:p>
      <w:pPr>
        <w:pStyle w:val="BodyText"/>
        <w:spacing w:before="73"/>
        <w:ind w:left="1313"/>
        <w:rPr>
          <w:rFonts w:ascii="黑体" w:eastAsia="黑体" w:hint="eastAsia"/>
        </w:rPr>
      </w:pPr>
      <w:r>
        <w:rPr>
          <w:rFonts w:ascii="黑体" w:eastAsia="黑体" w:hint="eastAsia"/>
        </w:rPr>
        <w:t>水质在线监测系统 water quality on-line monitoring system</w:t>
      </w:r>
    </w:p>
    <w:p>
      <w:pPr>
        <w:pStyle w:val="BodyText"/>
        <w:spacing w:before="43"/>
        <w:ind w:left="1313"/>
      </w:pPr>
      <w:r>
        <w:drawing>
          <wp:anchor distT="0" distB="0" distL="0" distR="0" simplePos="0" relativeHeight="251671552" behindDoc="0" locked="0" layoutInCell="1" allowOverlap="1">
            <wp:simplePos x="0" y="0"/>
            <wp:positionH relativeFrom="page">
              <wp:posOffset>725514</wp:posOffset>
            </wp:positionH>
            <wp:positionV relativeFrom="paragraph">
              <wp:posOffset>265103</wp:posOffset>
            </wp:positionV>
            <wp:extent cx="191536" cy="95250"/>
            <wp:effectExtent l="0" t="0" r="0" b="0"/>
            <wp:wrapTopAndBottom/>
            <wp:docPr id="2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7.png"/>
                    <pic:cNvPicPr/>
                  </pic:nvPicPr>
                  <pic:blipFill>
                    <a:blip xmlns:r="http://schemas.openxmlformats.org/officeDocument/2006/relationships" r:embed="rId19" cstate="print"/>
                    <a:stretch>
                      <a:fillRect/>
                    </a:stretch>
                  </pic:blipFill>
                  <pic:spPr>
                    <a:xfrm>
                      <a:off x="0" y="0"/>
                      <a:ext cx="191536" cy="95250"/>
                    </a:xfrm>
                    <a:prstGeom prst="rect">
                      <a:avLst/>
                    </a:prstGeom>
                  </pic:spPr>
                </pic:pic>
              </a:graphicData>
            </a:graphic>
          </wp:anchor>
        </w:drawing>
      </w:r>
      <w:r>
        <w:t>实现水样采集、水样分析、分析数据实时上传及统计等功能的软硬件设施组成的系统。</w:t>
      </w:r>
    </w:p>
    <w:p>
      <w:pPr>
        <w:pStyle w:val="BodyText"/>
        <w:spacing w:before="70"/>
        <w:ind w:left="1313"/>
        <w:rPr>
          <w:rFonts w:ascii="黑体" w:eastAsia="黑体" w:hint="eastAsia"/>
        </w:rPr>
      </w:pPr>
      <w:r>
        <w:rPr>
          <w:rFonts w:ascii="黑体" w:eastAsia="黑体" w:hint="eastAsia"/>
        </w:rPr>
        <w:t>危险废物 hazardous wastes</w:t>
      </w:r>
    </w:p>
    <w:p>
      <w:pPr>
        <w:pStyle w:val="BodyText"/>
        <w:spacing w:before="43" w:line="278" w:lineRule="auto"/>
        <w:ind w:left="892" w:right="1152" w:firstLine="420"/>
      </w:pPr>
      <w:r>
        <w:drawing>
          <wp:anchor distT="0" distB="0" distL="0" distR="0" simplePos="0" relativeHeight="251672576" behindDoc="0" locked="0" layoutInCell="1" allowOverlap="1">
            <wp:simplePos x="0" y="0"/>
            <wp:positionH relativeFrom="page">
              <wp:posOffset>725477</wp:posOffset>
            </wp:positionH>
            <wp:positionV relativeFrom="paragraph">
              <wp:posOffset>463223</wp:posOffset>
            </wp:positionV>
            <wp:extent cx="194627" cy="95250"/>
            <wp:effectExtent l="0" t="0" r="0" b="0"/>
            <wp:wrapTopAndBottom/>
            <wp:docPr id="2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8.png"/>
                    <pic:cNvPicPr/>
                  </pic:nvPicPr>
                  <pic:blipFill>
                    <a:blip xmlns:r="http://schemas.openxmlformats.org/officeDocument/2006/relationships" r:embed="rId20" cstate="print"/>
                    <a:stretch>
                      <a:fillRect/>
                    </a:stretch>
                  </pic:blipFill>
                  <pic:spPr>
                    <a:xfrm>
                      <a:off x="0" y="0"/>
                      <a:ext cx="194627" cy="95250"/>
                    </a:xfrm>
                    <a:prstGeom prst="rect">
                      <a:avLst/>
                    </a:prstGeom>
                  </pic:spPr>
                </pic:pic>
              </a:graphicData>
            </a:graphic>
          </wp:anchor>
        </w:drawing>
      </w:r>
      <w:r>
        <w:rPr>
          <w:spacing w:val="-12"/>
        </w:rPr>
        <w:t>列入《国家危险废物名录》或根据国家规定的危险废物鉴定标准和鉴定方法认定的具有危险特性的废物。</w:t>
      </w:r>
    </w:p>
    <w:p>
      <w:pPr>
        <w:pStyle w:val="BodyText"/>
        <w:spacing w:before="70"/>
        <w:ind w:left="1313"/>
        <w:rPr>
          <w:rFonts w:ascii="黑体" w:eastAsia="黑体" w:hint="eastAsia"/>
        </w:rPr>
      </w:pPr>
      <w:r>
        <w:rPr>
          <w:rFonts w:ascii="黑体" w:eastAsia="黑体" w:hint="eastAsia"/>
        </w:rPr>
        <w:t>一体化预制泵站 Integrated prefabricated pumping station</w:t>
      </w:r>
    </w:p>
    <w:p>
      <w:pPr>
        <w:pStyle w:val="BodyText"/>
        <w:spacing w:before="43" w:line="278" w:lineRule="auto"/>
        <w:ind w:left="892" w:right="1152" w:firstLine="420"/>
      </w:pPr>
      <w:r>
        <w:drawing>
          <wp:anchor distT="0" distB="0" distL="0" distR="0" simplePos="0" relativeHeight="251673600" behindDoc="0" locked="0" layoutInCell="1" allowOverlap="1">
            <wp:simplePos x="0" y="0"/>
            <wp:positionH relativeFrom="page">
              <wp:posOffset>725441</wp:posOffset>
            </wp:positionH>
            <wp:positionV relativeFrom="paragraph">
              <wp:posOffset>463150</wp:posOffset>
            </wp:positionV>
            <wp:extent cx="192207" cy="93344"/>
            <wp:effectExtent l="0" t="0" r="0" b="0"/>
            <wp:wrapTopAndBottom/>
            <wp:docPr id="2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9.png"/>
                    <pic:cNvPicPr/>
                  </pic:nvPicPr>
                  <pic:blipFill>
                    <a:blip xmlns:r="http://schemas.openxmlformats.org/officeDocument/2006/relationships" r:embed="rId21" cstate="print"/>
                    <a:stretch>
                      <a:fillRect/>
                    </a:stretch>
                  </pic:blipFill>
                  <pic:spPr>
                    <a:xfrm>
                      <a:off x="0" y="0"/>
                      <a:ext cx="192207" cy="93344"/>
                    </a:xfrm>
                    <a:prstGeom prst="rect">
                      <a:avLst/>
                    </a:prstGeom>
                  </pic:spPr>
                </pic:pic>
              </a:graphicData>
            </a:graphic>
          </wp:anchor>
        </w:drawing>
      </w:r>
      <w:r>
        <w:rPr>
          <w:spacing w:val="-10"/>
        </w:rPr>
        <w:t>将泵、管道、控制系统和通风系统等集成为一体，并在工厂预制生产，用于提升和输送水介质的泵站。</w:t>
      </w:r>
    </w:p>
    <w:p>
      <w:pPr>
        <w:pStyle w:val="BodyText"/>
        <w:spacing w:before="73"/>
        <w:ind w:left="1313"/>
        <w:rPr>
          <w:rFonts w:ascii="黑体" w:eastAsia="黑体" w:hint="eastAsia"/>
        </w:rPr>
      </w:pPr>
      <w:r>
        <w:rPr>
          <w:rFonts w:ascii="黑体" w:eastAsia="黑体" w:hint="eastAsia"/>
        </w:rPr>
        <w:t>绩效管理 performance management</w:t>
      </w:r>
    </w:p>
    <w:p>
      <w:pPr>
        <w:pStyle w:val="BodyText"/>
        <w:spacing w:before="44"/>
        <w:ind w:left="1313"/>
      </w:pPr>
      <w:r>
        <w:t>在项目全生命周期开展的绩效目标和指标管理、绩效监控、绩效评价及结果应用等项目管理活动。</w:t>
      </w:r>
    </w:p>
    <w:p>
      <w:pPr>
        <w:pStyle w:val="BodyText"/>
        <w:spacing w:before="9"/>
        <w:rPr>
          <w:sz w:val="27"/>
        </w:rPr>
      </w:pPr>
    </w:p>
    <w:p>
      <w:pPr>
        <w:pStyle w:val="ListParagraph"/>
        <w:numPr>
          <w:ilvl w:val="0"/>
          <w:numId w:val="25"/>
        </w:numPr>
        <w:tabs>
          <w:tab w:val="left" w:pos="1208"/>
        </w:tabs>
        <w:spacing w:before="0" w:after="0" w:line="240" w:lineRule="auto"/>
        <w:ind w:left="1207" w:right="0" w:hanging="316"/>
        <w:jc w:val="left"/>
        <w:rPr>
          <w:rFonts w:ascii="黑体" w:eastAsia="黑体" w:hint="eastAsia"/>
          <w:sz w:val="21"/>
        </w:rPr>
      </w:pPr>
      <w:r>
        <w:rPr>
          <w:rFonts w:ascii="黑体" w:eastAsia="黑体" w:hint="eastAsia"/>
          <w:spacing w:val="-1"/>
          <w:sz w:val="21"/>
        </w:rPr>
        <w:t>基本规定</w:t>
      </w:r>
    </w:p>
    <w:p>
      <w:pPr>
        <w:pStyle w:val="BodyText"/>
        <w:spacing w:before="9"/>
        <w:rPr>
          <w:rFonts w:ascii="黑体"/>
          <w:sz w:val="27"/>
        </w:rPr>
      </w:pPr>
    </w:p>
    <w:p>
      <w:pPr>
        <w:pStyle w:val="ListParagraph"/>
        <w:numPr>
          <w:ilvl w:val="1"/>
          <w:numId w:val="25"/>
        </w:numPr>
        <w:tabs>
          <w:tab w:val="left" w:pos="1316"/>
        </w:tabs>
        <w:spacing w:before="0" w:after="0" w:line="278" w:lineRule="auto"/>
        <w:ind w:left="892" w:right="1154" w:firstLine="0"/>
        <w:jc w:val="left"/>
        <w:rPr>
          <w:sz w:val="21"/>
        </w:rPr>
      </w:pPr>
      <w:r>
        <w:rPr>
          <w:spacing w:val="-10"/>
          <w:sz w:val="21"/>
        </w:rPr>
        <w:t>项目竣工验收后，建设单位应及时向行业主管部门、建设单位和运维单位做好档案移交，经审批通</w:t>
      </w:r>
      <w:r>
        <w:rPr>
          <w:spacing w:val="-5"/>
          <w:sz w:val="21"/>
        </w:rPr>
        <w:t>过后方可进入正常运营。</w:t>
      </w:r>
    </w:p>
    <w:p>
      <w:pPr>
        <w:pStyle w:val="ListParagraph"/>
        <w:numPr>
          <w:ilvl w:val="1"/>
          <w:numId w:val="25"/>
        </w:numPr>
        <w:tabs>
          <w:tab w:val="left" w:pos="1316"/>
        </w:tabs>
        <w:spacing w:before="0" w:after="0" w:line="278" w:lineRule="auto"/>
        <w:ind w:left="892" w:right="1152" w:firstLine="0"/>
        <w:jc w:val="left"/>
        <w:rPr>
          <w:sz w:val="21"/>
        </w:rPr>
      </w:pPr>
      <w:r>
        <w:rPr>
          <w:spacing w:val="-7"/>
          <w:sz w:val="21"/>
        </w:rPr>
        <w:t>运维单位应依据本规程制定相应的运行维护管理制度体系，包括但不限于岗位责任、培训考核、工</w:t>
      </w:r>
      <w:r>
        <w:rPr>
          <w:spacing w:val="-5"/>
          <w:sz w:val="21"/>
        </w:rPr>
        <w:t>作流程、运维手册、记录评估、安全生产等规章制度，并定期修订。</w:t>
      </w:r>
    </w:p>
    <w:p>
      <w:pPr>
        <w:spacing w:before="104"/>
        <w:ind w:left="1090" w:right="0" w:firstLine="0"/>
        <w:jc w:val="left"/>
        <w:rPr>
          <w:sz w:val="18"/>
        </w:rPr>
      </w:pPr>
      <w:r>
        <w:rPr>
          <w:sz w:val="18"/>
        </w:rPr>
        <w:t xml:space="preserve">2 </w:t>
      </w:r>
    </w:p>
    <w:p>
      <w:pPr>
        <w:spacing w:after="0"/>
        <w:jc w:val="left"/>
        <w:rPr>
          <w:sz w:val="18"/>
        </w:rPr>
        <w:sectPr>
          <w:headerReference w:type="even" r:id="rId22"/>
          <w:headerReference w:type="default" r:id="rId23"/>
          <w:pgSz w:w="11910" w:h="16840"/>
          <w:pgMar w:top="1640" w:right="260" w:bottom="280" w:left="240" w:header="1448" w:footer="0"/>
          <w:pgNumType w:start="9"/>
          <w:cols w:space="708"/>
        </w:sectPr>
      </w:pPr>
    </w:p>
    <w:p>
      <w:pPr>
        <w:pStyle w:val="BodyText"/>
        <w:spacing w:before="1"/>
        <w:rPr>
          <w:sz w:val="17"/>
        </w:rPr>
      </w:pPr>
    </w:p>
    <w:p>
      <w:pPr>
        <w:pStyle w:val="ListParagraph"/>
        <w:numPr>
          <w:ilvl w:val="1"/>
          <w:numId w:val="25"/>
        </w:numPr>
        <w:tabs>
          <w:tab w:val="left" w:pos="1602"/>
        </w:tabs>
        <w:spacing w:before="72" w:after="0" w:line="278" w:lineRule="auto"/>
        <w:ind w:left="1178" w:right="868" w:firstLine="0"/>
        <w:jc w:val="left"/>
        <w:rPr>
          <w:sz w:val="21"/>
        </w:rPr>
      </w:pPr>
      <w:r>
        <w:rPr>
          <w:spacing w:val="-10"/>
          <w:sz w:val="21"/>
        </w:rPr>
        <w:t>运行管理、操作和维护人员应掌握处理工艺和设施、设备的运行、维护要求、技术指标、安全规程</w:t>
      </w:r>
      <w:r>
        <w:rPr>
          <w:spacing w:val="-5"/>
          <w:sz w:val="21"/>
        </w:rPr>
        <w:t>及保养要求。</w:t>
      </w:r>
    </w:p>
    <w:p>
      <w:pPr>
        <w:pStyle w:val="ListParagraph"/>
        <w:numPr>
          <w:ilvl w:val="1"/>
          <w:numId w:val="25"/>
        </w:numPr>
        <w:tabs>
          <w:tab w:val="left" w:pos="1602"/>
        </w:tabs>
        <w:spacing w:before="0" w:after="0" w:line="278" w:lineRule="auto"/>
        <w:ind w:left="1178" w:right="868" w:firstLine="0"/>
        <w:jc w:val="left"/>
        <w:rPr>
          <w:sz w:val="21"/>
        </w:rPr>
      </w:pPr>
      <w:r>
        <w:rPr>
          <w:spacing w:val="-6"/>
          <w:sz w:val="21"/>
        </w:rPr>
        <w:t>运维单位宜实施厂网统一管理，并安排专人</w:t>
      </w:r>
      <w:r>
        <w:rPr>
          <w:spacing w:val="-3"/>
          <w:sz w:val="21"/>
        </w:rPr>
        <w:t>（</w:t>
      </w:r>
      <w:r>
        <w:rPr>
          <w:sz w:val="21"/>
        </w:rPr>
        <w:t>部门</w:t>
      </w:r>
      <w:r>
        <w:rPr>
          <w:spacing w:val="-27"/>
          <w:sz w:val="21"/>
        </w:rPr>
        <w:t>）</w:t>
      </w:r>
      <w:r>
        <w:rPr>
          <w:spacing w:val="-5"/>
          <w:sz w:val="21"/>
        </w:rPr>
        <w:t>负责乡镇污水收集设施的运维，也可利用外包服务。</w:t>
      </w:r>
    </w:p>
    <w:p>
      <w:pPr>
        <w:pStyle w:val="ListParagraph"/>
        <w:numPr>
          <w:ilvl w:val="1"/>
          <w:numId w:val="25"/>
        </w:numPr>
        <w:tabs>
          <w:tab w:val="left" w:pos="1602"/>
        </w:tabs>
        <w:spacing w:before="0" w:after="0" w:line="269" w:lineRule="exact"/>
        <w:ind w:left="1601" w:right="0" w:hanging="424"/>
        <w:jc w:val="left"/>
        <w:rPr>
          <w:sz w:val="21"/>
        </w:rPr>
      </w:pPr>
      <w:r>
        <w:rPr>
          <w:spacing w:val="-3"/>
          <w:sz w:val="21"/>
        </w:rPr>
        <w:t>乡镇生活污水处理厂应保持连续运行，不得擅自停运。</w:t>
      </w:r>
    </w:p>
    <w:p>
      <w:pPr>
        <w:pStyle w:val="ListParagraph"/>
        <w:numPr>
          <w:ilvl w:val="1"/>
          <w:numId w:val="25"/>
        </w:numPr>
        <w:tabs>
          <w:tab w:val="left" w:pos="1652"/>
        </w:tabs>
        <w:spacing w:before="43" w:after="0" w:line="278" w:lineRule="auto"/>
        <w:ind w:left="1178" w:right="871" w:firstLine="0"/>
        <w:jc w:val="left"/>
        <w:rPr>
          <w:sz w:val="21"/>
        </w:rPr>
      </w:pPr>
      <w:r>
        <w:rPr>
          <w:spacing w:val="-1"/>
          <w:sz w:val="21"/>
        </w:rPr>
        <w:t>污水处理设施的出水水质应达到设计标准或当地政府部门新要求的水质标准，且满足当地环保部门的要求。</w:t>
      </w:r>
    </w:p>
    <w:p>
      <w:pPr>
        <w:pStyle w:val="ListParagraph"/>
        <w:numPr>
          <w:ilvl w:val="1"/>
          <w:numId w:val="25"/>
        </w:numPr>
        <w:tabs>
          <w:tab w:val="left" w:pos="1602"/>
        </w:tabs>
        <w:spacing w:before="0" w:after="0" w:line="269" w:lineRule="exact"/>
        <w:ind w:left="1601" w:right="0" w:hanging="424"/>
        <w:jc w:val="left"/>
        <w:rPr>
          <w:sz w:val="21"/>
        </w:rPr>
      </w:pPr>
      <w:r>
        <w:rPr>
          <w:spacing w:val="-11"/>
          <w:sz w:val="21"/>
        </w:rPr>
        <w:t>管道污泥的采集、运输、处理与处置，应符合现行标准《城镇排水管道维护安全技术规程》</w:t>
      </w:r>
      <w:r>
        <w:rPr>
          <w:rFonts w:ascii="Calibri" w:eastAsia="Calibri"/>
          <w:sz w:val="21"/>
        </w:rPr>
        <w:t>CJJ</w:t>
      </w:r>
      <w:r>
        <w:rPr>
          <w:rFonts w:ascii="Calibri" w:eastAsia="Calibri"/>
          <w:spacing w:val="-14"/>
          <w:sz w:val="21"/>
        </w:rPr>
        <w:t xml:space="preserve"> </w:t>
      </w:r>
      <w:r>
        <w:rPr>
          <w:rFonts w:ascii="Calibri" w:eastAsia="Calibri"/>
          <w:sz w:val="21"/>
        </w:rPr>
        <w:t>6</w:t>
      </w:r>
      <w:r>
        <w:rPr>
          <w:rFonts w:ascii="Calibri" w:eastAsia="Calibri"/>
          <w:spacing w:val="4"/>
          <w:sz w:val="21"/>
        </w:rPr>
        <w:t xml:space="preserve"> </w:t>
      </w:r>
      <w:r>
        <w:rPr>
          <w:sz w:val="21"/>
        </w:rPr>
        <w:t>和</w:t>
      </w:r>
    </w:p>
    <w:p>
      <w:pPr>
        <w:pStyle w:val="BodyText"/>
        <w:spacing w:before="43"/>
        <w:ind w:left="1178"/>
      </w:pPr>
      <w:r>
        <w:t>《城镇排水管渠与泵站运行、维护及安全技术规程》</w:t>
      </w:r>
      <w:r>
        <w:rPr>
          <w:rFonts w:ascii="Calibri" w:eastAsia="Calibri"/>
        </w:rPr>
        <w:t xml:space="preserve">CJ 68 </w:t>
      </w:r>
      <w:r>
        <w:t>的有关规定。</w:t>
      </w:r>
    </w:p>
    <w:p>
      <w:pPr>
        <w:pStyle w:val="ListParagraph"/>
        <w:numPr>
          <w:ilvl w:val="1"/>
          <w:numId w:val="25"/>
        </w:numPr>
        <w:tabs>
          <w:tab w:val="left" w:pos="1602"/>
        </w:tabs>
        <w:spacing w:before="43" w:after="0" w:line="240" w:lineRule="auto"/>
        <w:ind w:left="1601" w:right="0" w:hanging="424"/>
        <w:jc w:val="both"/>
        <w:rPr>
          <w:sz w:val="21"/>
        </w:rPr>
      </w:pPr>
      <w:r>
        <w:rPr>
          <w:spacing w:val="-3"/>
          <w:sz w:val="21"/>
        </w:rPr>
        <w:t>乡镇生活污水处理厂应结合当地条件，鼓励开展水资源综合回用。</w:t>
      </w:r>
    </w:p>
    <w:p>
      <w:pPr>
        <w:pStyle w:val="ListParagraph"/>
        <w:numPr>
          <w:ilvl w:val="1"/>
          <w:numId w:val="25"/>
        </w:numPr>
        <w:tabs>
          <w:tab w:val="left" w:pos="1602"/>
        </w:tabs>
        <w:spacing w:before="43" w:after="0" w:line="278" w:lineRule="auto"/>
        <w:ind w:left="1178" w:right="868" w:firstLine="0"/>
        <w:jc w:val="both"/>
        <w:rPr>
          <w:sz w:val="21"/>
        </w:rPr>
      </w:pPr>
      <w:r>
        <w:rPr>
          <w:spacing w:val="-8"/>
          <w:sz w:val="21"/>
        </w:rPr>
        <w:t>突发公共卫生事件或传染病流行期间，运维单位在做好疫情防控宣传和防护措施的同时，应做好职</w:t>
      </w:r>
      <w:r>
        <w:rPr>
          <w:spacing w:val="-10"/>
          <w:sz w:val="21"/>
        </w:rPr>
        <w:t>责范围内的防疫工作，加强污水管网系统的巡查，处理检查井井盖丢失、污水外溢等问题。应确保污水</w:t>
      </w:r>
      <w:r>
        <w:rPr>
          <w:spacing w:val="-3"/>
          <w:sz w:val="21"/>
        </w:rPr>
        <w:t>处理厂正常运行，并加大消毒剂的投加量，加强水质监测，确保污水达标排放。</w:t>
      </w:r>
    </w:p>
    <w:p>
      <w:pPr>
        <w:pStyle w:val="ListParagraph"/>
        <w:numPr>
          <w:ilvl w:val="1"/>
          <w:numId w:val="25"/>
        </w:numPr>
        <w:tabs>
          <w:tab w:val="left" w:pos="1705"/>
        </w:tabs>
        <w:spacing w:before="0" w:after="0" w:line="240" w:lineRule="auto"/>
        <w:ind w:left="1704" w:right="0" w:hanging="527"/>
        <w:jc w:val="both"/>
        <w:rPr>
          <w:sz w:val="21"/>
        </w:rPr>
      </w:pPr>
      <w:r>
        <w:rPr>
          <w:spacing w:val="-3"/>
          <w:sz w:val="21"/>
        </w:rPr>
        <w:t>乡镇生活污水处理厂运营维护宜以标准化和信息化为支撑，实施智慧化运营。</w:t>
      </w:r>
    </w:p>
    <w:p>
      <w:pPr>
        <w:pStyle w:val="ListParagraph"/>
        <w:numPr>
          <w:ilvl w:val="1"/>
          <w:numId w:val="25"/>
        </w:numPr>
        <w:tabs>
          <w:tab w:val="left" w:pos="1705"/>
        </w:tabs>
        <w:spacing w:before="43" w:after="0" w:line="240" w:lineRule="auto"/>
        <w:ind w:left="1704" w:right="0" w:hanging="527"/>
        <w:jc w:val="both"/>
        <w:rPr>
          <w:sz w:val="21"/>
        </w:rPr>
      </w:pPr>
      <w:r>
        <w:rPr>
          <w:spacing w:val="-3"/>
          <w:sz w:val="21"/>
        </w:rPr>
        <w:t>各类设施、设备的运行维护除应符合本规程要求外，还应满足产品说明书中操作规范的要求。</w:t>
      </w:r>
    </w:p>
    <w:p>
      <w:pPr>
        <w:pStyle w:val="BodyText"/>
        <w:spacing w:before="9"/>
        <w:rPr>
          <w:sz w:val="27"/>
        </w:rPr>
      </w:pPr>
    </w:p>
    <w:p>
      <w:pPr>
        <w:pStyle w:val="ListParagraph"/>
        <w:numPr>
          <w:ilvl w:val="0"/>
          <w:numId w:val="25"/>
        </w:numPr>
        <w:tabs>
          <w:tab w:val="left" w:pos="1494"/>
        </w:tabs>
        <w:spacing w:before="0" w:after="0" w:line="240" w:lineRule="auto"/>
        <w:ind w:left="1493" w:right="0" w:hanging="316"/>
        <w:jc w:val="both"/>
        <w:rPr>
          <w:rFonts w:ascii="黑体" w:eastAsia="黑体" w:hint="eastAsia"/>
          <w:sz w:val="21"/>
        </w:rPr>
      </w:pPr>
      <w:r>
        <w:rPr>
          <w:rFonts w:ascii="黑体" w:eastAsia="黑体" w:hint="eastAsia"/>
          <w:spacing w:val="-3"/>
          <w:sz w:val="21"/>
        </w:rPr>
        <w:t>污水收集及排放设施</w:t>
      </w:r>
    </w:p>
    <w:p>
      <w:pPr>
        <w:pStyle w:val="BodyText"/>
        <w:spacing w:before="9"/>
        <w:rPr>
          <w:rFonts w:ascii="黑体"/>
          <w:sz w:val="27"/>
        </w:rPr>
      </w:pPr>
    </w:p>
    <w:p>
      <w:pPr>
        <w:pStyle w:val="ListParagraph"/>
        <w:numPr>
          <w:ilvl w:val="1"/>
          <w:numId w:val="25"/>
        </w:numPr>
        <w:tabs>
          <w:tab w:val="left" w:pos="1602"/>
        </w:tabs>
        <w:spacing w:before="0" w:after="0" w:line="240" w:lineRule="auto"/>
        <w:ind w:left="1601" w:right="0" w:hanging="424"/>
        <w:jc w:val="both"/>
        <w:rPr>
          <w:rFonts w:ascii="黑体" w:eastAsia="黑体" w:hint="eastAsia"/>
          <w:sz w:val="21"/>
        </w:rPr>
      </w:pPr>
      <w:r>
        <w:rPr>
          <w:rFonts w:ascii="黑体" w:eastAsia="黑体" w:hint="eastAsia"/>
          <w:spacing w:val="-3"/>
          <w:sz w:val="21"/>
        </w:rPr>
        <w:t>一般规定</w:t>
      </w:r>
    </w:p>
    <w:p>
      <w:pPr>
        <w:pStyle w:val="BodyText"/>
        <w:spacing w:before="6"/>
        <w:rPr>
          <w:rFonts w:ascii="黑体"/>
          <w:sz w:val="15"/>
        </w:rPr>
      </w:pPr>
    </w:p>
    <w:p>
      <w:pPr>
        <w:pStyle w:val="ListParagraph"/>
        <w:numPr>
          <w:ilvl w:val="2"/>
          <w:numId w:val="25"/>
        </w:numPr>
        <w:tabs>
          <w:tab w:val="left" w:pos="1758"/>
        </w:tabs>
        <w:spacing w:before="0" w:after="0" w:line="278" w:lineRule="auto"/>
        <w:ind w:left="1178" w:right="866" w:firstLine="0"/>
        <w:jc w:val="both"/>
        <w:rPr>
          <w:sz w:val="21"/>
        </w:rPr>
      </w:pPr>
      <w:r>
        <w:drawing>
          <wp:anchor distT="0" distB="0" distL="0" distR="0" simplePos="0" relativeHeight="251675648" behindDoc="0" locked="0" layoutInCell="1" allowOverlap="1">
            <wp:simplePos x="0" y="0"/>
            <wp:positionH relativeFrom="page">
              <wp:posOffset>215900</wp:posOffset>
            </wp:positionH>
            <wp:positionV relativeFrom="paragraph">
              <wp:posOffset>141859</wp:posOffset>
            </wp:positionV>
            <wp:extent cx="7112000" cy="4876800"/>
            <wp:effectExtent l="0" t="0" r="0" b="0"/>
            <wp:wrapNone/>
            <wp:docPr id="2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1.png"/>
                    <pic:cNvPicPr/>
                  </pic:nvPicPr>
                  <pic:blipFill>
                    <a:blip xmlns:r="http://schemas.openxmlformats.org/officeDocument/2006/relationships" r:embed="rId4" cstate="print"/>
                    <a:stretch>
                      <a:fillRect/>
                    </a:stretch>
                  </pic:blipFill>
                  <pic:spPr>
                    <a:xfrm>
                      <a:off x="0" y="0"/>
                      <a:ext cx="7112000" cy="4876800"/>
                    </a:xfrm>
                    <a:prstGeom prst="rect">
                      <a:avLst/>
                    </a:prstGeom>
                  </pic:spPr>
                </pic:pic>
              </a:graphicData>
            </a:graphic>
          </wp:anchor>
        </w:drawing>
      </w:r>
      <w:r>
        <w:rPr>
          <w:spacing w:val="-4"/>
          <w:sz w:val="21"/>
        </w:rPr>
        <w:t>乡镇污水收集及排放设施的运行维护包括对污水收集管道</w:t>
      </w:r>
      <w:r>
        <w:rPr>
          <w:sz w:val="21"/>
        </w:rPr>
        <w:t>（</w:t>
      </w:r>
      <w:r>
        <w:rPr>
          <w:spacing w:val="-5"/>
          <w:sz w:val="21"/>
        </w:rPr>
        <w:t>小区与市政管网间的接户管、支管和干管</w:t>
      </w:r>
      <w:r>
        <w:rPr>
          <w:spacing w:val="-108"/>
          <w:sz w:val="21"/>
        </w:rPr>
        <w:t>）</w:t>
      </w:r>
      <w:r>
        <w:rPr>
          <w:spacing w:val="-8"/>
          <w:sz w:val="21"/>
        </w:rPr>
        <w:t>、倒虹管、检查井</w:t>
      </w:r>
      <w:r>
        <w:rPr>
          <w:spacing w:val="-3"/>
          <w:sz w:val="21"/>
        </w:rPr>
        <w:t>（</w:t>
      </w:r>
      <w:r>
        <w:rPr>
          <w:spacing w:val="-7"/>
          <w:sz w:val="21"/>
        </w:rPr>
        <w:t>含截污井、闸门井、阀门井、小区与市政管网间的接户井</w:t>
      </w:r>
      <w:r>
        <w:rPr>
          <w:spacing w:val="-106"/>
          <w:sz w:val="21"/>
        </w:rPr>
        <w:t>）</w:t>
      </w:r>
      <w:r>
        <w:rPr>
          <w:spacing w:val="-7"/>
          <w:sz w:val="21"/>
        </w:rPr>
        <w:t>、排放口、排水泵</w:t>
      </w:r>
      <w:r>
        <w:rPr>
          <w:spacing w:val="-5"/>
          <w:sz w:val="21"/>
        </w:rPr>
        <w:t>站等的定期巡检、养护。</w:t>
      </w:r>
    </w:p>
    <w:p>
      <w:pPr>
        <w:pStyle w:val="ListParagraph"/>
        <w:numPr>
          <w:ilvl w:val="2"/>
          <w:numId w:val="25"/>
        </w:numPr>
        <w:tabs>
          <w:tab w:val="left" w:pos="1758"/>
        </w:tabs>
        <w:spacing w:before="1" w:after="0" w:line="278" w:lineRule="auto"/>
        <w:ind w:left="1178" w:right="869" w:firstLine="0"/>
        <w:jc w:val="both"/>
        <w:rPr>
          <w:sz w:val="21"/>
        </w:rPr>
      </w:pPr>
      <w:r>
        <w:rPr>
          <w:spacing w:val="-6"/>
          <w:sz w:val="21"/>
        </w:rPr>
        <w:t>分流制排水系统中或局部实现雨污分流的区域，雨水与污水管道不应混接。投入运维的分流制排</w:t>
      </w:r>
      <w:r>
        <w:rPr>
          <w:spacing w:val="-12"/>
          <w:sz w:val="21"/>
        </w:rPr>
        <w:t>水系统中，任何单位及个人不应将雨水</w:t>
      </w:r>
      <w:r>
        <w:rPr>
          <w:sz w:val="21"/>
        </w:rPr>
        <w:t>（</w:t>
      </w:r>
      <w:r>
        <w:rPr>
          <w:spacing w:val="-3"/>
          <w:sz w:val="21"/>
        </w:rPr>
        <w:t>或污水</w:t>
      </w:r>
      <w:r>
        <w:rPr>
          <w:spacing w:val="-44"/>
          <w:sz w:val="21"/>
        </w:rPr>
        <w:t>）</w:t>
      </w:r>
      <w:r>
        <w:rPr>
          <w:spacing w:val="-11"/>
          <w:sz w:val="21"/>
        </w:rPr>
        <w:t>管道接入污水</w:t>
      </w:r>
      <w:r>
        <w:rPr>
          <w:spacing w:val="-3"/>
          <w:sz w:val="21"/>
        </w:rPr>
        <w:t>（</w:t>
      </w:r>
      <w:r>
        <w:rPr>
          <w:spacing w:val="-2"/>
          <w:sz w:val="21"/>
        </w:rPr>
        <w:t>或雨水</w:t>
      </w:r>
      <w:r>
        <w:rPr>
          <w:spacing w:val="-46"/>
          <w:sz w:val="21"/>
        </w:rPr>
        <w:t>）</w:t>
      </w:r>
      <w:r>
        <w:rPr>
          <w:spacing w:val="-11"/>
          <w:sz w:val="21"/>
        </w:rPr>
        <w:t>管，不应破坏雨、污水管道。</w:t>
      </w:r>
    </w:p>
    <w:p>
      <w:pPr>
        <w:pStyle w:val="ListParagraph"/>
        <w:numPr>
          <w:ilvl w:val="2"/>
          <w:numId w:val="25"/>
        </w:numPr>
        <w:tabs>
          <w:tab w:val="left" w:pos="1758"/>
        </w:tabs>
        <w:spacing w:before="0" w:after="0" w:line="278" w:lineRule="auto"/>
        <w:ind w:left="1178" w:right="869" w:firstLine="0"/>
        <w:jc w:val="both"/>
        <w:rPr>
          <w:sz w:val="21"/>
        </w:rPr>
      </w:pPr>
      <w:r>
        <w:rPr>
          <w:spacing w:val="-6"/>
          <w:sz w:val="21"/>
        </w:rPr>
        <w:t>运维单位宜在排水泵站、溢流口、埋地管道</w:t>
      </w:r>
      <w:r>
        <w:rPr>
          <w:sz w:val="21"/>
        </w:rPr>
        <w:t>（</w:t>
      </w:r>
      <w:r>
        <w:rPr>
          <w:spacing w:val="-7"/>
          <w:sz w:val="21"/>
        </w:rPr>
        <w:t>特别是农田、菜地、山林、居民房前屋后、河沟边等）</w:t>
      </w:r>
      <w:r>
        <w:rPr>
          <w:spacing w:val="-3"/>
          <w:sz w:val="21"/>
        </w:rPr>
        <w:t>上方等处地面以上设置醒目清晰的标识，并公开专用于群众反馈的联系方式。</w:t>
      </w:r>
    </w:p>
    <w:p>
      <w:pPr>
        <w:pStyle w:val="ListParagraph"/>
        <w:numPr>
          <w:ilvl w:val="2"/>
          <w:numId w:val="25"/>
        </w:numPr>
        <w:tabs>
          <w:tab w:val="left" w:pos="1758"/>
        </w:tabs>
        <w:spacing w:before="0" w:after="0" w:line="278" w:lineRule="auto"/>
        <w:ind w:left="1178" w:right="761" w:firstLine="0"/>
        <w:jc w:val="both"/>
        <w:rPr>
          <w:sz w:val="21"/>
        </w:rPr>
      </w:pPr>
      <w:r>
        <w:rPr>
          <w:spacing w:val="-6"/>
          <w:sz w:val="21"/>
        </w:rPr>
        <w:t>服务范围内有新增污水排放单位或新建住宅时，应及时向主管部门汇报，将符合要求的新增污水</w:t>
      </w:r>
      <w:r>
        <w:rPr>
          <w:spacing w:val="-10"/>
          <w:sz w:val="21"/>
        </w:rPr>
        <w:t>量接入污水管网系统。新增医疗机构的废水需经当地卫生、环保部门同意，达到《医疗机构水污染排放</w:t>
      </w:r>
      <w:r>
        <w:rPr>
          <w:spacing w:val="-42"/>
          <w:sz w:val="21"/>
        </w:rPr>
        <w:t>标准》</w:t>
      </w:r>
      <w:r>
        <w:rPr>
          <w:sz w:val="21"/>
        </w:rPr>
        <w:t>（</w:t>
      </w:r>
      <w:r>
        <w:rPr>
          <w:rFonts w:ascii="Calibri" w:eastAsia="Calibri"/>
          <w:sz w:val="21"/>
        </w:rPr>
        <w:t>GB</w:t>
      </w:r>
      <w:r>
        <w:rPr>
          <w:rFonts w:ascii="Calibri" w:eastAsia="Calibri"/>
          <w:spacing w:val="37"/>
          <w:sz w:val="21"/>
        </w:rPr>
        <w:t xml:space="preserve"> </w:t>
      </w:r>
      <w:r>
        <w:rPr>
          <w:rFonts w:ascii="Calibri" w:eastAsia="Calibri"/>
          <w:sz w:val="21"/>
        </w:rPr>
        <w:t>18466</w:t>
      </w:r>
      <w:r>
        <w:rPr>
          <w:sz w:val="21"/>
        </w:rPr>
        <w:t>）</w:t>
      </w:r>
      <w:r>
        <w:rPr>
          <w:spacing w:val="-10"/>
          <w:sz w:val="21"/>
        </w:rPr>
        <w:t>和《污水排入城镇下水道水质标准》</w:t>
      </w:r>
      <w:r>
        <w:rPr>
          <w:sz w:val="21"/>
        </w:rPr>
        <w:t>（</w:t>
      </w:r>
      <w:r>
        <w:rPr>
          <w:rFonts w:ascii="Calibri" w:eastAsia="Calibri"/>
          <w:sz w:val="21"/>
        </w:rPr>
        <w:t>GB/T</w:t>
      </w:r>
      <w:r>
        <w:rPr>
          <w:rFonts w:ascii="Calibri" w:eastAsia="Calibri"/>
          <w:spacing w:val="38"/>
          <w:sz w:val="21"/>
        </w:rPr>
        <w:t xml:space="preserve"> </w:t>
      </w:r>
      <w:r>
        <w:rPr>
          <w:rFonts w:ascii="Calibri" w:eastAsia="Calibri"/>
          <w:sz w:val="21"/>
        </w:rPr>
        <w:t>31962</w:t>
      </w:r>
      <w:r>
        <w:rPr>
          <w:sz w:val="21"/>
        </w:rPr>
        <w:t>）</w:t>
      </w:r>
      <w:r>
        <w:rPr>
          <w:spacing w:val="-3"/>
          <w:sz w:val="21"/>
        </w:rPr>
        <w:t>方可接入乡镇生活污水处理厂。</w:t>
      </w:r>
    </w:p>
    <w:p>
      <w:pPr>
        <w:pStyle w:val="ListParagraph"/>
        <w:numPr>
          <w:ilvl w:val="2"/>
          <w:numId w:val="25"/>
        </w:numPr>
        <w:tabs>
          <w:tab w:val="left" w:pos="1810"/>
        </w:tabs>
        <w:spacing w:before="0" w:after="0" w:line="278" w:lineRule="auto"/>
        <w:ind w:left="1178" w:right="761" w:firstLine="0"/>
        <w:jc w:val="left"/>
        <w:rPr>
          <w:sz w:val="21"/>
        </w:rPr>
      </w:pPr>
      <w:r>
        <w:rPr>
          <w:spacing w:val="-3"/>
          <w:sz w:val="21"/>
        </w:rPr>
        <w:t xml:space="preserve">工业污水接入污水管网系统，应取得政府主管部门审批的排污及排放许可后接入污水管网系统， </w:t>
      </w:r>
      <w:r>
        <w:rPr>
          <w:spacing w:val="-10"/>
          <w:sz w:val="21"/>
        </w:rPr>
        <w:t>并接受运维单位监督及管理。新建冶金、电镀、化工、印染、原料药制造</w:t>
      </w:r>
      <w:r>
        <w:rPr>
          <w:spacing w:val="-3"/>
          <w:sz w:val="21"/>
        </w:rPr>
        <w:t>（</w:t>
      </w:r>
      <w:r>
        <w:rPr>
          <w:spacing w:val="-4"/>
          <w:sz w:val="21"/>
        </w:rPr>
        <w:t xml:space="preserve">有工业废水处理资质且出水达到国家标准的原料药制造企业除外）等工业企业排放的含重金属或难以生化降解废水以及有关工业 </w:t>
      </w:r>
      <w:r>
        <w:rPr>
          <w:spacing w:val="-3"/>
          <w:sz w:val="21"/>
        </w:rPr>
        <w:t>企业排放的高盐废水，不得排入乡镇污水收集处理设施。</w:t>
      </w:r>
    </w:p>
    <w:p>
      <w:pPr>
        <w:pStyle w:val="ListParagraph"/>
        <w:numPr>
          <w:ilvl w:val="2"/>
          <w:numId w:val="25"/>
        </w:numPr>
        <w:tabs>
          <w:tab w:val="left" w:pos="1758"/>
        </w:tabs>
        <w:spacing w:before="0" w:after="0" w:line="269" w:lineRule="exact"/>
        <w:ind w:left="1757" w:right="0" w:hanging="580"/>
        <w:jc w:val="left"/>
        <w:rPr>
          <w:sz w:val="21"/>
        </w:rPr>
      </w:pPr>
      <w:r>
        <w:rPr>
          <w:spacing w:val="-3"/>
          <w:sz w:val="21"/>
        </w:rPr>
        <w:t>化粪池接入污水管网系统，应对化粪池出口进行定期巡检，如有堵塞应及时疏通。</w:t>
      </w:r>
    </w:p>
    <w:p>
      <w:pPr>
        <w:pStyle w:val="ListParagraph"/>
        <w:numPr>
          <w:ilvl w:val="2"/>
          <w:numId w:val="25"/>
        </w:numPr>
        <w:tabs>
          <w:tab w:val="left" w:pos="1758"/>
        </w:tabs>
        <w:spacing w:before="42" w:after="0" w:line="240" w:lineRule="auto"/>
        <w:ind w:left="1757" w:right="0" w:hanging="580"/>
        <w:jc w:val="left"/>
        <w:rPr>
          <w:sz w:val="21"/>
        </w:rPr>
      </w:pPr>
      <w:r>
        <w:rPr>
          <w:spacing w:val="-3"/>
          <w:sz w:val="21"/>
        </w:rPr>
        <w:t>污水收集及排放设施的巡查周期应满足以下规定：</w:t>
      </w:r>
    </w:p>
    <w:p>
      <w:pPr>
        <w:pStyle w:val="ListParagraph"/>
        <w:numPr>
          <w:ilvl w:val="3"/>
          <w:numId w:val="25"/>
        </w:numPr>
        <w:tabs>
          <w:tab w:val="left" w:pos="2018"/>
          <w:tab w:val="left" w:pos="2019"/>
        </w:tabs>
        <w:spacing w:before="43" w:after="0" w:line="240" w:lineRule="auto"/>
        <w:ind w:left="2018" w:right="0" w:hanging="421"/>
        <w:jc w:val="left"/>
        <w:rPr>
          <w:rFonts w:ascii="Times New Roman" w:eastAsia="Times New Roman"/>
          <w:sz w:val="21"/>
        </w:rPr>
      </w:pPr>
      <w:r>
        <w:rPr>
          <w:spacing w:val="-3"/>
          <w:sz w:val="21"/>
        </w:rPr>
        <w:t>接户管巡检每月不少于</w:t>
      </w:r>
      <w:r>
        <w:rPr>
          <w:rFonts w:ascii="Times New Roman" w:eastAsia="Times New Roman"/>
          <w:spacing w:val="-3"/>
          <w:sz w:val="21"/>
        </w:rPr>
        <w:t>1</w:t>
      </w:r>
      <w:r>
        <w:rPr>
          <w:spacing w:val="-3"/>
          <w:sz w:val="21"/>
        </w:rPr>
        <w:t>次；</w:t>
      </w:r>
    </w:p>
    <w:p>
      <w:pPr>
        <w:pStyle w:val="ListParagraph"/>
        <w:numPr>
          <w:ilvl w:val="3"/>
          <w:numId w:val="25"/>
        </w:numPr>
        <w:tabs>
          <w:tab w:val="left" w:pos="2018"/>
          <w:tab w:val="left" w:pos="2019"/>
        </w:tabs>
        <w:spacing w:before="43" w:after="0" w:line="278" w:lineRule="auto"/>
        <w:ind w:left="2018" w:right="869" w:hanging="420"/>
        <w:jc w:val="left"/>
        <w:rPr>
          <w:rFonts w:ascii="Times New Roman" w:eastAsia="Times New Roman"/>
          <w:sz w:val="21"/>
        </w:rPr>
      </w:pPr>
      <w:r>
        <w:rPr>
          <w:spacing w:val="-19"/>
          <w:sz w:val="21"/>
        </w:rPr>
        <w:t xml:space="preserve">对易发生问题的重点管段、涉田、穿河管道以及易发生淤堵的接户小方井、跌水井、倒虹井等， </w:t>
      </w:r>
      <w:r>
        <w:rPr>
          <w:spacing w:val="-8"/>
          <w:sz w:val="21"/>
        </w:rPr>
        <w:t>每周巡查不少于</w:t>
      </w:r>
      <w:r>
        <w:rPr>
          <w:rFonts w:ascii="Times New Roman" w:eastAsia="Times New Roman"/>
          <w:sz w:val="21"/>
        </w:rPr>
        <w:t>1</w:t>
      </w:r>
      <w:r>
        <w:rPr>
          <w:spacing w:val="-3"/>
          <w:sz w:val="21"/>
        </w:rPr>
        <w:t>次；</w:t>
      </w:r>
    </w:p>
    <w:p>
      <w:pPr>
        <w:pStyle w:val="ListParagraph"/>
        <w:numPr>
          <w:ilvl w:val="3"/>
          <w:numId w:val="25"/>
        </w:numPr>
        <w:tabs>
          <w:tab w:val="left" w:pos="2018"/>
          <w:tab w:val="left" w:pos="2019"/>
        </w:tabs>
        <w:spacing w:before="0" w:after="0" w:line="269" w:lineRule="exact"/>
        <w:ind w:left="2018" w:right="0" w:hanging="421"/>
        <w:jc w:val="left"/>
        <w:rPr>
          <w:rFonts w:ascii="Times New Roman" w:eastAsia="Times New Roman"/>
          <w:sz w:val="21"/>
        </w:rPr>
      </w:pPr>
      <w:r>
        <w:rPr>
          <w:spacing w:val="-3"/>
          <w:sz w:val="21"/>
        </w:rPr>
        <w:t>对非重点管段及检查井外部每月巡查不少于</w:t>
      </w:r>
      <w:r>
        <w:rPr>
          <w:rFonts w:ascii="Times New Roman" w:eastAsia="Times New Roman"/>
          <w:spacing w:val="-3"/>
          <w:sz w:val="21"/>
        </w:rPr>
        <w:t>1</w:t>
      </w:r>
      <w:r>
        <w:rPr>
          <w:sz w:val="21"/>
        </w:rPr>
        <w:t>次；</w:t>
      </w:r>
    </w:p>
    <w:p>
      <w:pPr>
        <w:pStyle w:val="ListParagraph"/>
        <w:numPr>
          <w:ilvl w:val="3"/>
          <w:numId w:val="25"/>
        </w:numPr>
        <w:tabs>
          <w:tab w:val="left" w:pos="2018"/>
          <w:tab w:val="left" w:pos="2019"/>
        </w:tabs>
        <w:spacing w:before="43" w:after="0" w:line="240" w:lineRule="auto"/>
        <w:ind w:left="2018" w:right="0" w:hanging="421"/>
        <w:jc w:val="left"/>
        <w:rPr>
          <w:rFonts w:ascii="Times New Roman" w:eastAsia="Times New Roman"/>
          <w:sz w:val="21"/>
        </w:rPr>
      </w:pPr>
      <w:r>
        <w:rPr>
          <w:spacing w:val="-3"/>
          <w:sz w:val="21"/>
        </w:rPr>
        <w:t>每季度对污水管网系统进行一次全面的巡查；</w:t>
      </w:r>
    </w:p>
    <w:p>
      <w:pPr>
        <w:pStyle w:val="ListParagraph"/>
        <w:numPr>
          <w:ilvl w:val="3"/>
          <w:numId w:val="25"/>
        </w:numPr>
        <w:tabs>
          <w:tab w:val="left" w:pos="2018"/>
          <w:tab w:val="left" w:pos="2019"/>
        </w:tabs>
        <w:spacing w:before="43" w:after="0" w:line="278" w:lineRule="auto"/>
        <w:ind w:left="2018" w:right="866" w:hanging="420"/>
        <w:jc w:val="left"/>
        <w:rPr>
          <w:rFonts w:ascii="Times New Roman" w:eastAsia="Times New Roman"/>
          <w:sz w:val="21"/>
        </w:rPr>
      </w:pPr>
      <w:r>
        <w:rPr>
          <w:spacing w:val="-3"/>
          <w:sz w:val="21"/>
        </w:rPr>
        <w:t>排放口外部巡视每周不应少于</w:t>
      </w:r>
      <w:r>
        <w:rPr>
          <w:rFonts w:ascii="Times New Roman" w:eastAsia="Times New Roman"/>
          <w:spacing w:val="-3"/>
          <w:sz w:val="21"/>
        </w:rPr>
        <w:t>1</w:t>
      </w:r>
      <w:r>
        <w:rPr>
          <w:spacing w:val="-9"/>
          <w:sz w:val="21"/>
        </w:rPr>
        <w:t>次，排放口淤积情况检查每年不应少于</w:t>
      </w:r>
      <w:r>
        <w:rPr>
          <w:rFonts w:ascii="Times New Roman" w:eastAsia="Times New Roman"/>
          <w:spacing w:val="-3"/>
          <w:sz w:val="21"/>
        </w:rPr>
        <w:t>1</w:t>
      </w:r>
      <w:r>
        <w:rPr>
          <w:spacing w:val="-9"/>
          <w:sz w:val="21"/>
        </w:rPr>
        <w:t>次，宜在每年枯水期时进行。</w:t>
      </w:r>
    </w:p>
    <w:p>
      <w:pPr>
        <w:pStyle w:val="BodyText"/>
        <w:spacing w:before="6"/>
        <w:rPr>
          <w:sz w:val="14"/>
        </w:rPr>
      </w:pPr>
    </w:p>
    <w:p>
      <w:pPr>
        <w:spacing w:before="75"/>
        <w:ind w:left="0" w:right="1006" w:firstLine="0"/>
        <w:jc w:val="right"/>
        <w:rPr>
          <w:sz w:val="18"/>
        </w:rPr>
      </w:pPr>
      <w:r>
        <w:rPr>
          <w:sz w:val="18"/>
        </w:rPr>
        <w:t xml:space="preserve">3 </w:t>
      </w:r>
    </w:p>
    <w:p>
      <w:pPr>
        <w:spacing w:after="0"/>
        <w:jc w:val="right"/>
        <w:rPr>
          <w:sz w:val="18"/>
        </w:rPr>
        <w:sectPr>
          <w:headerReference w:type="even" r:id="rId24"/>
          <w:headerReference w:type="default" r:id="rId25"/>
          <w:pgSz w:w="11910" w:h="16840"/>
          <w:pgMar w:top="1640" w:right="260" w:bottom="280" w:left="240" w:header="1448" w:footer="0"/>
          <w:pgNumType w:start="10"/>
          <w:cols w:space="708"/>
        </w:sectPr>
      </w:pPr>
    </w:p>
    <w:p>
      <w:pPr>
        <w:pStyle w:val="BodyText"/>
        <w:spacing w:before="1"/>
        <w:rPr>
          <w:sz w:val="17"/>
        </w:rPr>
      </w:pPr>
    </w:p>
    <w:p>
      <w:pPr>
        <w:pStyle w:val="ListParagraph"/>
        <w:numPr>
          <w:ilvl w:val="1"/>
          <w:numId w:val="25"/>
        </w:numPr>
        <w:tabs>
          <w:tab w:val="left" w:pos="1316"/>
        </w:tabs>
        <w:spacing w:before="72" w:after="0" w:line="240" w:lineRule="auto"/>
        <w:ind w:left="1315" w:right="0" w:hanging="424"/>
        <w:jc w:val="left"/>
        <w:rPr>
          <w:rFonts w:ascii="黑体" w:eastAsia="黑体" w:hint="eastAsia"/>
          <w:sz w:val="21"/>
        </w:rPr>
      </w:pPr>
      <w:r>
        <w:rPr>
          <w:rFonts w:ascii="黑体" w:eastAsia="黑体" w:hint="eastAsia"/>
          <w:spacing w:val="-3"/>
          <w:sz w:val="21"/>
        </w:rPr>
        <w:t>管道运维</w:t>
      </w:r>
    </w:p>
    <w:p>
      <w:pPr>
        <w:pStyle w:val="BodyText"/>
        <w:spacing w:before="7"/>
        <w:rPr>
          <w:rFonts w:ascii="黑体"/>
          <w:sz w:val="15"/>
        </w:rPr>
      </w:pPr>
    </w:p>
    <w:p>
      <w:pPr>
        <w:pStyle w:val="ListParagraph"/>
        <w:numPr>
          <w:ilvl w:val="2"/>
          <w:numId w:val="25"/>
        </w:numPr>
        <w:tabs>
          <w:tab w:val="left" w:pos="1472"/>
        </w:tabs>
        <w:spacing w:before="0" w:after="0" w:line="240" w:lineRule="auto"/>
        <w:ind w:left="1471" w:right="0" w:hanging="580"/>
        <w:jc w:val="left"/>
        <w:rPr>
          <w:sz w:val="21"/>
        </w:rPr>
      </w:pPr>
      <w:r>
        <w:rPr>
          <w:spacing w:val="-3"/>
          <w:sz w:val="21"/>
        </w:rPr>
        <w:t>污水管道的运维管理工作应结合乡镇污水治理实际需求，促进排水系统提质增效。</w:t>
      </w:r>
    </w:p>
    <w:p>
      <w:pPr>
        <w:pStyle w:val="ListParagraph"/>
        <w:numPr>
          <w:ilvl w:val="2"/>
          <w:numId w:val="25"/>
        </w:numPr>
        <w:tabs>
          <w:tab w:val="left" w:pos="1472"/>
        </w:tabs>
        <w:spacing w:before="43" w:after="0" w:line="278" w:lineRule="auto"/>
        <w:ind w:left="892" w:right="1154" w:firstLine="0"/>
        <w:jc w:val="left"/>
        <w:rPr>
          <w:sz w:val="21"/>
        </w:rPr>
      </w:pPr>
      <w:r>
        <w:rPr>
          <w:spacing w:val="-7"/>
          <w:sz w:val="21"/>
        </w:rPr>
        <w:t>污水管道运维对象包括管道、检查井和排水口，主要工作有管道巡视、管道功能状况检查、管道</w:t>
      </w:r>
      <w:r>
        <w:rPr>
          <w:spacing w:val="-22"/>
          <w:sz w:val="21"/>
        </w:rPr>
        <w:t>结构状况检查、检查井内外部检查、排放口的巡视和检查、污水管道养护、检查井养护和排放口养护等。</w:t>
      </w:r>
    </w:p>
    <w:p>
      <w:pPr>
        <w:pStyle w:val="ListParagraph"/>
        <w:numPr>
          <w:ilvl w:val="2"/>
          <w:numId w:val="25"/>
        </w:numPr>
        <w:tabs>
          <w:tab w:val="left" w:pos="1472"/>
        </w:tabs>
        <w:spacing w:before="0" w:after="0" w:line="269" w:lineRule="exact"/>
        <w:ind w:left="1471" w:right="0" w:hanging="580"/>
        <w:jc w:val="left"/>
        <w:rPr>
          <w:sz w:val="21"/>
        </w:rPr>
      </w:pPr>
      <w:r>
        <w:rPr>
          <w:spacing w:val="-3"/>
          <w:sz w:val="21"/>
        </w:rPr>
        <w:t>管道日常巡视检查应包括以下内容：</w:t>
      </w:r>
    </w:p>
    <w:p>
      <w:pPr>
        <w:pStyle w:val="ListParagraph"/>
        <w:numPr>
          <w:ilvl w:val="3"/>
          <w:numId w:val="25"/>
        </w:numPr>
        <w:tabs>
          <w:tab w:val="left" w:pos="1733"/>
          <w:tab w:val="left" w:pos="1734"/>
        </w:tabs>
        <w:spacing w:before="43" w:after="0" w:line="240" w:lineRule="auto"/>
        <w:ind w:left="1733" w:right="0" w:hanging="421"/>
        <w:jc w:val="left"/>
        <w:rPr>
          <w:rFonts w:ascii="Times New Roman" w:eastAsia="Times New Roman"/>
          <w:sz w:val="21"/>
        </w:rPr>
      </w:pPr>
      <w:r>
        <w:rPr>
          <w:spacing w:val="-3"/>
          <w:sz w:val="21"/>
        </w:rPr>
        <w:t>管道是否破损，基础是否沉降；</w:t>
      </w:r>
    </w:p>
    <w:p>
      <w:pPr>
        <w:pStyle w:val="ListParagraph"/>
        <w:numPr>
          <w:ilvl w:val="3"/>
          <w:numId w:val="25"/>
        </w:numPr>
        <w:tabs>
          <w:tab w:val="left" w:pos="1733"/>
          <w:tab w:val="left" w:pos="1734"/>
        </w:tabs>
        <w:spacing w:before="43" w:after="0" w:line="240" w:lineRule="auto"/>
        <w:ind w:left="1733" w:right="0" w:hanging="421"/>
        <w:jc w:val="left"/>
        <w:rPr>
          <w:rFonts w:ascii="Times New Roman" w:eastAsia="Times New Roman"/>
          <w:sz w:val="21"/>
        </w:rPr>
      </w:pPr>
      <w:r>
        <w:rPr>
          <w:spacing w:val="-3"/>
          <w:sz w:val="21"/>
        </w:rPr>
        <w:t>管道上方是否存在占压；</w:t>
      </w:r>
    </w:p>
    <w:p>
      <w:pPr>
        <w:pStyle w:val="ListParagraph"/>
        <w:numPr>
          <w:ilvl w:val="3"/>
          <w:numId w:val="25"/>
        </w:numPr>
        <w:tabs>
          <w:tab w:val="left" w:pos="1733"/>
          <w:tab w:val="left" w:pos="1734"/>
        </w:tabs>
        <w:spacing w:before="42" w:after="0" w:line="240" w:lineRule="auto"/>
        <w:ind w:left="1733" w:right="0" w:hanging="421"/>
        <w:jc w:val="left"/>
        <w:rPr>
          <w:rFonts w:ascii="Times New Roman" w:eastAsia="Times New Roman"/>
          <w:sz w:val="21"/>
        </w:rPr>
      </w:pPr>
      <w:r>
        <w:rPr>
          <w:spacing w:val="-3"/>
          <w:sz w:val="21"/>
        </w:rPr>
        <w:t>是否存在违章排放；</w:t>
      </w:r>
    </w:p>
    <w:p>
      <w:pPr>
        <w:pStyle w:val="ListParagraph"/>
        <w:numPr>
          <w:ilvl w:val="3"/>
          <w:numId w:val="25"/>
        </w:numPr>
        <w:tabs>
          <w:tab w:val="left" w:pos="1733"/>
          <w:tab w:val="left" w:pos="1734"/>
        </w:tabs>
        <w:spacing w:before="43" w:after="0" w:line="240" w:lineRule="auto"/>
        <w:ind w:left="1733" w:right="0" w:hanging="421"/>
        <w:jc w:val="left"/>
        <w:rPr>
          <w:rFonts w:ascii="Times New Roman" w:eastAsia="Times New Roman"/>
          <w:sz w:val="21"/>
        </w:rPr>
      </w:pPr>
      <w:r>
        <w:rPr>
          <w:spacing w:val="-3"/>
          <w:sz w:val="21"/>
        </w:rPr>
        <w:t>是否存在新增私接管道；</w:t>
      </w:r>
    </w:p>
    <w:p>
      <w:pPr>
        <w:pStyle w:val="ListParagraph"/>
        <w:numPr>
          <w:ilvl w:val="3"/>
          <w:numId w:val="25"/>
        </w:numPr>
        <w:tabs>
          <w:tab w:val="left" w:pos="1733"/>
          <w:tab w:val="left" w:pos="1734"/>
        </w:tabs>
        <w:spacing w:before="43" w:after="0" w:line="278" w:lineRule="auto"/>
        <w:ind w:left="1733" w:right="1152" w:hanging="420"/>
        <w:jc w:val="left"/>
        <w:rPr>
          <w:rFonts w:ascii="Times New Roman" w:eastAsia="Times New Roman"/>
          <w:sz w:val="21"/>
        </w:rPr>
      </w:pPr>
      <w:r>
        <w:rPr>
          <w:spacing w:val="-10"/>
          <w:sz w:val="21"/>
        </w:rPr>
        <w:t>巡查在建工地时，在施工区域范围内张贴《管线设施警示标志》，对影响管道和设施行为及时</w:t>
      </w:r>
      <w:r>
        <w:rPr>
          <w:spacing w:val="-5"/>
          <w:sz w:val="21"/>
        </w:rPr>
        <w:t>上报相关部门；</w:t>
      </w:r>
    </w:p>
    <w:p>
      <w:pPr>
        <w:pStyle w:val="ListParagraph"/>
        <w:numPr>
          <w:ilvl w:val="3"/>
          <w:numId w:val="25"/>
        </w:numPr>
        <w:tabs>
          <w:tab w:val="left" w:pos="1733"/>
          <w:tab w:val="left" w:pos="1734"/>
        </w:tabs>
        <w:spacing w:before="1" w:after="0" w:line="278" w:lineRule="auto"/>
        <w:ind w:left="1733" w:right="1152" w:hanging="420"/>
        <w:jc w:val="left"/>
        <w:rPr>
          <w:rFonts w:ascii="Times New Roman" w:eastAsia="Times New Roman"/>
          <w:sz w:val="21"/>
        </w:rPr>
      </w:pPr>
      <w:r>
        <w:rPr>
          <w:spacing w:val="-10"/>
          <w:sz w:val="21"/>
        </w:rPr>
        <w:t>对合流管、截流管应在停雨后三天内进行全面巡查，重点巡查设施完好情况，淤积或垃圾缠绕情况；</w:t>
      </w:r>
    </w:p>
    <w:p>
      <w:pPr>
        <w:pStyle w:val="ListParagraph"/>
        <w:numPr>
          <w:ilvl w:val="3"/>
          <w:numId w:val="25"/>
        </w:numPr>
        <w:tabs>
          <w:tab w:val="left" w:pos="1733"/>
          <w:tab w:val="left" w:pos="1734"/>
        </w:tabs>
        <w:spacing w:before="0" w:after="0" w:line="269" w:lineRule="exact"/>
        <w:ind w:left="1733" w:right="0" w:hanging="421"/>
        <w:jc w:val="left"/>
        <w:rPr>
          <w:rFonts w:ascii="Times New Roman" w:eastAsia="Times New Roman"/>
          <w:sz w:val="21"/>
        </w:rPr>
      </w:pPr>
      <w:r>
        <w:rPr>
          <w:spacing w:val="-3"/>
          <w:sz w:val="21"/>
        </w:rPr>
        <w:t>用于控制的闸门是否运行正常且启闭及时；</w:t>
      </w:r>
    </w:p>
    <w:p>
      <w:pPr>
        <w:pStyle w:val="ListParagraph"/>
        <w:numPr>
          <w:ilvl w:val="3"/>
          <w:numId w:val="25"/>
        </w:numPr>
        <w:tabs>
          <w:tab w:val="left" w:pos="1733"/>
          <w:tab w:val="left" w:pos="1734"/>
        </w:tabs>
        <w:spacing w:before="43" w:after="0" w:line="240" w:lineRule="auto"/>
        <w:ind w:left="1733" w:right="0" w:hanging="421"/>
        <w:jc w:val="left"/>
        <w:rPr>
          <w:rFonts w:ascii="Times New Roman" w:eastAsia="Times New Roman"/>
          <w:sz w:val="21"/>
        </w:rPr>
      </w:pPr>
      <w:r>
        <w:rPr>
          <w:spacing w:val="-3"/>
          <w:sz w:val="21"/>
        </w:rPr>
        <w:t>晴天雨水管道中是否存在排污情况。</w:t>
      </w:r>
    </w:p>
    <w:p>
      <w:pPr>
        <w:pStyle w:val="ListParagraph"/>
        <w:numPr>
          <w:ilvl w:val="2"/>
          <w:numId w:val="25"/>
        </w:numPr>
        <w:tabs>
          <w:tab w:val="left" w:pos="1472"/>
        </w:tabs>
        <w:spacing w:before="43" w:after="0" w:line="240" w:lineRule="auto"/>
        <w:ind w:left="1471" w:right="0" w:hanging="580"/>
        <w:jc w:val="left"/>
        <w:rPr>
          <w:sz w:val="21"/>
        </w:rPr>
      </w:pPr>
      <w:r>
        <w:rPr>
          <w:spacing w:val="-3"/>
          <w:sz w:val="21"/>
        </w:rPr>
        <w:t>管道功能状况检查应包括以下内容：</w:t>
      </w:r>
    </w:p>
    <w:p>
      <w:pPr>
        <w:pStyle w:val="ListParagraph"/>
        <w:numPr>
          <w:ilvl w:val="3"/>
          <w:numId w:val="25"/>
        </w:numPr>
        <w:tabs>
          <w:tab w:val="left" w:pos="1733"/>
          <w:tab w:val="left" w:pos="1734"/>
        </w:tabs>
        <w:spacing w:before="43" w:after="0" w:line="240" w:lineRule="auto"/>
        <w:ind w:left="1733" w:right="0" w:hanging="421"/>
        <w:jc w:val="left"/>
        <w:rPr>
          <w:rFonts w:ascii="Times New Roman" w:eastAsia="Times New Roman"/>
          <w:sz w:val="21"/>
        </w:rPr>
      </w:pPr>
      <w:r>
        <w:rPr>
          <w:spacing w:val="-3"/>
          <w:sz w:val="21"/>
        </w:rPr>
        <w:t>主管网管道内允许积泥深度不超过管径或渠高的</w:t>
      </w:r>
      <w:r>
        <w:rPr>
          <w:rFonts w:ascii="Times New Roman" w:eastAsia="Times New Roman"/>
          <w:sz w:val="21"/>
        </w:rPr>
        <w:t>1/5</w:t>
      </w:r>
      <w:r>
        <w:rPr>
          <w:sz w:val="21"/>
        </w:rPr>
        <w:t>；</w:t>
      </w:r>
    </w:p>
    <w:p>
      <w:pPr>
        <w:pStyle w:val="ListParagraph"/>
        <w:numPr>
          <w:ilvl w:val="3"/>
          <w:numId w:val="25"/>
        </w:numPr>
        <w:tabs>
          <w:tab w:val="left" w:pos="1733"/>
          <w:tab w:val="left" w:pos="1734"/>
        </w:tabs>
        <w:spacing w:before="42" w:after="0" w:line="240" w:lineRule="auto"/>
        <w:ind w:left="1733" w:right="0" w:hanging="421"/>
        <w:jc w:val="left"/>
        <w:rPr>
          <w:rFonts w:ascii="Times New Roman" w:eastAsia="Times New Roman"/>
          <w:sz w:val="21"/>
        </w:rPr>
      </w:pPr>
      <w:r>
        <w:rPr>
          <w:spacing w:val="-3"/>
          <w:sz w:val="21"/>
        </w:rPr>
        <w:t>入户管网应结合实际情况，管道内允许积泥应不超过管径或渠高的</w:t>
      </w:r>
      <w:r>
        <w:rPr>
          <w:rFonts w:ascii="Times New Roman" w:eastAsia="Times New Roman"/>
          <w:sz w:val="21"/>
        </w:rPr>
        <w:t>1/3</w:t>
      </w:r>
      <w:r>
        <w:rPr>
          <w:sz w:val="21"/>
        </w:rPr>
        <w:t>；</w:t>
      </w:r>
    </w:p>
    <w:p>
      <w:pPr>
        <w:pStyle w:val="ListParagraph"/>
        <w:numPr>
          <w:ilvl w:val="3"/>
          <w:numId w:val="25"/>
        </w:numPr>
        <w:tabs>
          <w:tab w:val="left" w:pos="1733"/>
          <w:tab w:val="left" w:pos="1734"/>
        </w:tabs>
        <w:spacing w:before="43" w:after="0" w:line="240" w:lineRule="auto"/>
        <w:ind w:left="1733" w:right="0" w:hanging="421"/>
        <w:jc w:val="left"/>
        <w:rPr>
          <w:rFonts w:ascii="Times New Roman" w:eastAsia="Times New Roman"/>
          <w:sz w:val="21"/>
        </w:rPr>
      </w:pPr>
      <w:r>
        <w:rPr>
          <w:spacing w:val="-3"/>
          <w:sz w:val="21"/>
        </w:rPr>
        <w:t>管道内是否有障碍物、树根、残墙、坝根等；</w:t>
      </w:r>
    </w:p>
    <w:p>
      <w:pPr>
        <w:pStyle w:val="ListParagraph"/>
        <w:numPr>
          <w:ilvl w:val="3"/>
          <w:numId w:val="25"/>
        </w:numPr>
        <w:tabs>
          <w:tab w:val="left" w:pos="1733"/>
          <w:tab w:val="left" w:pos="1734"/>
        </w:tabs>
        <w:spacing w:before="43" w:after="0" w:line="240" w:lineRule="auto"/>
        <w:ind w:left="1733" w:right="0" w:hanging="421"/>
        <w:jc w:val="left"/>
        <w:rPr>
          <w:rFonts w:ascii="Times New Roman" w:eastAsia="Times New Roman"/>
          <w:sz w:val="21"/>
        </w:rPr>
      </w:pPr>
      <w:r>
        <w:drawing>
          <wp:anchor distT="0" distB="0" distL="0" distR="0" simplePos="0" relativeHeight="251676672" behindDoc="0" locked="0" layoutInCell="1" allowOverlap="1">
            <wp:simplePos x="0" y="0"/>
            <wp:positionH relativeFrom="page">
              <wp:posOffset>215900</wp:posOffset>
            </wp:positionH>
            <wp:positionV relativeFrom="paragraph">
              <wp:posOffset>169164</wp:posOffset>
            </wp:positionV>
            <wp:extent cx="7112000" cy="4876800"/>
            <wp:effectExtent l="0" t="0" r="0" b="0"/>
            <wp:wrapNone/>
            <wp:docPr id="3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1.png"/>
                    <pic:cNvPicPr/>
                  </pic:nvPicPr>
                  <pic:blipFill>
                    <a:blip xmlns:r="http://schemas.openxmlformats.org/officeDocument/2006/relationships" r:embed="rId4" cstate="print"/>
                    <a:stretch>
                      <a:fillRect/>
                    </a:stretch>
                  </pic:blipFill>
                  <pic:spPr>
                    <a:xfrm>
                      <a:off x="0" y="0"/>
                      <a:ext cx="7112000" cy="4876800"/>
                    </a:xfrm>
                    <a:prstGeom prst="rect">
                      <a:avLst/>
                    </a:prstGeom>
                  </pic:spPr>
                </pic:pic>
              </a:graphicData>
            </a:graphic>
          </wp:anchor>
        </w:drawing>
      </w:r>
      <w:r>
        <w:rPr>
          <w:spacing w:val="-3"/>
          <w:sz w:val="21"/>
        </w:rPr>
        <w:t>管道内水位和水流是否正常。</w:t>
      </w:r>
    </w:p>
    <w:p>
      <w:pPr>
        <w:pStyle w:val="ListParagraph"/>
        <w:numPr>
          <w:ilvl w:val="2"/>
          <w:numId w:val="25"/>
        </w:numPr>
        <w:tabs>
          <w:tab w:val="left" w:pos="1472"/>
        </w:tabs>
        <w:spacing w:before="43" w:after="0" w:line="240" w:lineRule="auto"/>
        <w:ind w:left="1471" w:right="0" w:hanging="580"/>
        <w:jc w:val="left"/>
        <w:rPr>
          <w:sz w:val="21"/>
        </w:rPr>
      </w:pPr>
      <w:r>
        <w:rPr>
          <w:spacing w:val="-3"/>
          <w:sz w:val="21"/>
        </w:rPr>
        <w:t>管道结构状况检查应包括以下内容：</w:t>
      </w:r>
    </w:p>
    <w:p>
      <w:pPr>
        <w:pStyle w:val="ListParagraph"/>
        <w:numPr>
          <w:ilvl w:val="3"/>
          <w:numId w:val="25"/>
        </w:numPr>
        <w:tabs>
          <w:tab w:val="left" w:pos="1733"/>
          <w:tab w:val="left" w:pos="1734"/>
        </w:tabs>
        <w:spacing w:before="43" w:after="0" w:line="240" w:lineRule="auto"/>
        <w:ind w:left="1733" w:right="0" w:hanging="421"/>
        <w:jc w:val="left"/>
        <w:rPr>
          <w:rFonts w:ascii="Times New Roman" w:eastAsia="Times New Roman"/>
          <w:sz w:val="21"/>
        </w:rPr>
      </w:pPr>
      <w:r>
        <w:rPr>
          <w:spacing w:val="-3"/>
          <w:sz w:val="21"/>
        </w:rPr>
        <w:t>管道是否有变形、错口、脱节、破裂与空洞、渗漏、腐蚀、胶圈脱落、塌陷等；</w:t>
      </w:r>
    </w:p>
    <w:p>
      <w:pPr>
        <w:pStyle w:val="ListParagraph"/>
        <w:numPr>
          <w:ilvl w:val="3"/>
          <w:numId w:val="25"/>
        </w:numPr>
        <w:tabs>
          <w:tab w:val="left" w:pos="1733"/>
          <w:tab w:val="left" w:pos="1734"/>
        </w:tabs>
        <w:spacing w:before="44" w:after="0" w:line="240" w:lineRule="auto"/>
        <w:ind w:left="1733" w:right="0" w:hanging="421"/>
        <w:jc w:val="left"/>
        <w:rPr>
          <w:rFonts w:ascii="Times New Roman" w:eastAsia="Times New Roman"/>
          <w:sz w:val="21"/>
        </w:rPr>
      </w:pPr>
      <w:r>
        <w:rPr>
          <w:spacing w:val="-3"/>
          <w:sz w:val="21"/>
        </w:rPr>
        <w:t>管道是否有地面塌陷造成的倒坡。</w:t>
      </w:r>
    </w:p>
    <w:p>
      <w:pPr>
        <w:pStyle w:val="ListParagraph"/>
        <w:numPr>
          <w:ilvl w:val="2"/>
          <w:numId w:val="25"/>
        </w:numPr>
        <w:tabs>
          <w:tab w:val="left" w:pos="1472"/>
        </w:tabs>
        <w:spacing w:before="43" w:after="0" w:line="240" w:lineRule="auto"/>
        <w:ind w:left="1471" w:right="0" w:hanging="580"/>
        <w:jc w:val="left"/>
        <w:rPr>
          <w:sz w:val="21"/>
        </w:rPr>
      </w:pPr>
      <w:r>
        <w:rPr>
          <w:spacing w:val="-3"/>
          <w:sz w:val="21"/>
        </w:rPr>
        <w:t>接户管的运维应包括以下内容：</w:t>
      </w:r>
    </w:p>
    <w:p>
      <w:pPr>
        <w:pStyle w:val="ListParagraph"/>
        <w:numPr>
          <w:ilvl w:val="3"/>
          <w:numId w:val="25"/>
        </w:numPr>
        <w:tabs>
          <w:tab w:val="left" w:pos="1733"/>
          <w:tab w:val="left" w:pos="1734"/>
        </w:tabs>
        <w:spacing w:before="42" w:after="0" w:line="240" w:lineRule="auto"/>
        <w:ind w:left="1733" w:right="0" w:hanging="421"/>
        <w:jc w:val="left"/>
        <w:rPr>
          <w:rFonts w:ascii="Times New Roman" w:eastAsia="Times New Roman"/>
          <w:sz w:val="21"/>
        </w:rPr>
      </w:pPr>
      <w:r>
        <w:rPr>
          <w:spacing w:val="-3"/>
          <w:sz w:val="21"/>
        </w:rPr>
        <w:t>接户管接入市政管网需经过主管部门审核，应设置接户井；</w:t>
      </w:r>
    </w:p>
    <w:p>
      <w:pPr>
        <w:pStyle w:val="ListParagraph"/>
        <w:numPr>
          <w:ilvl w:val="3"/>
          <w:numId w:val="25"/>
        </w:numPr>
        <w:tabs>
          <w:tab w:val="left" w:pos="1733"/>
          <w:tab w:val="left" w:pos="1734"/>
        </w:tabs>
        <w:spacing w:before="43" w:after="0" w:line="278" w:lineRule="auto"/>
        <w:ind w:left="1733" w:right="1046" w:hanging="420"/>
        <w:jc w:val="left"/>
        <w:rPr>
          <w:rFonts w:ascii="Times New Roman" w:eastAsia="Times New Roman"/>
          <w:sz w:val="21"/>
        </w:rPr>
      </w:pPr>
      <w:r>
        <w:rPr>
          <w:spacing w:val="-3"/>
          <w:sz w:val="21"/>
        </w:rPr>
        <w:t>接户管巡检内容包括污水冒溢、私自接管、雨污混接、排水设施损坏、管道裸露、附件丢失， 以及影响管道排水和安全的其它情况，并做好巡查记录；</w:t>
      </w:r>
    </w:p>
    <w:p>
      <w:pPr>
        <w:pStyle w:val="ListParagraph"/>
        <w:numPr>
          <w:ilvl w:val="3"/>
          <w:numId w:val="25"/>
        </w:numPr>
        <w:tabs>
          <w:tab w:val="left" w:pos="1733"/>
          <w:tab w:val="left" w:pos="1734"/>
        </w:tabs>
        <w:spacing w:before="0" w:after="0" w:line="269" w:lineRule="exact"/>
        <w:ind w:left="1733" w:right="0" w:hanging="421"/>
        <w:jc w:val="left"/>
        <w:rPr>
          <w:rFonts w:ascii="Times New Roman" w:eastAsia="Times New Roman"/>
          <w:sz w:val="21"/>
        </w:rPr>
      </w:pPr>
      <w:r>
        <w:rPr>
          <w:spacing w:val="-3"/>
          <w:sz w:val="21"/>
        </w:rPr>
        <w:t>接户管、接户井的清扫每年不少于</w:t>
      </w:r>
      <w:r>
        <w:rPr>
          <w:rFonts w:ascii="Times New Roman" w:eastAsia="Times New Roman"/>
          <w:spacing w:val="-3"/>
          <w:sz w:val="21"/>
        </w:rPr>
        <w:t>1</w:t>
      </w:r>
      <w:r>
        <w:rPr>
          <w:sz w:val="21"/>
        </w:rPr>
        <w:t>次。</w:t>
      </w:r>
    </w:p>
    <w:p>
      <w:pPr>
        <w:pStyle w:val="ListParagraph"/>
        <w:numPr>
          <w:ilvl w:val="2"/>
          <w:numId w:val="25"/>
        </w:numPr>
        <w:tabs>
          <w:tab w:val="left" w:pos="1472"/>
        </w:tabs>
        <w:spacing w:before="43" w:after="0" w:line="240" w:lineRule="auto"/>
        <w:ind w:left="1471" w:right="0" w:hanging="580"/>
        <w:jc w:val="left"/>
        <w:rPr>
          <w:sz w:val="21"/>
        </w:rPr>
      </w:pPr>
      <w:r>
        <w:rPr>
          <w:spacing w:val="-5"/>
          <w:sz w:val="21"/>
        </w:rPr>
        <w:t xml:space="preserve">过河倒虹管应重点检查河床覆土深度，河床覆土不应小于 </w:t>
      </w:r>
      <w:r>
        <w:rPr>
          <w:rFonts w:ascii="Calibri" w:eastAsia="Calibri"/>
          <w:sz w:val="21"/>
        </w:rPr>
        <w:t>1.0m</w:t>
      </w:r>
      <w:r>
        <w:rPr>
          <w:sz w:val="21"/>
        </w:rPr>
        <w:t>。</w:t>
      </w:r>
    </w:p>
    <w:p>
      <w:pPr>
        <w:pStyle w:val="ListParagraph"/>
        <w:numPr>
          <w:ilvl w:val="2"/>
          <w:numId w:val="25"/>
        </w:numPr>
        <w:tabs>
          <w:tab w:val="left" w:pos="1482"/>
        </w:tabs>
        <w:spacing w:before="43" w:after="0" w:line="240" w:lineRule="auto"/>
        <w:ind w:left="1481" w:right="0" w:hanging="590"/>
        <w:jc w:val="left"/>
        <w:rPr>
          <w:sz w:val="21"/>
        </w:rPr>
      </w:pPr>
      <w:r>
        <w:rPr>
          <w:spacing w:val="-8"/>
          <w:sz w:val="21"/>
        </w:rPr>
        <w:t xml:space="preserve">管道检查可采用 </w:t>
      </w:r>
      <w:r>
        <w:rPr>
          <w:rFonts w:ascii="Calibri" w:eastAsia="Calibri"/>
          <w:sz w:val="21"/>
        </w:rPr>
        <w:t>QV</w:t>
      </w:r>
      <w:r>
        <w:rPr>
          <w:rFonts w:ascii="Calibri" w:eastAsia="Calibri"/>
          <w:spacing w:val="14"/>
          <w:sz w:val="21"/>
        </w:rPr>
        <w:t xml:space="preserve"> </w:t>
      </w:r>
      <w:r>
        <w:rPr>
          <w:spacing w:val="-2"/>
          <w:sz w:val="21"/>
        </w:rPr>
        <w:t>潜望镜检测、</w:t>
      </w:r>
      <w:r>
        <w:rPr>
          <w:rFonts w:ascii="Calibri" w:eastAsia="Calibri"/>
          <w:sz w:val="21"/>
        </w:rPr>
        <w:t>CCTV</w:t>
      </w:r>
      <w:r>
        <w:rPr>
          <w:rFonts w:ascii="Calibri" w:eastAsia="Calibri"/>
          <w:spacing w:val="17"/>
          <w:sz w:val="21"/>
        </w:rPr>
        <w:t xml:space="preserve"> </w:t>
      </w:r>
      <w:r>
        <w:rPr>
          <w:spacing w:val="-3"/>
          <w:sz w:val="21"/>
        </w:rPr>
        <w:t>管道机器人检测、直接观察法、低压空气检测法等方法。</w:t>
      </w:r>
    </w:p>
    <w:p>
      <w:pPr>
        <w:pStyle w:val="ListParagraph"/>
        <w:numPr>
          <w:ilvl w:val="2"/>
          <w:numId w:val="25"/>
        </w:numPr>
        <w:tabs>
          <w:tab w:val="left" w:pos="1472"/>
        </w:tabs>
        <w:spacing w:before="43" w:after="0" w:line="240" w:lineRule="auto"/>
        <w:ind w:left="1471" w:right="0" w:hanging="580"/>
        <w:jc w:val="left"/>
        <w:rPr>
          <w:sz w:val="21"/>
        </w:rPr>
      </w:pPr>
      <w:r>
        <w:rPr>
          <w:spacing w:val="-3"/>
          <w:sz w:val="21"/>
        </w:rPr>
        <w:t>检查井内部检查应包括以下内容：</w:t>
      </w:r>
    </w:p>
    <w:p>
      <w:pPr>
        <w:pStyle w:val="ListParagraph"/>
        <w:numPr>
          <w:ilvl w:val="3"/>
          <w:numId w:val="25"/>
        </w:numPr>
        <w:tabs>
          <w:tab w:val="left" w:pos="1733"/>
          <w:tab w:val="left" w:pos="1734"/>
        </w:tabs>
        <w:spacing w:before="43" w:after="0" w:line="240" w:lineRule="auto"/>
        <w:ind w:left="1733" w:right="0" w:hanging="421"/>
        <w:jc w:val="left"/>
        <w:rPr>
          <w:rFonts w:ascii="Times New Roman" w:eastAsia="Times New Roman"/>
          <w:sz w:val="21"/>
        </w:rPr>
      </w:pPr>
      <w:r>
        <w:rPr>
          <w:spacing w:val="-3"/>
          <w:sz w:val="21"/>
        </w:rPr>
        <w:t>井盖链条或锁具是否缺损；</w:t>
      </w:r>
    </w:p>
    <w:p>
      <w:pPr>
        <w:pStyle w:val="ListParagraph"/>
        <w:numPr>
          <w:ilvl w:val="3"/>
          <w:numId w:val="25"/>
        </w:numPr>
        <w:tabs>
          <w:tab w:val="left" w:pos="1733"/>
          <w:tab w:val="left" w:pos="1734"/>
        </w:tabs>
        <w:spacing w:before="43" w:after="0" w:line="240" w:lineRule="auto"/>
        <w:ind w:left="1733" w:right="0" w:hanging="421"/>
        <w:jc w:val="left"/>
        <w:rPr>
          <w:rFonts w:ascii="Times New Roman" w:eastAsia="Times New Roman"/>
          <w:sz w:val="21"/>
        </w:rPr>
      </w:pPr>
      <w:r>
        <w:rPr>
          <w:spacing w:val="-3"/>
          <w:sz w:val="21"/>
        </w:rPr>
        <w:t>防坠网是否缺失、损坏；</w:t>
      </w:r>
    </w:p>
    <w:p>
      <w:pPr>
        <w:pStyle w:val="ListParagraph"/>
        <w:numPr>
          <w:ilvl w:val="3"/>
          <w:numId w:val="25"/>
        </w:numPr>
        <w:tabs>
          <w:tab w:val="left" w:pos="1733"/>
          <w:tab w:val="left" w:pos="1734"/>
        </w:tabs>
        <w:spacing w:before="43" w:after="0" w:line="240" w:lineRule="auto"/>
        <w:ind w:left="1733" w:right="0" w:hanging="421"/>
        <w:jc w:val="left"/>
        <w:rPr>
          <w:rFonts w:ascii="Times New Roman" w:eastAsia="Times New Roman"/>
          <w:sz w:val="21"/>
        </w:rPr>
      </w:pPr>
      <w:r>
        <w:rPr>
          <w:spacing w:val="-3"/>
          <w:sz w:val="21"/>
        </w:rPr>
        <w:t>爬梯是否松动、锈蚀或缺损；</w:t>
      </w:r>
    </w:p>
    <w:p>
      <w:pPr>
        <w:pStyle w:val="ListParagraph"/>
        <w:numPr>
          <w:ilvl w:val="3"/>
          <w:numId w:val="25"/>
        </w:numPr>
        <w:tabs>
          <w:tab w:val="left" w:pos="1733"/>
          <w:tab w:val="left" w:pos="1734"/>
        </w:tabs>
        <w:spacing w:before="44" w:after="0" w:line="240" w:lineRule="auto"/>
        <w:ind w:left="1733" w:right="0" w:hanging="421"/>
        <w:jc w:val="left"/>
        <w:rPr>
          <w:rFonts w:ascii="Times New Roman" w:eastAsia="Times New Roman"/>
          <w:sz w:val="21"/>
        </w:rPr>
      </w:pPr>
      <w:r>
        <w:rPr>
          <w:spacing w:val="-3"/>
          <w:sz w:val="21"/>
        </w:rPr>
        <w:t>井壁是否存在泥垢、裂缝、渗漏或抹面脱落等；</w:t>
      </w:r>
    </w:p>
    <w:p>
      <w:pPr>
        <w:pStyle w:val="ListParagraph"/>
        <w:numPr>
          <w:ilvl w:val="3"/>
          <w:numId w:val="25"/>
        </w:numPr>
        <w:tabs>
          <w:tab w:val="left" w:pos="1733"/>
          <w:tab w:val="left" w:pos="1734"/>
        </w:tabs>
        <w:spacing w:before="42" w:after="0" w:line="240" w:lineRule="auto"/>
        <w:ind w:left="1733" w:right="0" w:hanging="421"/>
        <w:jc w:val="left"/>
        <w:rPr>
          <w:rFonts w:ascii="Times New Roman" w:eastAsia="Times New Roman"/>
          <w:sz w:val="21"/>
        </w:rPr>
      </w:pPr>
      <w:r>
        <w:rPr>
          <w:spacing w:val="-3"/>
          <w:sz w:val="21"/>
        </w:rPr>
        <w:t>管口孔洞是否堵塞，流槽是否破损；</w:t>
      </w:r>
    </w:p>
    <w:p>
      <w:pPr>
        <w:pStyle w:val="ListParagraph"/>
        <w:numPr>
          <w:ilvl w:val="3"/>
          <w:numId w:val="25"/>
        </w:numPr>
        <w:tabs>
          <w:tab w:val="left" w:pos="1733"/>
          <w:tab w:val="left" w:pos="1734"/>
        </w:tabs>
        <w:spacing w:before="43" w:after="0" w:line="278" w:lineRule="auto"/>
        <w:ind w:left="1733" w:right="1152" w:hanging="420"/>
        <w:jc w:val="left"/>
        <w:rPr>
          <w:rFonts w:ascii="Times New Roman" w:eastAsia="Times New Roman"/>
          <w:sz w:val="21"/>
        </w:rPr>
      </w:pPr>
      <w:r>
        <w:rPr>
          <w:spacing w:val="-11"/>
          <w:sz w:val="21"/>
        </w:rPr>
        <w:t>井底是否存在积泥、杂物；检查井允许积泥深度应符合现行行业标准《城镇排水管道与泵站运</w:t>
      </w:r>
      <w:r>
        <w:rPr>
          <w:spacing w:val="-6"/>
          <w:sz w:val="21"/>
        </w:rPr>
        <w:t>行、维护及安全技术规程》</w:t>
      </w:r>
      <w:r>
        <w:rPr>
          <w:sz w:val="21"/>
        </w:rPr>
        <w:t>（</w:t>
      </w:r>
      <w:r>
        <w:rPr>
          <w:rFonts w:ascii="Times New Roman" w:eastAsia="Times New Roman"/>
          <w:sz w:val="21"/>
        </w:rPr>
        <w:t>CJ 68</w:t>
      </w:r>
      <w:r>
        <w:rPr>
          <w:sz w:val="21"/>
        </w:rPr>
        <w:t>）</w:t>
      </w:r>
      <w:r>
        <w:rPr>
          <w:spacing w:val="-3"/>
          <w:sz w:val="21"/>
        </w:rPr>
        <w:t>的有关规定；</w:t>
      </w:r>
    </w:p>
    <w:p>
      <w:pPr>
        <w:pStyle w:val="ListParagraph"/>
        <w:numPr>
          <w:ilvl w:val="3"/>
          <w:numId w:val="25"/>
        </w:numPr>
        <w:tabs>
          <w:tab w:val="left" w:pos="1733"/>
          <w:tab w:val="left" w:pos="1734"/>
        </w:tabs>
        <w:spacing w:before="0" w:after="0" w:line="269" w:lineRule="exact"/>
        <w:ind w:left="1733" w:right="0" w:hanging="421"/>
        <w:jc w:val="left"/>
        <w:rPr>
          <w:rFonts w:ascii="Times New Roman" w:eastAsia="Times New Roman"/>
          <w:sz w:val="21"/>
        </w:rPr>
      </w:pPr>
      <w:r>
        <w:rPr>
          <w:spacing w:val="-3"/>
          <w:sz w:val="21"/>
        </w:rPr>
        <w:t>井内水位和流向是否正常，是否存在违章倾倒、新增私接管道；</w:t>
      </w:r>
    </w:p>
    <w:p>
      <w:pPr>
        <w:pStyle w:val="ListParagraph"/>
        <w:numPr>
          <w:ilvl w:val="3"/>
          <w:numId w:val="25"/>
        </w:numPr>
        <w:tabs>
          <w:tab w:val="left" w:pos="1733"/>
          <w:tab w:val="left" w:pos="1734"/>
        </w:tabs>
        <w:spacing w:before="43" w:after="0" w:line="240" w:lineRule="auto"/>
        <w:ind w:left="1733" w:right="0" w:hanging="421"/>
        <w:jc w:val="left"/>
        <w:rPr>
          <w:rFonts w:ascii="Times New Roman" w:eastAsia="Times New Roman"/>
          <w:sz w:val="21"/>
        </w:rPr>
      </w:pPr>
      <w:r>
        <w:rPr>
          <w:spacing w:val="-3"/>
          <w:sz w:val="21"/>
        </w:rPr>
        <w:t>排气阀、压力井等附属设施应完好有效。</w:t>
      </w:r>
    </w:p>
    <w:p>
      <w:pPr>
        <w:pStyle w:val="ListParagraph"/>
        <w:numPr>
          <w:ilvl w:val="2"/>
          <w:numId w:val="25"/>
        </w:numPr>
        <w:tabs>
          <w:tab w:val="left" w:pos="1578"/>
        </w:tabs>
        <w:spacing w:before="43" w:after="0" w:line="240" w:lineRule="auto"/>
        <w:ind w:left="1577" w:right="0" w:hanging="686"/>
        <w:jc w:val="left"/>
        <w:rPr>
          <w:sz w:val="21"/>
        </w:rPr>
      </w:pPr>
      <w:r>
        <w:rPr>
          <w:spacing w:val="-3"/>
          <w:sz w:val="21"/>
        </w:rPr>
        <w:t>检查井外部检查应包括以下内容：</w:t>
      </w:r>
    </w:p>
    <w:p>
      <w:pPr>
        <w:pStyle w:val="ListParagraph"/>
        <w:numPr>
          <w:ilvl w:val="3"/>
          <w:numId w:val="25"/>
        </w:numPr>
        <w:tabs>
          <w:tab w:val="left" w:pos="1733"/>
          <w:tab w:val="left" w:pos="1734"/>
        </w:tabs>
        <w:spacing w:before="43" w:after="0" w:line="240" w:lineRule="auto"/>
        <w:ind w:left="1733" w:right="0" w:hanging="421"/>
        <w:jc w:val="left"/>
        <w:rPr>
          <w:rFonts w:ascii="Times New Roman" w:eastAsia="Times New Roman"/>
          <w:sz w:val="21"/>
        </w:rPr>
      </w:pPr>
      <w:r>
        <w:rPr>
          <w:spacing w:val="-2"/>
          <w:sz w:val="21"/>
        </w:rPr>
        <w:t>污水是否冒溢；</w:t>
      </w:r>
    </w:p>
    <w:p>
      <w:pPr>
        <w:pStyle w:val="BodyText"/>
        <w:spacing w:before="11"/>
        <w:rPr>
          <w:sz w:val="17"/>
        </w:rPr>
      </w:pPr>
    </w:p>
    <w:p>
      <w:pPr>
        <w:spacing w:before="75"/>
        <w:ind w:left="1090" w:right="0" w:firstLine="0"/>
        <w:jc w:val="left"/>
        <w:rPr>
          <w:sz w:val="18"/>
        </w:rPr>
      </w:pPr>
      <w:r>
        <w:rPr>
          <w:sz w:val="18"/>
        </w:rPr>
        <w:t xml:space="preserve">4 </w:t>
      </w:r>
    </w:p>
    <w:p>
      <w:pPr>
        <w:spacing w:after="0"/>
        <w:jc w:val="left"/>
        <w:rPr>
          <w:sz w:val="18"/>
        </w:rPr>
        <w:sectPr>
          <w:headerReference w:type="even" r:id="rId26"/>
          <w:headerReference w:type="default" r:id="rId27"/>
          <w:pgSz w:w="11910" w:h="16840"/>
          <w:pgMar w:top="1640" w:right="260" w:bottom="280" w:left="240" w:header="1448" w:footer="0"/>
          <w:pgNumType w:start="11"/>
          <w:cols w:space="708"/>
        </w:sectPr>
      </w:pPr>
    </w:p>
    <w:p>
      <w:pPr>
        <w:pStyle w:val="BodyText"/>
        <w:spacing w:before="7"/>
        <w:rPr>
          <w:sz w:val="16"/>
        </w:rPr>
      </w:pPr>
    </w:p>
    <w:p>
      <w:pPr>
        <w:pStyle w:val="ListParagraph"/>
        <w:numPr>
          <w:ilvl w:val="3"/>
          <w:numId w:val="25"/>
        </w:numPr>
        <w:tabs>
          <w:tab w:val="left" w:pos="2018"/>
          <w:tab w:val="left" w:pos="2019"/>
        </w:tabs>
        <w:spacing w:before="79" w:after="0" w:line="240" w:lineRule="auto"/>
        <w:ind w:left="2018" w:right="0" w:hanging="421"/>
        <w:jc w:val="left"/>
        <w:rPr>
          <w:rFonts w:ascii="Times New Roman" w:eastAsia="Times New Roman"/>
          <w:sz w:val="21"/>
        </w:rPr>
      </w:pPr>
      <w:r>
        <w:rPr>
          <w:spacing w:val="-3"/>
          <w:sz w:val="21"/>
        </w:rPr>
        <w:t>井盖是否埋没、丢失、破损、移位，能否正常启闭；</w:t>
      </w:r>
    </w:p>
    <w:p>
      <w:pPr>
        <w:pStyle w:val="ListParagraph"/>
        <w:numPr>
          <w:ilvl w:val="3"/>
          <w:numId w:val="25"/>
        </w:numPr>
        <w:tabs>
          <w:tab w:val="left" w:pos="2018"/>
          <w:tab w:val="left" w:pos="2019"/>
        </w:tabs>
        <w:spacing w:before="43" w:after="0" w:line="240" w:lineRule="auto"/>
        <w:ind w:left="2018" w:right="0" w:hanging="421"/>
        <w:jc w:val="left"/>
        <w:rPr>
          <w:rFonts w:ascii="Times New Roman" w:eastAsia="Times New Roman"/>
          <w:sz w:val="21"/>
        </w:rPr>
      </w:pPr>
      <w:r>
        <w:rPr>
          <w:spacing w:val="-3"/>
          <w:sz w:val="21"/>
        </w:rPr>
        <w:t>井盖标识是否与管道属性一致；</w:t>
      </w:r>
    </w:p>
    <w:p>
      <w:pPr>
        <w:pStyle w:val="ListParagraph"/>
        <w:numPr>
          <w:ilvl w:val="3"/>
          <w:numId w:val="25"/>
        </w:numPr>
        <w:tabs>
          <w:tab w:val="left" w:pos="2018"/>
          <w:tab w:val="left" w:pos="2019"/>
        </w:tabs>
        <w:spacing w:before="43" w:after="0" w:line="240" w:lineRule="auto"/>
        <w:ind w:left="2018" w:right="0" w:hanging="421"/>
        <w:jc w:val="left"/>
        <w:rPr>
          <w:rFonts w:ascii="Times New Roman" w:eastAsia="Times New Roman"/>
          <w:sz w:val="21"/>
        </w:rPr>
      </w:pPr>
      <w:r>
        <w:rPr>
          <w:spacing w:val="-3"/>
          <w:sz w:val="21"/>
        </w:rPr>
        <w:t>井圈、井口有无破损、倾斜、沉降、坍塌；</w:t>
      </w:r>
    </w:p>
    <w:p>
      <w:pPr>
        <w:pStyle w:val="ListParagraph"/>
        <w:numPr>
          <w:ilvl w:val="3"/>
          <w:numId w:val="25"/>
        </w:numPr>
        <w:tabs>
          <w:tab w:val="left" w:pos="2018"/>
          <w:tab w:val="left" w:pos="2019"/>
        </w:tabs>
        <w:spacing w:before="43" w:after="0" w:line="240" w:lineRule="auto"/>
        <w:ind w:left="2018" w:right="0" w:hanging="421"/>
        <w:jc w:val="left"/>
        <w:rPr>
          <w:rFonts w:ascii="Times New Roman" w:eastAsia="Times New Roman"/>
          <w:sz w:val="21"/>
        </w:rPr>
      </w:pPr>
      <w:r>
        <w:rPr>
          <w:spacing w:val="-3"/>
          <w:sz w:val="21"/>
        </w:rPr>
        <w:t>井盖与井框之间是否突出、凹陷、跳动或有声响；</w:t>
      </w:r>
    </w:p>
    <w:p>
      <w:pPr>
        <w:pStyle w:val="ListParagraph"/>
        <w:numPr>
          <w:ilvl w:val="3"/>
          <w:numId w:val="25"/>
        </w:numPr>
        <w:tabs>
          <w:tab w:val="left" w:pos="2018"/>
          <w:tab w:val="left" w:pos="2019"/>
        </w:tabs>
        <w:spacing w:before="43" w:after="0" w:line="240" w:lineRule="auto"/>
        <w:ind w:left="2018" w:right="0" w:hanging="421"/>
        <w:jc w:val="left"/>
        <w:rPr>
          <w:rFonts w:ascii="Times New Roman" w:eastAsia="Times New Roman"/>
          <w:sz w:val="21"/>
        </w:rPr>
      </w:pPr>
      <w:r>
        <w:rPr>
          <w:spacing w:val="-3"/>
          <w:sz w:val="21"/>
        </w:rPr>
        <w:t>检查井周边路面有无破损、沉降。</w:t>
      </w:r>
    </w:p>
    <w:p>
      <w:pPr>
        <w:pStyle w:val="ListParagraph"/>
        <w:numPr>
          <w:ilvl w:val="2"/>
          <w:numId w:val="25"/>
        </w:numPr>
        <w:tabs>
          <w:tab w:val="left" w:pos="1880"/>
        </w:tabs>
        <w:spacing w:before="42" w:after="0" w:line="278" w:lineRule="auto"/>
        <w:ind w:left="1178" w:right="866" w:firstLine="0"/>
        <w:jc w:val="left"/>
        <w:rPr>
          <w:sz w:val="21"/>
        </w:rPr>
      </w:pPr>
      <w:r>
        <w:rPr>
          <w:spacing w:val="-4"/>
          <w:sz w:val="21"/>
        </w:rPr>
        <w:t xml:space="preserve">当巡视人员在巡视中发现井盖缺失或损坏后，应立即设置警示标志，并在 </w:t>
      </w:r>
      <w:r>
        <w:rPr>
          <w:rFonts w:ascii="Calibri" w:eastAsia="Calibri"/>
          <w:sz w:val="21"/>
        </w:rPr>
        <w:t>12h</w:t>
      </w:r>
      <w:r>
        <w:rPr>
          <w:rFonts w:ascii="Calibri" w:eastAsia="Calibri"/>
          <w:spacing w:val="41"/>
          <w:sz w:val="21"/>
        </w:rPr>
        <w:t xml:space="preserve"> </w:t>
      </w:r>
      <w:r>
        <w:rPr>
          <w:spacing w:val="-3"/>
          <w:sz w:val="21"/>
        </w:rPr>
        <w:t>内修补恢复；当</w:t>
      </w:r>
      <w:r>
        <w:rPr>
          <w:spacing w:val="-6"/>
          <w:sz w:val="21"/>
        </w:rPr>
        <w:t xml:space="preserve">运维单位接报井盖缺失或损坏信息后，应在 </w:t>
      </w:r>
      <w:r>
        <w:rPr>
          <w:rFonts w:ascii="Calibri" w:eastAsia="Calibri"/>
          <w:sz w:val="21"/>
        </w:rPr>
        <w:t>2h</w:t>
      </w:r>
      <w:r>
        <w:rPr>
          <w:rFonts w:ascii="Calibri" w:eastAsia="Calibri"/>
          <w:spacing w:val="8"/>
          <w:sz w:val="21"/>
        </w:rPr>
        <w:t xml:space="preserve"> </w:t>
      </w:r>
      <w:r>
        <w:rPr>
          <w:spacing w:val="-6"/>
          <w:sz w:val="21"/>
        </w:rPr>
        <w:t xml:space="preserve">内安放护栏和警示标志，并应在 </w:t>
      </w:r>
      <w:r>
        <w:rPr>
          <w:rFonts w:ascii="Calibri" w:eastAsia="Calibri"/>
          <w:sz w:val="21"/>
        </w:rPr>
        <w:t>12h</w:t>
      </w:r>
      <w:r>
        <w:rPr>
          <w:rFonts w:ascii="Calibri" w:eastAsia="Calibri"/>
          <w:spacing w:val="6"/>
          <w:sz w:val="21"/>
        </w:rPr>
        <w:t xml:space="preserve"> </w:t>
      </w:r>
      <w:r>
        <w:rPr>
          <w:spacing w:val="-3"/>
          <w:sz w:val="21"/>
        </w:rPr>
        <w:t>内修补恢复。</w:t>
      </w:r>
    </w:p>
    <w:p>
      <w:pPr>
        <w:pStyle w:val="ListParagraph"/>
        <w:numPr>
          <w:ilvl w:val="2"/>
          <w:numId w:val="25"/>
        </w:numPr>
        <w:tabs>
          <w:tab w:val="left" w:pos="1863"/>
        </w:tabs>
        <w:spacing w:before="0" w:after="0" w:line="278" w:lineRule="auto"/>
        <w:ind w:left="1178" w:right="869" w:firstLine="0"/>
        <w:jc w:val="left"/>
        <w:rPr>
          <w:sz w:val="21"/>
        </w:rPr>
      </w:pPr>
      <w:r>
        <w:rPr>
          <w:spacing w:val="-7"/>
          <w:sz w:val="21"/>
        </w:rPr>
        <w:t>巡查要求每次巡查均应做好巡查记录，登记巡检人姓名、巡检时间、巡检范围</w:t>
      </w:r>
      <w:r>
        <w:rPr>
          <w:spacing w:val="-3"/>
          <w:sz w:val="21"/>
        </w:rPr>
        <w:t>（</w:t>
      </w:r>
      <w:r>
        <w:rPr>
          <w:spacing w:val="-2"/>
          <w:sz w:val="21"/>
        </w:rPr>
        <w:t>检查井号</w:t>
      </w:r>
      <w:r>
        <w:rPr>
          <w:spacing w:val="-106"/>
          <w:sz w:val="21"/>
        </w:rPr>
        <w:t>）</w:t>
      </w:r>
      <w:r>
        <w:rPr>
          <w:spacing w:val="-7"/>
          <w:sz w:val="21"/>
        </w:rPr>
        <w:t>、管</w:t>
      </w:r>
      <w:r>
        <w:rPr>
          <w:spacing w:val="-5"/>
          <w:sz w:val="21"/>
        </w:rPr>
        <w:t>网系统状况等信息，发现问题应及时维修、整改。宜保留电子版的巡检过程影像资料。</w:t>
      </w:r>
    </w:p>
    <w:p>
      <w:pPr>
        <w:pStyle w:val="ListParagraph"/>
        <w:numPr>
          <w:ilvl w:val="2"/>
          <w:numId w:val="25"/>
        </w:numPr>
        <w:tabs>
          <w:tab w:val="left" w:pos="1863"/>
        </w:tabs>
        <w:spacing w:before="0" w:after="0" w:line="269" w:lineRule="exact"/>
        <w:ind w:left="1862" w:right="0" w:hanging="685"/>
        <w:jc w:val="left"/>
        <w:rPr>
          <w:sz w:val="21"/>
        </w:rPr>
      </w:pPr>
      <w:r>
        <w:rPr>
          <w:spacing w:val="-3"/>
          <w:sz w:val="21"/>
        </w:rPr>
        <w:t>排放口外部巡视应包括以下内容：</w:t>
      </w:r>
    </w:p>
    <w:p>
      <w:pPr>
        <w:pStyle w:val="ListParagraph"/>
        <w:numPr>
          <w:ilvl w:val="3"/>
          <w:numId w:val="25"/>
        </w:numPr>
        <w:tabs>
          <w:tab w:val="left" w:pos="2018"/>
          <w:tab w:val="left" w:pos="2019"/>
        </w:tabs>
        <w:spacing w:before="43" w:after="0" w:line="240" w:lineRule="auto"/>
        <w:ind w:left="2018" w:right="0" w:hanging="421"/>
        <w:jc w:val="left"/>
        <w:rPr>
          <w:rFonts w:ascii="Times New Roman" w:eastAsia="Times New Roman"/>
          <w:sz w:val="21"/>
        </w:rPr>
      </w:pPr>
      <w:r>
        <w:rPr>
          <w:spacing w:val="-3"/>
          <w:sz w:val="21"/>
        </w:rPr>
        <w:t>附近是否存在堆积物、违章搭建、垃圾等；</w:t>
      </w:r>
    </w:p>
    <w:p>
      <w:pPr>
        <w:pStyle w:val="ListParagraph"/>
        <w:numPr>
          <w:ilvl w:val="3"/>
          <w:numId w:val="25"/>
        </w:numPr>
        <w:tabs>
          <w:tab w:val="left" w:pos="2018"/>
          <w:tab w:val="left" w:pos="2019"/>
        </w:tabs>
        <w:spacing w:before="44" w:after="0" w:line="240" w:lineRule="auto"/>
        <w:ind w:left="2018" w:right="0" w:hanging="421"/>
        <w:jc w:val="left"/>
        <w:rPr>
          <w:rFonts w:ascii="Times New Roman" w:eastAsia="Times New Roman"/>
          <w:sz w:val="21"/>
        </w:rPr>
      </w:pPr>
      <w:r>
        <w:rPr>
          <w:spacing w:val="-3"/>
          <w:sz w:val="21"/>
        </w:rPr>
        <w:t>挡墙、护坡及跌水消能设施是否破损，</w:t>
      </w:r>
    </w:p>
    <w:p>
      <w:pPr>
        <w:pStyle w:val="ListParagraph"/>
        <w:numPr>
          <w:ilvl w:val="3"/>
          <w:numId w:val="25"/>
        </w:numPr>
        <w:tabs>
          <w:tab w:val="left" w:pos="2018"/>
          <w:tab w:val="left" w:pos="2019"/>
        </w:tabs>
        <w:spacing w:before="43" w:after="0" w:line="240" w:lineRule="auto"/>
        <w:ind w:left="2018" w:right="0" w:hanging="421"/>
        <w:jc w:val="left"/>
        <w:rPr>
          <w:rFonts w:ascii="Times New Roman" w:eastAsia="Times New Roman"/>
          <w:sz w:val="21"/>
        </w:rPr>
      </w:pPr>
      <w:r>
        <w:rPr>
          <w:spacing w:val="-3"/>
          <w:sz w:val="21"/>
        </w:rPr>
        <w:t>排放口附近是否按《环境保护图形标志》</w:t>
      </w:r>
      <w:r>
        <w:rPr>
          <w:sz w:val="21"/>
        </w:rPr>
        <w:t>（</w:t>
      </w:r>
      <w:r>
        <w:rPr>
          <w:rFonts w:ascii="Times New Roman" w:eastAsia="Times New Roman"/>
          <w:sz w:val="21"/>
        </w:rPr>
        <w:t>GB/T</w:t>
      </w:r>
      <w:r>
        <w:rPr>
          <w:rFonts w:ascii="Times New Roman" w:eastAsia="Times New Roman"/>
          <w:spacing w:val="1"/>
          <w:sz w:val="21"/>
        </w:rPr>
        <w:t xml:space="preserve"> </w:t>
      </w:r>
      <w:r>
        <w:rPr>
          <w:rFonts w:ascii="Times New Roman" w:eastAsia="Times New Roman"/>
          <w:sz w:val="21"/>
        </w:rPr>
        <w:t>15562.1</w:t>
      </w:r>
      <w:r>
        <w:rPr>
          <w:sz w:val="21"/>
        </w:rPr>
        <w:t>）</w:t>
      </w:r>
      <w:r>
        <w:rPr>
          <w:spacing w:val="-3"/>
          <w:sz w:val="21"/>
        </w:rPr>
        <w:t>规定制作并悬挂标志牌。</w:t>
      </w:r>
    </w:p>
    <w:p>
      <w:pPr>
        <w:pStyle w:val="ListParagraph"/>
        <w:numPr>
          <w:ilvl w:val="2"/>
          <w:numId w:val="25"/>
        </w:numPr>
        <w:tabs>
          <w:tab w:val="left" w:pos="1863"/>
        </w:tabs>
        <w:spacing w:before="43" w:after="0" w:line="240" w:lineRule="auto"/>
        <w:ind w:left="1862" w:right="0" w:hanging="685"/>
        <w:jc w:val="left"/>
        <w:rPr>
          <w:sz w:val="21"/>
        </w:rPr>
      </w:pPr>
      <w:r>
        <w:rPr>
          <w:spacing w:val="-3"/>
          <w:sz w:val="21"/>
        </w:rPr>
        <w:t>汛期来临前，应加强对排放口的排查和隐患排查，以便发现问题及时整改。</w:t>
      </w:r>
    </w:p>
    <w:p>
      <w:pPr>
        <w:pStyle w:val="ListParagraph"/>
        <w:numPr>
          <w:ilvl w:val="2"/>
          <w:numId w:val="25"/>
        </w:numPr>
        <w:tabs>
          <w:tab w:val="left" w:pos="1863"/>
        </w:tabs>
        <w:spacing w:before="43" w:after="0" w:line="278" w:lineRule="auto"/>
        <w:ind w:left="1178" w:right="868" w:firstLine="0"/>
        <w:jc w:val="left"/>
        <w:rPr>
          <w:sz w:val="21"/>
        </w:rPr>
      </w:pPr>
      <w:r>
        <w:rPr>
          <w:spacing w:val="-11"/>
          <w:sz w:val="21"/>
        </w:rPr>
        <w:t>排水管道的养护包括：管道和倒虹吸管的清淤、疏通；冬季管道的养护；检查井的清捞；井体缺</w:t>
      </w:r>
      <w:r>
        <w:rPr>
          <w:spacing w:val="-6"/>
          <w:sz w:val="21"/>
        </w:rPr>
        <w:t>陷的修复；井盖、井框、安全网的更换；排放口的清理、修复和疏浚。</w:t>
      </w:r>
    </w:p>
    <w:p>
      <w:pPr>
        <w:pStyle w:val="ListParagraph"/>
        <w:numPr>
          <w:ilvl w:val="2"/>
          <w:numId w:val="25"/>
        </w:numPr>
        <w:tabs>
          <w:tab w:val="left" w:pos="1916"/>
        </w:tabs>
        <w:spacing w:before="0" w:after="0" w:line="278" w:lineRule="auto"/>
        <w:ind w:left="1178" w:right="866" w:firstLine="0"/>
        <w:jc w:val="left"/>
        <w:rPr>
          <w:sz w:val="21"/>
        </w:rPr>
      </w:pPr>
      <w:r>
        <w:rPr>
          <w:spacing w:val="-3"/>
          <w:sz w:val="21"/>
        </w:rPr>
        <w:t>管道的清疏养护可采用射水疏通、绞车疏通、推杆疏通、转杆疏通、水力疏通和人工铲挖等方式，各种管道疏通方法可根据现场实际情况选择确定。</w:t>
      </w:r>
    </w:p>
    <w:p>
      <w:pPr>
        <w:pStyle w:val="ListParagraph"/>
        <w:numPr>
          <w:ilvl w:val="2"/>
          <w:numId w:val="25"/>
        </w:numPr>
        <w:tabs>
          <w:tab w:val="left" w:pos="1863"/>
        </w:tabs>
        <w:spacing w:before="0" w:after="0" w:line="278" w:lineRule="auto"/>
        <w:ind w:left="1178" w:right="868" w:firstLine="0"/>
        <w:jc w:val="left"/>
        <w:rPr>
          <w:sz w:val="21"/>
        </w:rPr>
      </w:pPr>
      <w:r>
        <w:rPr>
          <w:spacing w:val="-13"/>
          <w:sz w:val="21"/>
        </w:rPr>
        <w:t>当管道损坏、淤塞严重时，巡检人员应及时上报，同时调集清通人员，进行突击抢险清通，清通</w:t>
      </w:r>
      <w:r>
        <w:rPr>
          <w:spacing w:val="-6"/>
          <w:sz w:val="21"/>
        </w:rPr>
        <w:t>工作应迅速快捷，确保管道的安全运行。</w:t>
      </w:r>
    </w:p>
    <w:p>
      <w:pPr>
        <w:pStyle w:val="ListParagraph"/>
        <w:numPr>
          <w:ilvl w:val="2"/>
          <w:numId w:val="25"/>
        </w:numPr>
        <w:tabs>
          <w:tab w:val="left" w:pos="1863"/>
        </w:tabs>
        <w:spacing w:before="0" w:after="0" w:line="269" w:lineRule="exact"/>
        <w:ind w:left="1862" w:right="0" w:hanging="685"/>
        <w:jc w:val="left"/>
        <w:rPr>
          <w:sz w:val="21"/>
        </w:rPr>
      </w:pPr>
      <w:r>
        <w:drawing>
          <wp:anchor distT="0" distB="0" distL="0" distR="0" simplePos="0" relativeHeight="251677696" behindDoc="0" locked="0" layoutInCell="1" allowOverlap="1">
            <wp:simplePos x="0" y="0"/>
            <wp:positionH relativeFrom="page">
              <wp:posOffset>215900</wp:posOffset>
            </wp:positionH>
            <wp:positionV relativeFrom="paragraph">
              <wp:posOffset>42656</wp:posOffset>
            </wp:positionV>
            <wp:extent cx="7112000" cy="4876800"/>
            <wp:effectExtent l="0" t="0" r="0" b="0"/>
            <wp:wrapNone/>
            <wp:docPr id="3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1.png"/>
                    <pic:cNvPicPr/>
                  </pic:nvPicPr>
                  <pic:blipFill>
                    <a:blip xmlns:r="http://schemas.openxmlformats.org/officeDocument/2006/relationships" r:embed="rId4" cstate="print"/>
                    <a:stretch>
                      <a:fillRect/>
                    </a:stretch>
                  </pic:blipFill>
                  <pic:spPr>
                    <a:xfrm>
                      <a:off x="0" y="0"/>
                      <a:ext cx="7112000" cy="4876800"/>
                    </a:xfrm>
                    <a:prstGeom prst="rect">
                      <a:avLst/>
                    </a:prstGeom>
                  </pic:spPr>
                </pic:pic>
              </a:graphicData>
            </a:graphic>
          </wp:anchor>
        </w:drawing>
      </w:r>
      <w:r>
        <w:rPr>
          <w:spacing w:val="-3"/>
          <w:sz w:val="21"/>
        </w:rPr>
        <w:t>倒虹管的养护应符合下列规定：</w:t>
      </w:r>
    </w:p>
    <w:p>
      <w:pPr>
        <w:pStyle w:val="ListParagraph"/>
        <w:numPr>
          <w:ilvl w:val="3"/>
          <w:numId w:val="25"/>
        </w:numPr>
        <w:tabs>
          <w:tab w:val="left" w:pos="2018"/>
          <w:tab w:val="left" w:pos="2019"/>
        </w:tabs>
        <w:spacing w:before="42" w:after="0" w:line="240" w:lineRule="auto"/>
        <w:ind w:left="2018" w:right="0" w:hanging="421"/>
        <w:jc w:val="left"/>
        <w:rPr>
          <w:rFonts w:ascii="Times New Roman" w:eastAsia="Times New Roman"/>
          <w:sz w:val="21"/>
        </w:rPr>
      </w:pPr>
      <w:r>
        <w:rPr>
          <w:spacing w:val="-3"/>
          <w:sz w:val="21"/>
        </w:rPr>
        <w:t>倒虹管应定期清理，采用水力冲洗养护时，冲洗流速不宜小于</w:t>
      </w:r>
      <w:r>
        <w:rPr>
          <w:rFonts w:ascii="Times New Roman" w:eastAsia="Times New Roman"/>
          <w:sz w:val="21"/>
        </w:rPr>
        <w:t>1.2m/s</w:t>
      </w:r>
      <w:r>
        <w:rPr>
          <w:sz w:val="21"/>
        </w:rPr>
        <w:t>；</w:t>
      </w:r>
    </w:p>
    <w:p>
      <w:pPr>
        <w:pStyle w:val="ListParagraph"/>
        <w:numPr>
          <w:ilvl w:val="3"/>
          <w:numId w:val="25"/>
        </w:numPr>
        <w:tabs>
          <w:tab w:val="left" w:pos="2018"/>
          <w:tab w:val="left" w:pos="2019"/>
        </w:tabs>
        <w:spacing w:before="43" w:after="0" w:line="240" w:lineRule="auto"/>
        <w:ind w:left="2018" w:right="0" w:hanging="421"/>
        <w:jc w:val="left"/>
        <w:rPr>
          <w:rFonts w:ascii="Times New Roman" w:eastAsia="Times New Roman"/>
          <w:sz w:val="21"/>
        </w:rPr>
      </w:pPr>
      <w:r>
        <w:rPr>
          <w:spacing w:val="-3"/>
          <w:sz w:val="21"/>
        </w:rPr>
        <w:t>过河倒虹管的河床覆土小于</w:t>
      </w:r>
      <w:r>
        <w:rPr>
          <w:rFonts w:ascii="Times New Roman" w:eastAsia="Times New Roman"/>
          <w:sz w:val="21"/>
        </w:rPr>
        <w:t>1.0m</w:t>
      </w:r>
      <w:r>
        <w:rPr>
          <w:spacing w:val="-3"/>
          <w:sz w:val="21"/>
        </w:rPr>
        <w:t>时，应及时采取抛石等保护措施；</w:t>
      </w:r>
    </w:p>
    <w:p>
      <w:pPr>
        <w:pStyle w:val="ListParagraph"/>
        <w:numPr>
          <w:ilvl w:val="3"/>
          <w:numId w:val="25"/>
        </w:numPr>
        <w:tabs>
          <w:tab w:val="left" w:pos="2018"/>
          <w:tab w:val="left" w:pos="2019"/>
        </w:tabs>
        <w:spacing w:before="43" w:after="0" w:line="240" w:lineRule="auto"/>
        <w:ind w:left="2018" w:right="0" w:hanging="421"/>
        <w:jc w:val="left"/>
        <w:rPr>
          <w:rFonts w:ascii="Times New Roman" w:eastAsia="Times New Roman"/>
          <w:sz w:val="21"/>
        </w:rPr>
      </w:pPr>
      <w:r>
        <w:rPr>
          <w:spacing w:val="-3"/>
          <w:sz w:val="21"/>
        </w:rPr>
        <w:t>倒虹管养护需要抽空管道时，应先进行抗浮验算；</w:t>
      </w:r>
    </w:p>
    <w:p>
      <w:pPr>
        <w:pStyle w:val="ListParagraph"/>
        <w:numPr>
          <w:ilvl w:val="3"/>
          <w:numId w:val="25"/>
        </w:numPr>
        <w:tabs>
          <w:tab w:val="left" w:pos="2018"/>
          <w:tab w:val="left" w:pos="2019"/>
        </w:tabs>
        <w:spacing w:before="43" w:after="0" w:line="240" w:lineRule="auto"/>
        <w:ind w:left="2018" w:right="0" w:hanging="421"/>
        <w:jc w:val="left"/>
        <w:rPr>
          <w:rFonts w:ascii="Times New Roman" w:eastAsia="Times New Roman"/>
          <w:sz w:val="21"/>
        </w:rPr>
      </w:pPr>
      <w:r>
        <w:rPr>
          <w:spacing w:val="-3"/>
          <w:sz w:val="21"/>
        </w:rPr>
        <w:t>倒虹管沉砂井应定期清理。</w:t>
      </w:r>
    </w:p>
    <w:p>
      <w:pPr>
        <w:pStyle w:val="ListParagraph"/>
        <w:numPr>
          <w:ilvl w:val="2"/>
          <w:numId w:val="25"/>
        </w:numPr>
        <w:tabs>
          <w:tab w:val="left" w:pos="1863"/>
        </w:tabs>
        <w:spacing w:before="43" w:after="0" w:line="240" w:lineRule="auto"/>
        <w:ind w:left="1862" w:right="0" w:hanging="685"/>
        <w:jc w:val="left"/>
        <w:rPr>
          <w:sz w:val="21"/>
        </w:rPr>
      </w:pPr>
      <w:r>
        <w:rPr>
          <w:spacing w:val="-3"/>
          <w:sz w:val="21"/>
        </w:rPr>
        <w:t>冬季严禁将道路积雪倒入管道中。</w:t>
      </w:r>
    </w:p>
    <w:p>
      <w:pPr>
        <w:pStyle w:val="ListParagraph"/>
        <w:numPr>
          <w:ilvl w:val="2"/>
          <w:numId w:val="25"/>
        </w:numPr>
        <w:tabs>
          <w:tab w:val="left" w:pos="1885"/>
        </w:tabs>
        <w:spacing w:before="43" w:after="0" w:line="278" w:lineRule="auto"/>
        <w:ind w:left="1178" w:right="866" w:firstLine="0"/>
        <w:jc w:val="left"/>
        <w:rPr>
          <w:sz w:val="21"/>
        </w:rPr>
      </w:pPr>
      <w:r>
        <w:rPr>
          <w:spacing w:val="-5"/>
          <w:sz w:val="21"/>
        </w:rPr>
        <w:t xml:space="preserve">检查井的养护频率不应低于 </w:t>
      </w:r>
      <w:r>
        <w:rPr>
          <w:rFonts w:ascii="Calibri" w:eastAsia="Calibri"/>
          <w:sz w:val="21"/>
        </w:rPr>
        <w:t>4</w:t>
      </w:r>
      <w:r>
        <w:rPr>
          <w:rFonts w:ascii="Calibri" w:eastAsia="Calibri"/>
          <w:spacing w:val="36"/>
          <w:sz w:val="21"/>
        </w:rPr>
        <w:t xml:space="preserve"> </w:t>
      </w:r>
      <w:r>
        <w:rPr>
          <w:sz w:val="21"/>
        </w:rPr>
        <w:t>次</w:t>
      </w:r>
      <w:r>
        <w:rPr>
          <w:rFonts w:ascii="Calibri" w:eastAsia="Calibri"/>
          <w:sz w:val="21"/>
        </w:rPr>
        <w:t>/</w:t>
      </w:r>
      <w:r>
        <w:rPr>
          <w:spacing w:val="-5"/>
          <w:sz w:val="21"/>
        </w:rPr>
        <w:t xml:space="preserve">年，管道养护频率不应低于 </w:t>
      </w:r>
      <w:r>
        <w:rPr>
          <w:rFonts w:ascii="Calibri" w:eastAsia="Calibri"/>
          <w:sz w:val="21"/>
        </w:rPr>
        <w:t>1</w:t>
      </w:r>
      <w:r>
        <w:rPr>
          <w:rFonts w:ascii="Calibri" w:eastAsia="Calibri"/>
          <w:spacing w:val="39"/>
          <w:sz w:val="21"/>
        </w:rPr>
        <w:t xml:space="preserve"> </w:t>
      </w:r>
      <w:r>
        <w:rPr>
          <w:sz w:val="21"/>
        </w:rPr>
        <w:t>次</w:t>
      </w:r>
      <w:r>
        <w:rPr>
          <w:rFonts w:ascii="Calibri" w:eastAsia="Calibri"/>
          <w:spacing w:val="-3"/>
          <w:sz w:val="21"/>
        </w:rPr>
        <w:t>/</w:t>
      </w:r>
      <w:r>
        <w:rPr>
          <w:spacing w:val="-3"/>
          <w:sz w:val="21"/>
        </w:rPr>
        <w:t>年，容易淤积的管网应结合季节性和重要性适当增加清疏频率。</w:t>
      </w:r>
    </w:p>
    <w:p>
      <w:pPr>
        <w:pStyle w:val="ListParagraph"/>
        <w:numPr>
          <w:ilvl w:val="2"/>
          <w:numId w:val="25"/>
        </w:numPr>
        <w:tabs>
          <w:tab w:val="left" w:pos="1863"/>
        </w:tabs>
        <w:spacing w:before="0" w:after="0" w:line="269" w:lineRule="exact"/>
        <w:ind w:left="1862" w:right="0" w:hanging="685"/>
        <w:jc w:val="left"/>
        <w:rPr>
          <w:sz w:val="21"/>
        </w:rPr>
      </w:pPr>
      <w:r>
        <w:rPr>
          <w:spacing w:val="-3"/>
          <w:sz w:val="21"/>
        </w:rPr>
        <w:t>检查井的清疏养护应符合下列规定：</w:t>
      </w:r>
    </w:p>
    <w:p>
      <w:pPr>
        <w:pStyle w:val="ListParagraph"/>
        <w:numPr>
          <w:ilvl w:val="3"/>
          <w:numId w:val="25"/>
        </w:numPr>
        <w:tabs>
          <w:tab w:val="left" w:pos="2018"/>
          <w:tab w:val="left" w:pos="2019"/>
        </w:tabs>
        <w:spacing w:before="43" w:after="0" w:line="240" w:lineRule="auto"/>
        <w:ind w:left="2018" w:right="0" w:hanging="421"/>
        <w:jc w:val="left"/>
        <w:rPr>
          <w:rFonts w:ascii="Times New Roman" w:eastAsia="Times New Roman"/>
          <w:sz w:val="21"/>
        </w:rPr>
      </w:pPr>
      <w:r>
        <w:rPr>
          <w:spacing w:val="-3"/>
          <w:sz w:val="21"/>
        </w:rPr>
        <w:t>防坠网上、检查井内及截污井内的格栅上应无垃圾和杂物；</w:t>
      </w:r>
    </w:p>
    <w:p>
      <w:pPr>
        <w:pStyle w:val="ListParagraph"/>
        <w:numPr>
          <w:ilvl w:val="3"/>
          <w:numId w:val="25"/>
        </w:numPr>
        <w:tabs>
          <w:tab w:val="left" w:pos="2018"/>
          <w:tab w:val="left" w:pos="2019"/>
        </w:tabs>
        <w:spacing w:before="43" w:after="0" w:line="240" w:lineRule="auto"/>
        <w:ind w:left="2018" w:right="0" w:hanging="421"/>
        <w:jc w:val="left"/>
        <w:rPr>
          <w:rFonts w:ascii="Times New Roman" w:eastAsia="Times New Roman"/>
          <w:sz w:val="21"/>
        </w:rPr>
      </w:pPr>
      <w:r>
        <w:rPr>
          <w:spacing w:val="-3"/>
          <w:sz w:val="21"/>
        </w:rPr>
        <w:t>发现防坠网不牢固的，应及时修理或更换；</w:t>
      </w:r>
    </w:p>
    <w:p>
      <w:pPr>
        <w:pStyle w:val="ListParagraph"/>
        <w:numPr>
          <w:ilvl w:val="3"/>
          <w:numId w:val="25"/>
        </w:numPr>
        <w:tabs>
          <w:tab w:val="left" w:pos="2018"/>
          <w:tab w:val="left" w:pos="2019"/>
        </w:tabs>
        <w:spacing w:before="43" w:after="0" w:line="240" w:lineRule="auto"/>
        <w:ind w:left="2018" w:right="0" w:hanging="421"/>
        <w:jc w:val="left"/>
        <w:rPr>
          <w:rFonts w:ascii="Times New Roman" w:eastAsia="Times New Roman"/>
          <w:sz w:val="21"/>
        </w:rPr>
      </w:pPr>
      <w:r>
        <w:rPr>
          <w:spacing w:val="-3"/>
          <w:sz w:val="21"/>
        </w:rPr>
        <w:t>清疏后应达到井壁清洁无结垢，井底无硬块，井内无积泥的质量要求。</w:t>
      </w:r>
    </w:p>
    <w:p>
      <w:pPr>
        <w:pStyle w:val="ListParagraph"/>
        <w:numPr>
          <w:ilvl w:val="2"/>
          <w:numId w:val="25"/>
        </w:numPr>
        <w:tabs>
          <w:tab w:val="left" w:pos="1863"/>
        </w:tabs>
        <w:spacing w:before="43" w:after="0" w:line="240" w:lineRule="auto"/>
        <w:ind w:left="1862" w:right="0" w:hanging="685"/>
        <w:jc w:val="left"/>
        <w:rPr>
          <w:sz w:val="21"/>
        </w:rPr>
      </w:pPr>
      <w:r>
        <w:rPr>
          <w:spacing w:val="-3"/>
          <w:sz w:val="21"/>
        </w:rPr>
        <w:t>检查井的清掏宜采用吸泥车、抓斗车等机械设备。</w:t>
      </w:r>
    </w:p>
    <w:p>
      <w:pPr>
        <w:pStyle w:val="ListParagraph"/>
        <w:numPr>
          <w:ilvl w:val="2"/>
          <w:numId w:val="25"/>
        </w:numPr>
        <w:tabs>
          <w:tab w:val="left" w:pos="1863"/>
        </w:tabs>
        <w:spacing w:before="43" w:after="0" w:line="240" w:lineRule="auto"/>
        <w:ind w:left="1862" w:right="0" w:hanging="685"/>
        <w:jc w:val="left"/>
        <w:rPr>
          <w:sz w:val="21"/>
        </w:rPr>
      </w:pPr>
      <w:r>
        <w:rPr>
          <w:spacing w:val="-3"/>
          <w:sz w:val="21"/>
        </w:rPr>
        <w:t>排放口的养护应符合下列规定：</w:t>
      </w:r>
    </w:p>
    <w:p>
      <w:pPr>
        <w:pStyle w:val="ListParagraph"/>
        <w:numPr>
          <w:ilvl w:val="3"/>
          <w:numId w:val="25"/>
        </w:numPr>
        <w:tabs>
          <w:tab w:val="left" w:pos="2018"/>
          <w:tab w:val="left" w:pos="2019"/>
        </w:tabs>
        <w:spacing w:before="43" w:after="0" w:line="240" w:lineRule="auto"/>
        <w:ind w:left="2018" w:right="0" w:hanging="421"/>
        <w:jc w:val="left"/>
        <w:rPr>
          <w:rFonts w:ascii="Times New Roman" w:eastAsia="Times New Roman"/>
          <w:sz w:val="21"/>
        </w:rPr>
      </w:pPr>
      <w:r>
        <w:rPr>
          <w:spacing w:val="-3"/>
          <w:sz w:val="21"/>
        </w:rPr>
        <w:t>应及时清理排放口附近的堆物、垃圾等；</w:t>
      </w:r>
    </w:p>
    <w:p>
      <w:pPr>
        <w:pStyle w:val="ListParagraph"/>
        <w:numPr>
          <w:ilvl w:val="3"/>
          <w:numId w:val="25"/>
        </w:numPr>
        <w:tabs>
          <w:tab w:val="left" w:pos="2018"/>
          <w:tab w:val="left" w:pos="2019"/>
        </w:tabs>
        <w:spacing w:before="43" w:after="0" w:line="240" w:lineRule="auto"/>
        <w:ind w:left="2018" w:right="0" w:hanging="421"/>
        <w:jc w:val="left"/>
        <w:rPr>
          <w:rFonts w:ascii="Times New Roman" w:eastAsia="Times New Roman"/>
          <w:sz w:val="21"/>
        </w:rPr>
      </w:pPr>
      <w:r>
        <w:rPr>
          <w:spacing w:val="-3"/>
          <w:sz w:val="21"/>
        </w:rPr>
        <w:t>应及时修理和加固排放口挡墙、护坡及跌水消能设施；</w:t>
      </w:r>
    </w:p>
    <w:p>
      <w:pPr>
        <w:pStyle w:val="ListParagraph"/>
        <w:numPr>
          <w:ilvl w:val="3"/>
          <w:numId w:val="25"/>
        </w:numPr>
        <w:tabs>
          <w:tab w:val="left" w:pos="2018"/>
          <w:tab w:val="left" w:pos="2019"/>
        </w:tabs>
        <w:spacing w:before="43" w:after="0" w:line="240" w:lineRule="auto"/>
        <w:ind w:left="2018" w:right="0" w:hanging="421"/>
        <w:jc w:val="left"/>
        <w:rPr>
          <w:rFonts w:ascii="Times New Roman" w:eastAsia="Times New Roman"/>
          <w:sz w:val="21"/>
        </w:rPr>
      </w:pPr>
      <w:r>
        <w:rPr>
          <w:spacing w:val="-3"/>
          <w:sz w:val="21"/>
        </w:rPr>
        <w:t>埋深低于河滩的排放口，应在每年枯水期进行疏浚；</w:t>
      </w:r>
    </w:p>
    <w:p>
      <w:pPr>
        <w:pStyle w:val="ListParagraph"/>
        <w:numPr>
          <w:ilvl w:val="3"/>
          <w:numId w:val="25"/>
        </w:numPr>
        <w:tabs>
          <w:tab w:val="left" w:pos="2018"/>
          <w:tab w:val="left" w:pos="2019"/>
        </w:tabs>
        <w:spacing w:before="43" w:after="0" w:line="240" w:lineRule="auto"/>
        <w:ind w:left="2018" w:right="0" w:hanging="421"/>
        <w:jc w:val="left"/>
        <w:rPr>
          <w:rFonts w:ascii="Times New Roman" w:eastAsia="Times New Roman"/>
          <w:sz w:val="21"/>
        </w:rPr>
      </w:pPr>
      <w:r>
        <w:rPr>
          <w:spacing w:val="-3"/>
          <w:sz w:val="21"/>
        </w:rPr>
        <w:t>当排放口管底高于河滩</w:t>
      </w:r>
      <w:r>
        <w:rPr>
          <w:rFonts w:ascii="Times New Roman" w:eastAsia="Times New Roman"/>
          <w:sz w:val="21"/>
        </w:rPr>
        <w:t>1.0m</w:t>
      </w:r>
      <w:r>
        <w:rPr>
          <w:spacing w:val="-3"/>
          <w:sz w:val="21"/>
        </w:rPr>
        <w:t>以上时，应根据冲刷情况增设阶梯跌水等消能设施。</w:t>
      </w:r>
    </w:p>
    <w:p>
      <w:pPr>
        <w:pStyle w:val="BodyText"/>
        <w:spacing w:before="9"/>
        <w:rPr>
          <w:sz w:val="27"/>
        </w:rPr>
      </w:pPr>
    </w:p>
    <w:p>
      <w:pPr>
        <w:pStyle w:val="ListParagraph"/>
        <w:numPr>
          <w:ilvl w:val="0"/>
          <w:numId w:val="25"/>
        </w:numPr>
        <w:tabs>
          <w:tab w:val="left" w:pos="1598"/>
          <w:tab w:val="left" w:pos="1599"/>
        </w:tabs>
        <w:spacing w:before="0" w:after="0" w:line="240" w:lineRule="auto"/>
        <w:ind w:left="1598" w:right="0" w:hanging="421"/>
        <w:jc w:val="left"/>
        <w:rPr>
          <w:rFonts w:ascii="黑体" w:eastAsia="黑体" w:hint="eastAsia"/>
          <w:sz w:val="21"/>
        </w:rPr>
      </w:pPr>
      <w:r>
        <w:rPr>
          <w:rFonts w:ascii="黑体" w:eastAsia="黑体" w:hint="eastAsia"/>
          <w:spacing w:val="-3"/>
          <w:sz w:val="21"/>
        </w:rPr>
        <w:t>污水处理厂</w:t>
      </w:r>
    </w:p>
    <w:p>
      <w:pPr>
        <w:pStyle w:val="BodyText"/>
        <w:spacing w:before="9"/>
        <w:rPr>
          <w:rFonts w:ascii="黑体"/>
          <w:sz w:val="27"/>
        </w:rPr>
      </w:pPr>
    </w:p>
    <w:p>
      <w:pPr>
        <w:pStyle w:val="ListParagraph"/>
        <w:numPr>
          <w:ilvl w:val="1"/>
          <w:numId w:val="25"/>
        </w:numPr>
        <w:tabs>
          <w:tab w:val="left" w:pos="1602"/>
        </w:tabs>
        <w:spacing w:before="0" w:after="0" w:line="240" w:lineRule="auto"/>
        <w:ind w:left="1601" w:right="0" w:hanging="424"/>
        <w:jc w:val="left"/>
        <w:rPr>
          <w:rFonts w:ascii="黑体" w:eastAsia="黑体" w:hint="eastAsia"/>
          <w:sz w:val="21"/>
        </w:rPr>
      </w:pPr>
      <w:r>
        <w:rPr>
          <w:rFonts w:ascii="黑体" w:eastAsia="黑体" w:hint="eastAsia"/>
          <w:spacing w:val="-3"/>
          <w:sz w:val="21"/>
        </w:rPr>
        <w:t>一般规定</w:t>
      </w:r>
    </w:p>
    <w:p>
      <w:pPr>
        <w:pStyle w:val="BodyText"/>
        <w:rPr>
          <w:rFonts w:ascii="黑体"/>
          <w:sz w:val="20"/>
        </w:rPr>
      </w:pPr>
    </w:p>
    <w:p>
      <w:pPr>
        <w:pStyle w:val="BodyText"/>
        <w:spacing w:before="11"/>
        <w:rPr>
          <w:rFonts w:ascii="黑体"/>
          <w:sz w:val="15"/>
        </w:rPr>
      </w:pPr>
    </w:p>
    <w:p>
      <w:pPr>
        <w:spacing w:before="0"/>
        <w:ind w:left="0" w:right="1006" w:firstLine="0"/>
        <w:jc w:val="right"/>
        <w:rPr>
          <w:sz w:val="18"/>
        </w:rPr>
      </w:pPr>
      <w:r>
        <w:rPr>
          <w:sz w:val="18"/>
        </w:rPr>
        <w:t xml:space="preserve">5 </w:t>
      </w:r>
    </w:p>
    <w:p>
      <w:pPr>
        <w:spacing w:after="0"/>
        <w:jc w:val="right"/>
        <w:rPr>
          <w:sz w:val="18"/>
        </w:rPr>
        <w:sectPr>
          <w:headerReference w:type="even" r:id="rId28"/>
          <w:headerReference w:type="default" r:id="rId29"/>
          <w:pgSz w:w="11910" w:h="16840"/>
          <w:pgMar w:top="1640" w:right="260" w:bottom="280" w:left="240" w:header="1448" w:footer="0"/>
          <w:pgNumType w:start="12"/>
          <w:cols w:space="708"/>
        </w:sectPr>
      </w:pPr>
    </w:p>
    <w:p>
      <w:pPr>
        <w:pStyle w:val="BodyText"/>
        <w:spacing w:before="1"/>
        <w:rPr>
          <w:sz w:val="17"/>
        </w:rPr>
      </w:pPr>
    </w:p>
    <w:p>
      <w:pPr>
        <w:pStyle w:val="ListParagraph"/>
        <w:numPr>
          <w:ilvl w:val="2"/>
          <w:numId w:val="24"/>
        </w:numPr>
        <w:tabs>
          <w:tab w:val="left" w:pos="1472"/>
        </w:tabs>
        <w:spacing w:before="72" w:after="0" w:line="278" w:lineRule="auto"/>
        <w:ind w:left="892" w:right="1154" w:firstLine="0"/>
        <w:jc w:val="left"/>
        <w:rPr>
          <w:sz w:val="21"/>
        </w:rPr>
      </w:pPr>
      <w:r>
        <w:rPr>
          <w:spacing w:val="-5"/>
          <w:sz w:val="21"/>
        </w:rPr>
        <w:t>乡镇生活污水处理厂运营维护管理的主要内容包括污水处理系统、污泥处理与处置系统、附属设</w:t>
      </w:r>
      <w:r>
        <w:rPr>
          <w:spacing w:val="-4"/>
          <w:sz w:val="21"/>
        </w:rPr>
        <w:t>施、水质检验、记录建立及保存、运营成本控制等。</w:t>
      </w:r>
    </w:p>
    <w:p>
      <w:pPr>
        <w:pStyle w:val="ListParagraph"/>
        <w:numPr>
          <w:ilvl w:val="2"/>
          <w:numId w:val="24"/>
        </w:numPr>
        <w:tabs>
          <w:tab w:val="left" w:pos="1472"/>
        </w:tabs>
        <w:spacing w:before="0" w:after="0" w:line="278" w:lineRule="auto"/>
        <w:ind w:left="892" w:right="1152" w:firstLine="0"/>
        <w:jc w:val="left"/>
        <w:rPr>
          <w:sz w:val="21"/>
        </w:rPr>
      </w:pPr>
      <w:r>
        <w:rPr>
          <w:spacing w:val="-7"/>
          <w:sz w:val="21"/>
        </w:rPr>
        <w:t>为便于管理和操作，厂内各生产车间或管理用房内、主要构筑物外壁应配备工艺流程图、供配电</w:t>
      </w:r>
      <w:r>
        <w:rPr>
          <w:spacing w:val="-5"/>
          <w:sz w:val="21"/>
        </w:rPr>
        <w:t>系统图、控制系统图等图表，生产车间醒目处或主要设备旁应张贴设备操作规程、运转说明。</w:t>
      </w:r>
    </w:p>
    <w:p>
      <w:pPr>
        <w:pStyle w:val="ListParagraph"/>
        <w:numPr>
          <w:ilvl w:val="2"/>
          <w:numId w:val="24"/>
        </w:numPr>
        <w:tabs>
          <w:tab w:val="left" w:pos="1472"/>
        </w:tabs>
        <w:spacing w:before="0" w:after="0" w:line="278" w:lineRule="auto"/>
        <w:ind w:left="892" w:right="1151" w:firstLine="0"/>
        <w:jc w:val="left"/>
        <w:rPr>
          <w:sz w:val="21"/>
        </w:rPr>
      </w:pPr>
      <w:r>
        <w:rPr>
          <w:spacing w:val="-5"/>
          <w:sz w:val="21"/>
        </w:rPr>
        <w:t>在污水处理厂</w:t>
      </w:r>
      <w:r>
        <w:rPr>
          <w:sz w:val="21"/>
        </w:rPr>
        <w:t>（</w:t>
      </w:r>
      <w:r>
        <w:rPr>
          <w:spacing w:val="-3"/>
          <w:sz w:val="21"/>
        </w:rPr>
        <w:t>站</w:t>
      </w:r>
      <w:r>
        <w:rPr>
          <w:spacing w:val="-10"/>
          <w:sz w:val="21"/>
        </w:rPr>
        <w:t>）</w:t>
      </w:r>
      <w:r>
        <w:rPr>
          <w:spacing w:val="-7"/>
          <w:sz w:val="21"/>
        </w:rPr>
        <w:t>醒目地方设置公示牌，明确污水处理规模、主体工艺、运维责任单位、监督</w:t>
      </w:r>
      <w:r>
        <w:rPr>
          <w:spacing w:val="-5"/>
          <w:sz w:val="21"/>
        </w:rPr>
        <w:t>电话等内容。</w:t>
      </w:r>
    </w:p>
    <w:p>
      <w:pPr>
        <w:pStyle w:val="ListParagraph"/>
        <w:numPr>
          <w:ilvl w:val="2"/>
          <w:numId w:val="24"/>
        </w:numPr>
        <w:tabs>
          <w:tab w:val="left" w:pos="1472"/>
        </w:tabs>
        <w:spacing w:before="0" w:after="0" w:line="278" w:lineRule="auto"/>
        <w:ind w:left="892" w:right="1154" w:firstLine="0"/>
        <w:jc w:val="left"/>
        <w:rPr>
          <w:sz w:val="21"/>
        </w:rPr>
      </w:pPr>
      <w:r>
        <w:rPr>
          <w:spacing w:val="-9"/>
          <w:sz w:val="21"/>
        </w:rPr>
        <w:t>运维单位应经常检查设备的油封、水封等，避免水、泥、气泄漏，保证设备的运行效率，防止设</w:t>
      </w:r>
      <w:r>
        <w:rPr>
          <w:spacing w:val="-5"/>
          <w:sz w:val="21"/>
        </w:rPr>
        <w:t>备被腐蚀、环境被污染。对闸阀漏水或地下水渗漏等情况，应采取适当措施。</w:t>
      </w:r>
    </w:p>
    <w:p>
      <w:pPr>
        <w:pStyle w:val="ListParagraph"/>
        <w:numPr>
          <w:ilvl w:val="2"/>
          <w:numId w:val="24"/>
        </w:numPr>
        <w:tabs>
          <w:tab w:val="left" w:pos="1472"/>
        </w:tabs>
        <w:spacing w:before="0" w:after="0" w:line="278" w:lineRule="auto"/>
        <w:ind w:left="892" w:right="1154" w:firstLine="0"/>
        <w:jc w:val="left"/>
        <w:rPr>
          <w:sz w:val="21"/>
        </w:rPr>
      </w:pPr>
      <w:r>
        <w:rPr>
          <w:spacing w:val="-7"/>
          <w:sz w:val="21"/>
        </w:rPr>
        <w:t>工艺运行过程中，若出现异常或突发状况，运维单位应及时向主管部门汇报，制定可靠方案予以</w:t>
      </w:r>
      <w:r>
        <w:rPr>
          <w:sz w:val="21"/>
        </w:rPr>
        <w:t>解决。</w:t>
      </w:r>
    </w:p>
    <w:p>
      <w:pPr>
        <w:pStyle w:val="ListParagraph"/>
        <w:numPr>
          <w:ilvl w:val="2"/>
          <w:numId w:val="24"/>
        </w:numPr>
        <w:tabs>
          <w:tab w:val="left" w:pos="1525"/>
        </w:tabs>
        <w:spacing w:before="0" w:after="0" w:line="278" w:lineRule="auto"/>
        <w:ind w:left="892" w:right="1046" w:firstLine="0"/>
        <w:jc w:val="left"/>
        <w:rPr>
          <w:sz w:val="21"/>
        </w:rPr>
      </w:pPr>
      <w:r>
        <w:rPr>
          <w:spacing w:val="-3"/>
          <w:sz w:val="21"/>
        </w:rPr>
        <w:t>操作人员应经常清理沉淀池等构筑物堰口处的杂物，保证出水均匀和处理效果，保持外观整洁。泵房、污泥脱水间等有可能产生有毒有害气体的构</w:t>
      </w:r>
      <w:r>
        <w:rPr>
          <w:sz w:val="21"/>
        </w:rPr>
        <w:t>（建</w:t>
      </w:r>
      <w:r>
        <w:rPr>
          <w:spacing w:val="-3"/>
          <w:sz w:val="21"/>
        </w:rPr>
        <w:t>）筑物应保持良好通风。</w:t>
      </w:r>
    </w:p>
    <w:p>
      <w:pPr>
        <w:pStyle w:val="ListParagraph"/>
        <w:numPr>
          <w:ilvl w:val="2"/>
          <w:numId w:val="24"/>
        </w:numPr>
        <w:tabs>
          <w:tab w:val="left" w:pos="1472"/>
        </w:tabs>
        <w:spacing w:before="0" w:after="0" w:line="240" w:lineRule="auto"/>
        <w:ind w:left="1471" w:right="0" w:hanging="580"/>
        <w:jc w:val="left"/>
        <w:rPr>
          <w:sz w:val="21"/>
        </w:rPr>
      </w:pPr>
      <w:r>
        <w:rPr>
          <w:spacing w:val="-3"/>
          <w:sz w:val="21"/>
        </w:rPr>
        <w:t>污水处理厂的巡查周期规定如下：</w:t>
      </w:r>
    </w:p>
    <w:p>
      <w:pPr>
        <w:pStyle w:val="ListParagraph"/>
        <w:numPr>
          <w:ilvl w:val="3"/>
          <w:numId w:val="24"/>
        </w:numPr>
        <w:tabs>
          <w:tab w:val="left" w:pos="1733"/>
          <w:tab w:val="left" w:pos="1734"/>
        </w:tabs>
        <w:spacing w:before="42" w:after="0" w:line="278" w:lineRule="auto"/>
        <w:ind w:left="1733" w:right="1046" w:hanging="420"/>
        <w:jc w:val="left"/>
        <w:rPr>
          <w:sz w:val="21"/>
        </w:rPr>
      </w:pPr>
      <w:r>
        <w:rPr>
          <w:spacing w:val="-9"/>
          <w:sz w:val="21"/>
        </w:rPr>
        <w:t>设有中心控制室的污水处理厂，值班人员应对厂区主要构筑物及生产设备、仪表进行全面巡检</w:t>
      </w:r>
      <w:r>
        <w:rPr>
          <w:spacing w:val="-5"/>
          <w:sz w:val="21"/>
        </w:rPr>
        <w:t xml:space="preserve">一次，同时按照工艺流程对各工艺段运行情况进行巡查，根据实际生产需求进行记录和调整； </w:t>
      </w:r>
      <w:r>
        <w:rPr>
          <w:spacing w:val="-4"/>
          <w:sz w:val="21"/>
        </w:rPr>
        <w:t>其余时段按照生产需求，周期性巡检一次工艺段，对突发情况进行针对性巡检和记录；</w:t>
      </w:r>
    </w:p>
    <w:p>
      <w:pPr>
        <w:pStyle w:val="ListParagraph"/>
        <w:numPr>
          <w:ilvl w:val="3"/>
          <w:numId w:val="24"/>
        </w:numPr>
        <w:tabs>
          <w:tab w:val="left" w:pos="1733"/>
          <w:tab w:val="left" w:pos="1734"/>
        </w:tabs>
        <w:spacing w:before="0" w:after="0" w:line="269" w:lineRule="exact"/>
        <w:ind w:left="1733" w:right="0" w:hanging="421"/>
        <w:jc w:val="left"/>
        <w:rPr>
          <w:sz w:val="21"/>
        </w:rPr>
      </w:pPr>
      <w:r>
        <w:rPr>
          <w:spacing w:val="-3"/>
          <w:sz w:val="21"/>
        </w:rPr>
        <w:t>非特殊情况，天黑后不再上池巡检，通过监控查看设备及工艺段情况。</w:t>
      </w:r>
    </w:p>
    <w:p>
      <w:pPr>
        <w:pStyle w:val="ListParagraph"/>
        <w:numPr>
          <w:ilvl w:val="2"/>
          <w:numId w:val="24"/>
        </w:numPr>
        <w:tabs>
          <w:tab w:val="left" w:pos="1525"/>
        </w:tabs>
        <w:spacing w:before="43" w:after="0" w:line="240" w:lineRule="auto"/>
        <w:ind w:left="1524" w:right="0" w:hanging="633"/>
        <w:jc w:val="both"/>
        <w:rPr>
          <w:sz w:val="21"/>
        </w:rPr>
      </w:pPr>
      <w:r>
        <w:rPr>
          <w:spacing w:val="-3"/>
          <w:sz w:val="21"/>
        </w:rPr>
        <w:t>污泥应有明确的处置方式和处置地点，污泥处理处置应符合《城镇污水处理厂污染物排放标准》</w:t>
      </w:r>
    </w:p>
    <w:p>
      <w:pPr>
        <w:pStyle w:val="BodyText"/>
        <w:spacing w:before="43" w:line="278" w:lineRule="auto"/>
        <w:ind w:left="892" w:right="1152"/>
        <w:jc w:val="both"/>
      </w:pPr>
      <w:r>
        <w:drawing>
          <wp:anchor distT="0" distB="0" distL="0" distR="0" simplePos="0" relativeHeight="251678720" behindDoc="0" locked="0" layoutInCell="1" allowOverlap="1">
            <wp:simplePos x="0" y="0"/>
            <wp:positionH relativeFrom="page">
              <wp:posOffset>215900</wp:posOffset>
            </wp:positionH>
            <wp:positionV relativeFrom="paragraph">
              <wp:posOffset>466344</wp:posOffset>
            </wp:positionV>
            <wp:extent cx="7112000" cy="4876800"/>
            <wp:effectExtent l="0" t="0" r="0" b="0"/>
            <wp:wrapNone/>
            <wp:docPr id="3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1.png"/>
                    <pic:cNvPicPr/>
                  </pic:nvPicPr>
                  <pic:blipFill>
                    <a:blip xmlns:r="http://schemas.openxmlformats.org/officeDocument/2006/relationships" r:embed="rId4" cstate="print"/>
                    <a:stretch>
                      <a:fillRect/>
                    </a:stretch>
                  </pic:blipFill>
                  <pic:spPr>
                    <a:xfrm>
                      <a:off x="0" y="0"/>
                      <a:ext cx="7112000" cy="4876800"/>
                    </a:xfrm>
                    <a:prstGeom prst="rect">
                      <a:avLst/>
                    </a:prstGeom>
                  </pic:spPr>
                </pic:pic>
              </a:graphicData>
            </a:graphic>
          </wp:anchor>
        </w:drawing>
      </w:r>
      <w:r>
        <w:rPr>
          <w:w w:val="100"/>
        </w:rPr>
        <w:t>（</w:t>
      </w:r>
      <w:r>
        <w:rPr>
          <w:rFonts w:ascii="Calibri" w:eastAsia="Calibri"/>
          <w:spacing w:val="-2"/>
          <w:w w:val="100"/>
        </w:rPr>
        <w:t>G</w:t>
      </w:r>
      <w:r>
        <w:rPr>
          <w:rFonts w:ascii="Calibri" w:eastAsia="Calibri"/>
          <w:w w:val="100"/>
        </w:rPr>
        <w:t>B</w:t>
      </w:r>
      <w:r>
        <w:rPr>
          <w:rFonts w:ascii="Calibri" w:eastAsia="Calibri"/>
        </w:rPr>
        <w:t xml:space="preserve"> </w:t>
      </w:r>
      <w:r>
        <w:rPr>
          <w:rFonts w:ascii="Calibri" w:eastAsia="Calibri"/>
          <w:spacing w:val="-2"/>
          <w:w w:val="100"/>
        </w:rPr>
        <w:t>18</w:t>
      </w:r>
      <w:r>
        <w:rPr>
          <w:rFonts w:ascii="Calibri" w:eastAsia="Calibri"/>
          <w:w w:val="100"/>
        </w:rPr>
        <w:t>9</w:t>
      </w:r>
      <w:r>
        <w:rPr>
          <w:rFonts w:ascii="Calibri" w:eastAsia="Calibri"/>
          <w:spacing w:val="-2"/>
          <w:w w:val="100"/>
        </w:rPr>
        <w:t>1</w:t>
      </w:r>
      <w:r>
        <w:rPr>
          <w:rFonts w:ascii="Calibri" w:eastAsia="Calibri"/>
          <w:spacing w:val="1"/>
          <w:w w:val="100"/>
        </w:rPr>
        <w:t>8</w:t>
      </w:r>
      <w:r>
        <w:rPr>
          <w:spacing w:val="-106"/>
          <w:w w:val="100"/>
        </w:rPr>
        <w:t>）</w:t>
      </w:r>
      <w:r>
        <w:rPr>
          <w:spacing w:val="-17"/>
          <w:w w:val="100"/>
        </w:rPr>
        <w:t>、《城镇污水处理厂运行监督管理技术规范》</w:t>
      </w:r>
      <w:r>
        <w:rPr>
          <w:w w:val="100"/>
        </w:rPr>
        <w:t>（</w:t>
      </w:r>
      <w:r>
        <w:rPr>
          <w:rFonts w:ascii="Calibri" w:eastAsia="Calibri"/>
          <w:spacing w:val="-1"/>
          <w:w w:val="100"/>
        </w:rPr>
        <w:t>H</w:t>
      </w:r>
      <w:r>
        <w:rPr>
          <w:rFonts w:ascii="Calibri" w:eastAsia="Calibri"/>
          <w:w w:val="100"/>
        </w:rPr>
        <w:t>J</w:t>
      </w:r>
      <w:r>
        <w:rPr>
          <w:rFonts w:ascii="Calibri" w:eastAsia="Calibri"/>
        </w:rPr>
        <w:t xml:space="preserve"> </w:t>
      </w:r>
      <w:r>
        <w:rPr>
          <w:rFonts w:ascii="Calibri" w:eastAsia="Calibri"/>
          <w:spacing w:val="-2"/>
          <w:w w:val="100"/>
        </w:rPr>
        <w:t>2</w:t>
      </w:r>
      <w:r>
        <w:rPr>
          <w:rFonts w:ascii="Calibri" w:eastAsia="Calibri"/>
          <w:w w:val="100"/>
        </w:rPr>
        <w:t>0</w:t>
      </w:r>
      <w:r>
        <w:rPr>
          <w:rFonts w:ascii="Calibri" w:eastAsia="Calibri"/>
          <w:spacing w:val="-2"/>
          <w:w w:val="100"/>
        </w:rPr>
        <w:t>3</w:t>
      </w:r>
      <w:r>
        <w:rPr>
          <w:rFonts w:ascii="Calibri" w:eastAsia="Calibri"/>
          <w:spacing w:val="1"/>
          <w:w w:val="100"/>
        </w:rPr>
        <w:t>8</w:t>
      </w:r>
      <w:r>
        <w:rPr>
          <w:spacing w:val="-3"/>
          <w:w w:val="100"/>
        </w:rPr>
        <w:t>）及《城镇污水处理厂运行、维护及</w:t>
      </w:r>
      <w:r>
        <w:rPr>
          <w:spacing w:val="-20"/>
        </w:rPr>
        <w:t>安全技术规程》</w:t>
      </w:r>
      <w:r>
        <w:t>（</w:t>
      </w:r>
      <w:r>
        <w:rPr>
          <w:rFonts w:ascii="Calibri" w:eastAsia="Calibri"/>
        </w:rPr>
        <w:t xml:space="preserve">CJJ </w:t>
      </w:r>
      <w:r>
        <w:rPr>
          <w:rFonts w:ascii="Calibri" w:eastAsia="Calibri"/>
          <w:spacing w:val="-6"/>
        </w:rPr>
        <w:t>60</w:t>
      </w:r>
      <w:r>
        <w:rPr>
          <w:spacing w:val="-6"/>
        </w:rPr>
        <w:t>）</w:t>
      </w:r>
      <w:r>
        <w:rPr>
          <w:spacing w:val="-7"/>
        </w:rPr>
        <w:t>的规定。应建立完善的污泥处理处置检测、记录、存档和报告制度，对处理后</w:t>
      </w:r>
      <w:r>
        <w:rPr>
          <w:spacing w:val="-5"/>
        </w:rPr>
        <w:t>污泥去向、用途、用量等进行跟踪、记录和报告。</w:t>
      </w:r>
    </w:p>
    <w:p>
      <w:pPr>
        <w:pStyle w:val="ListParagraph"/>
        <w:numPr>
          <w:ilvl w:val="2"/>
          <w:numId w:val="24"/>
        </w:numPr>
        <w:tabs>
          <w:tab w:val="left" w:pos="1525"/>
        </w:tabs>
        <w:spacing w:before="0" w:after="0" w:line="278" w:lineRule="auto"/>
        <w:ind w:left="892" w:right="1046" w:firstLine="0"/>
        <w:jc w:val="both"/>
        <w:rPr>
          <w:sz w:val="21"/>
        </w:rPr>
      </w:pPr>
      <w:r>
        <w:rPr>
          <w:spacing w:val="-3"/>
          <w:sz w:val="21"/>
        </w:rPr>
        <w:t>乡镇生活污水厂应按省相关主管部门规定设置进、出水水质在线监测系统和厂站视频监控系统， 采集的数据实时传输到省平台。</w:t>
      </w:r>
    </w:p>
    <w:p>
      <w:pPr>
        <w:pStyle w:val="ListParagraph"/>
        <w:numPr>
          <w:ilvl w:val="2"/>
          <w:numId w:val="24"/>
        </w:numPr>
        <w:tabs>
          <w:tab w:val="left" w:pos="1631"/>
        </w:tabs>
        <w:spacing w:before="0" w:after="0" w:line="278" w:lineRule="auto"/>
        <w:ind w:left="892" w:right="1152" w:firstLine="0"/>
        <w:jc w:val="both"/>
        <w:rPr>
          <w:sz w:val="21"/>
        </w:rPr>
      </w:pPr>
      <w:r>
        <w:rPr>
          <w:spacing w:val="-3"/>
          <w:sz w:val="21"/>
        </w:rPr>
        <w:t>厂内危险化学品和危险废物应严格遵守《危险化学品安全管理条例》和《危险废物贮存污染控</w:t>
      </w:r>
      <w:r>
        <w:rPr>
          <w:spacing w:val="-11"/>
          <w:sz w:val="21"/>
        </w:rPr>
        <w:t>制标准》等有关规定，并做好危险化学品和危险废物的储存、转运、记录和交接等工作，委托危废处置</w:t>
      </w:r>
      <w:r>
        <w:rPr>
          <w:spacing w:val="-6"/>
          <w:sz w:val="21"/>
        </w:rPr>
        <w:t>的单位应具备国家相关资质。</w:t>
      </w:r>
    </w:p>
    <w:p>
      <w:pPr>
        <w:pStyle w:val="ListParagraph"/>
        <w:numPr>
          <w:ilvl w:val="2"/>
          <w:numId w:val="24"/>
        </w:numPr>
        <w:tabs>
          <w:tab w:val="left" w:pos="1578"/>
        </w:tabs>
        <w:spacing w:before="0" w:after="0" w:line="278" w:lineRule="auto"/>
        <w:ind w:left="892" w:right="1154" w:firstLine="0"/>
        <w:jc w:val="left"/>
        <w:rPr>
          <w:sz w:val="21"/>
        </w:rPr>
      </w:pPr>
      <w:r>
        <w:rPr>
          <w:spacing w:val="-11"/>
          <w:sz w:val="21"/>
        </w:rPr>
        <w:t>污水处理厂处理的污水量、产生的污泥量等生产指标及自来水、电、药剂等材料的消耗量，都应</w:t>
      </w:r>
      <w:r>
        <w:rPr>
          <w:spacing w:val="-6"/>
          <w:sz w:val="21"/>
        </w:rPr>
        <w:t>有准确的计量，作为污水厂核算成本和效益的依据，也作为技改的基础资料。</w:t>
      </w:r>
    </w:p>
    <w:p>
      <w:pPr>
        <w:pStyle w:val="ListParagraph"/>
        <w:numPr>
          <w:ilvl w:val="2"/>
          <w:numId w:val="24"/>
        </w:numPr>
        <w:tabs>
          <w:tab w:val="left" w:pos="1631"/>
        </w:tabs>
        <w:spacing w:before="0" w:after="0" w:line="278" w:lineRule="auto"/>
        <w:ind w:left="892" w:right="1152" w:firstLine="0"/>
        <w:jc w:val="left"/>
        <w:rPr>
          <w:sz w:val="21"/>
        </w:rPr>
      </w:pPr>
      <w:r>
        <w:rPr>
          <w:spacing w:val="-3"/>
          <w:sz w:val="21"/>
        </w:rPr>
        <w:t>乡镇生活污水处理厂运维单位应对污水处理厂的运营成本进行控制管理，减少各种原材料的消耗，降低污水处理厂运营成本。</w:t>
      </w:r>
    </w:p>
    <w:p>
      <w:pPr>
        <w:pStyle w:val="ListParagraph"/>
        <w:numPr>
          <w:ilvl w:val="2"/>
          <w:numId w:val="24"/>
        </w:numPr>
        <w:tabs>
          <w:tab w:val="left" w:pos="1578"/>
        </w:tabs>
        <w:spacing w:before="0" w:after="0" w:line="269" w:lineRule="exact"/>
        <w:ind w:left="1577" w:right="0" w:hanging="686"/>
        <w:jc w:val="left"/>
        <w:rPr>
          <w:sz w:val="21"/>
        </w:rPr>
      </w:pPr>
      <w:r>
        <w:rPr>
          <w:spacing w:val="-3"/>
          <w:sz w:val="21"/>
        </w:rPr>
        <w:t>乡镇生活污水处理厂应周期性开展公众满意度调查，积极应对公众有效投诉。</w:t>
      </w:r>
    </w:p>
    <w:p>
      <w:pPr>
        <w:pStyle w:val="BodyText"/>
        <w:spacing w:before="6"/>
        <w:rPr>
          <w:sz w:val="15"/>
        </w:rPr>
      </w:pPr>
    </w:p>
    <w:p>
      <w:pPr>
        <w:pStyle w:val="ListParagraph"/>
        <w:numPr>
          <w:ilvl w:val="1"/>
          <w:numId w:val="25"/>
        </w:numPr>
        <w:tabs>
          <w:tab w:val="left" w:pos="1316"/>
        </w:tabs>
        <w:spacing w:before="0" w:after="0" w:line="240" w:lineRule="auto"/>
        <w:ind w:left="1315" w:right="0" w:hanging="424"/>
        <w:jc w:val="both"/>
        <w:rPr>
          <w:rFonts w:ascii="黑体" w:eastAsia="黑体" w:hint="eastAsia"/>
          <w:sz w:val="21"/>
        </w:rPr>
      </w:pPr>
      <w:r>
        <w:rPr>
          <w:rFonts w:ascii="黑体" w:eastAsia="黑体" w:hint="eastAsia"/>
          <w:spacing w:val="-3"/>
          <w:sz w:val="21"/>
        </w:rPr>
        <w:t>污水处理系统</w:t>
      </w:r>
    </w:p>
    <w:p>
      <w:pPr>
        <w:pStyle w:val="BodyText"/>
        <w:spacing w:before="7"/>
        <w:rPr>
          <w:rFonts w:ascii="黑体"/>
          <w:sz w:val="15"/>
        </w:rPr>
      </w:pPr>
    </w:p>
    <w:p>
      <w:pPr>
        <w:pStyle w:val="ListParagraph"/>
        <w:numPr>
          <w:ilvl w:val="2"/>
          <w:numId w:val="25"/>
        </w:numPr>
        <w:tabs>
          <w:tab w:val="left" w:pos="1472"/>
        </w:tabs>
        <w:spacing w:before="0" w:after="0" w:line="278" w:lineRule="auto"/>
        <w:ind w:left="892" w:right="1155" w:firstLine="0"/>
        <w:jc w:val="both"/>
        <w:rPr>
          <w:sz w:val="21"/>
        </w:rPr>
      </w:pPr>
      <w:r>
        <w:rPr>
          <w:spacing w:val="-12"/>
          <w:sz w:val="21"/>
        </w:rPr>
        <w:t>运维单位应将设备按安装位置或功能分类统计，统计时应包含设备名称、安装位置、数量、型号、</w:t>
      </w:r>
      <w:r>
        <w:rPr>
          <w:spacing w:val="-13"/>
          <w:sz w:val="21"/>
        </w:rPr>
        <w:t>生产厂家、主要技术参数、供应商、采购日期、始用日期、备用情况等内容，建立完整的设备清单并存档。</w:t>
      </w:r>
    </w:p>
    <w:p>
      <w:pPr>
        <w:pStyle w:val="ListParagraph"/>
        <w:numPr>
          <w:ilvl w:val="2"/>
          <w:numId w:val="25"/>
        </w:numPr>
        <w:tabs>
          <w:tab w:val="left" w:pos="1472"/>
        </w:tabs>
        <w:spacing w:before="0" w:after="0" w:line="240" w:lineRule="auto"/>
        <w:ind w:left="1471" w:right="0" w:hanging="580"/>
        <w:jc w:val="both"/>
        <w:rPr>
          <w:sz w:val="21"/>
        </w:rPr>
      </w:pPr>
      <w:r>
        <w:rPr>
          <w:spacing w:val="-3"/>
          <w:sz w:val="21"/>
        </w:rPr>
        <w:t>设备运行操作人员应关注可能出现的灾害性天气对设备正常运行的影响，及时采取预防措施。</w:t>
      </w:r>
    </w:p>
    <w:p>
      <w:pPr>
        <w:pStyle w:val="ListParagraph"/>
        <w:numPr>
          <w:ilvl w:val="2"/>
          <w:numId w:val="25"/>
        </w:numPr>
        <w:tabs>
          <w:tab w:val="left" w:pos="1472"/>
        </w:tabs>
        <w:spacing w:before="43" w:after="0" w:line="240" w:lineRule="auto"/>
        <w:ind w:left="1471" w:right="0" w:hanging="580"/>
        <w:jc w:val="both"/>
        <w:rPr>
          <w:sz w:val="21"/>
        </w:rPr>
      </w:pPr>
      <w:r>
        <w:rPr>
          <w:spacing w:val="-3"/>
          <w:sz w:val="21"/>
        </w:rPr>
        <w:t>设备管理技术人员应制定设备维护保养方案，并包括下列内容：</w:t>
      </w:r>
    </w:p>
    <w:p>
      <w:pPr>
        <w:pStyle w:val="ListParagraph"/>
        <w:numPr>
          <w:ilvl w:val="3"/>
          <w:numId w:val="25"/>
        </w:numPr>
        <w:tabs>
          <w:tab w:val="left" w:pos="1733"/>
          <w:tab w:val="left" w:pos="1734"/>
        </w:tabs>
        <w:spacing w:before="43" w:after="0" w:line="278" w:lineRule="auto"/>
        <w:ind w:left="1733" w:right="1152" w:hanging="420"/>
        <w:jc w:val="left"/>
        <w:rPr>
          <w:rFonts w:ascii="Times New Roman" w:eastAsia="Times New Roman"/>
          <w:sz w:val="21"/>
        </w:rPr>
      </w:pPr>
      <w:r>
        <w:rPr>
          <w:spacing w:val="-8"/>
          <w:sz w:val="21"/>
        </w:rPr>
        <w:t>严格按照设计或设备使用说明书要求，定期对设备进行大、中、小修和保养，保持设备良好的</w:t>
      </w:r>
      <w:r>
        <w:rPr>
          <w:spacing w:val="-5"/>
          <w:sz w:val="21"/>
        </w:rPr>
        <w:t>运行状态；</w:t>
      </w:r>
    </w:p>
    <w:p>
      <w:pPr>
        <w:pStyle w:val="ListParagraph"/>
        <w:numPr>
          <w:ilvl w:val="3"/>
          <w:numId w:val="25"/>
        </w:numPr>
        <w:tabs>
          <w:tab w:val="left" w:pos="1733"/>
          <w:tab w:val="left" w:pos="1734"/>
        </w:tabs>
        <w:spacing w:before="0" w:after="0" w:line="278" w:lineRule="auto"/>
        <w:ind w:left="1733" w:right="1152" w:hanging="420"/>
        <w:jc w:val="left"/>
        <w:rPr>
          <w:rFonts w:ascii="Times New Roman" w:eastAsia="Times New Roman"/>
          <w:sz w:val="21"/>
        </w:rPr>
      </w:pPr>
      <w:r>
        <w:rPr>
          <w:spacing w:val="-8"/>
          <w:sz w:val="21"/>
        </w:rPr>
        <w:t>对设备运行状况和事故进行综合分析，制定设备维修或更新计划，将维护保养、验收、更新等</w:t>
      </w:r>
      <w:r>
        <w:rPr>
          <w:spacing w:val="-5"/>
          <w:sz w:val="21"/>
        </w:rPr>
        <w:t>记录存放在设备档案中；</w:t>
      </w:r>
    </w:p>
    <w:p>
      <w:pPr>
        <w:pStyle w:val="ListParagraph"/>
        <w:numPr>
          <w:ilvl w:val="3"/>
          <w:numId w:val="25"/>
        </w:numPr>
        <w:tabs>
          <w:tab w:val="left" w:pos="1733"/>
          <w:tab w:val="left" w:pos="1734"/>
        </w:tabs>
        <w:spacing w:before="0" w:after="0" w:line="269" w:lineRule="exact"/>
        <w:ind w:left="1733" w:right="0" w:hanging="421"/>
        <w:jc w:val="left"/>
        <w:rPr>
          <w:rFonts w:ascii="Times New Roman" w:eastAsia="Times New Roman"/>
          <w:sz w:val="21"/>
        </w:rPr>
      </w:pPr>
      <w:r>
        <w:rPr>
          <w:spacing w:val="-3"/>
          <w:sz w:val="21"/>
        </w:rPr>
        <w:t>拟定设备备品备件及易损件清单，其库存满足日常检修维护需要；</w:t>
      </w:r>
    </w:p>
    <w:p>
      <w:pPr>
        <w:spacing w:before="147"/>
        <w:ind w:left="1090" w:right="0" w:firstLine="0"/>
        <w:jc w:val="left"/>
        <w:rPr>
          <w:sz w:val="18"/>
        </w:rPr>
      </w:pPr>
      <w:r>
        <w:rPr>
          <w:sz w:val="18"/>
        </w:rPr>
        <w:t xml:space="preserve">6 </w:t>
      </w:r>
    </w:p>
    <w:p>
      <w:pPr>
        <w:spacing w:after="0"/>
        <w:jc w:val="left"/>
        <w:rPr>
          <w:sz w:val="18"/>
        </w:rPr>
        <w:sectPr>
          <w:headerReference w:type="even" r:id="rId30"/>
          <w:headerReference w:type="default" r:id="rId31"/>
          <w:pgSz w:w="11910" w:h="16840"/>
          <w:pgMar w:top="1640" w:right="260" w:bottom="280" w:left="240" w:header="1448" w:footer="0"/>
          <w:pgNumType w:start="13"/>
          <w:cols w:space="708"/>
        </w:sectPr>
      </w:pPr>
    </w:p>
    <w:p>
      <w:pPr>
        <w:pStyle w:val="BodyText"/>
        <w:spacing w:before="7"/>
        <w:rPr>
          <w:sz w:val="16"/>
        </w:rPr>
      </w:pPr>
    </w:p>
    <w:p>
      <w:pPr>
        <w:pStyle w:val="ListParagraph"/>
        <w:numPr>
          <w:ilvl w:val="3"/>
          <w:numId w:val="25"/>
        </w:numPr>
        <w:tabs>
          <w:tab w:val="left" w:pos="2019"/>
        </w:tabs>
        <w:spacing w:before="79" w:after="0" w:line="240" w:lineRule="auto"/>
        <w:ind w:left="2018" w:right="0" w:hanging="421"/>
        <w:jc w:val="both"/>
        <w:rPr>
          <w:rFonts w:ascii="Times New Roman" w:eastAsia="Times New Roman"/>
          <w:sz w:val="21"/>
        </w:rPr>
      </w:pPr>
      <w:r>
        <w:rPr>
          <w:spacing w:val="-3"/>
          <w:sz w:val="21"/>
        </w:rPr>
        <w:t>对各种阀门、管道、支架和盖板等定期进行检查、维修及除锈、防腐处理；</w:t>
      </w:r>
    </w:p>
    <w:p>
      <w:pPr>
        <w:pStyle w:val="ListParagraph"/>
        <w:numPr>
          <w:ilvl w:val="3"/>
          <w:numId w:val="25"/>
        </w:numPr>
        <w:tabs>
          <w:tab w:val="left" w:pos="2019"/>
        </w:tabs>
        <w:spacing w:before="43" w:after="0" w:line="240" w:lineRule="auto"/>
        <w:ind w:left="2018" w:right="0" w:hanging="421"/>
        <w:jc w:val="both"/>
        <w:rPr>
          <w:rFonts w:ascii="Times New Roman" w:eastAsia="Times New Roman"/>
          <w:sz w:val="21"/>
        </w:rPr>
      </w:pPr>
      <w:r>
        <w:rPr>
          <w:spacing w:val="-3"/>
          <w:sz w:val="21"/>
        </w:rPr>
        <w:t>经常性检查和紧固各种设备连接件，定期更换联轴器的易损件；</w:t>
      </w:r>
    </w:p>
    <w:p>
      <w:pPr>
        <w:pStyle w:val="ListParagraph"/>
        <w:numPr>
          <w:ilvl w:val="3"/>
          <w:numId w:val="25"/>
        </w:numPr>
        <w:tabs>
          <w:tab w:val="left" w:pos="2019"/>
        </w:tabs>
        <w:spacing w:before="43" w:after="0" w:line="278" w:lineRule="auto"/>
        <w:ind w:left="2018" w:right="866" w:hanging="420"/>
        <w:jc w:val="both"/>
        <w:rPr>
          <w:rFonts w:ascii="Times New Roman" w:eastAsia="Times New Roman"/>
          <w:sz w:val="21"/>
        </w:rPr>
      </w:pPr>
      <w:r>
        <w:rPr>
          <w:spacing w:val="-8"/>
          <w:sz w:val="21"/>
        </w:rPr>
        <w:t>经常性检查对设备和人身起保护作用的零部件，如承重钢丝绳、漏电保护器、空气开关、熔断</w:t>
      </w:r>
      <w:r>
        <w:rPr>
          <w:spacing w:val="-12"/>
          <w:sz w:val="21"/>
        </w:rPr>
        <w:t>器、限位开关、过扭矩传感器等，保持这些零部件的正常工作状态，如有故障，应及时维修或更换；</w:t>
      </w:r>
    </w:p>
    <w:p>
      <w:pPr>
        <w:pStyle w:val="ListParagraph"/>
        <w:numPr>
          <w:ilvl w:val="3"/>
          <w:numId w:val="25"/>
        </w:numPr>
        <w:tabs>
          <w:tab w:val="left" w:pos="2019"/>
        </w:tabs>
        <w:spacing w:before="0" w:after="0" w:line="278" w:lineRule="auto"/>
        <w:ind w:left="2018" w:right="761" w:hanging="420"/>
        <w:jc w:val="both"/>
        <w:rPr>
          <w:rFonts w:ascii="Times New Roman" w:eastAsia="Times New Roman"/>
          <w:sz w:val="21"/>
        </w:rPr>
      </w:pPr>
      <w:r>
        <w:rPr>
          <w:spacing w:val="-3"/>
          <w:sz w:val="21"/>
        </w:rPr>
        <w:t>严格执行安全巡检制度，由设备工程师按设备技术要求进行周期性安全检查，及时发现隐患， 并做好巡检记录；</w:t>
      </w:r>
    </w:p>
    <w:p>
      <w:pPr>
        <w:pStyle w:val="ListParagraph"/>
        <w:numPr>
          <w:ilvl w:val="3"/>
          <w:numId w:val="25"/>
        </w:numPr>
        <w:tabs>
          <w:tab w:val="left" w:pos="2019"/>
        </w:tabs>
        <w:spacing w:before="0" w:after="0" w:line="269" w:lineRule="exact"/>
        <w:ind w:left="2018" w:right="0" w:hanging="421"/>
        <w:jc w:val="both"/>
        <w:rPr>
          <w:rFonts w:ascii="Times New Roman" w:eastAsia="Times New Roman"/>
          <w:sz w:val="21"/>
        </w:rPr>
      </w:pPr>
      <w:r>
        <w:rPr>
          <w:spacing w:val="-3"/>
          <w:sz w:val="21"/>
        </w:rPr>
        <w:t>定期检查、吹扫电气控制柜。</w:t>
      </w:r>
    </w:p>
    <w:p>
      <w:pPr>
        <w:pStyle w:val="ListParagraph"/>
        <w:numPr>
          <w:ilvl w:val="2"/>
          <w:numId w:val="25"/>
        </w:numPr>
        <w:tabs>
          <w:tab w:val="left" w:pos="1758"/>
        </w:tabs>
        <w:spacing w:before="42" w:after="0" w:line="240" w:lineRule="auto"/>
        <w:ind w:left="1757" w:right="0" w:hanging="580"/>
        <w:jc w:val="both"/>
        <w:rPr>
          <w:sz w:val="21"/>
        </w:rPr>
      </w:pPr>
      <w:r>
        <w:rPr>
          <w:spacing w:val="-3"/>
          <w:sz w:val="21"/>
        </w:rPr>
        <w:t>活性污泥法处理工艺的运行维护应包括下列内容：</w:t>
      </w:r>
    </w:p>
    <w:p>
      <w:pPr>
        <w:pStyle w:val="ListParagraph"/>
        <w:numPr>
          <w:ilvl w:val="3"/>
          <w:numId w:val="25"/>
        </w:numPr>
        <w:tabs>
          <w:tab w:val="left" w:pos="2019"/>
        </w:tabs>
        <w:spacing w:before="43" w:after="0" w:line="278" w:lineRule="auto"/>
        <w:ind w:left="2018" w:right="867" w:hanging="420"/>
        <w:jc w:val="both"/>
        <w:rPr>
          <w:rFonts w:ascii="Times New Roman" w:eastAsia="Times New Roman"/>
          <w:sz w:val="21"/>
        </w:rPr>
      </w:pPr>
      <w:r>
        <w:rPr>
          <w:spacing w:val="-10"/>
          <w:sz w:val="21"/>
        </w:rPr>
        <w:t>应观察污泥的性状，包括污泥的色臭、曝气池液面、二沉池泥面高低、上清液透明程度及液面</w:t>
      </w:r>
      <w:r>
        <w:rPr>
          <w:spacing w:val="-5"/>
          <w:sz w:val="21"/>
        </w:rPr>
        <w:t>浮泥的情况等，及时检测污泥的浓度、沉降比和体积指数，并加以分析，判断运行情况；</w:t>
      </w:r>
    </w:p>
    <w:p>
      <w:pPr>
        <w:pStyle w:val="ListParagraph"/>
        <w:numPr>
          <w:ilvl w:val="3"/>
          <w:numId w:val="25"/>
        </w:numPr>
        <w:tabs>
          <w:tab w:val="left" w:pos="2019"/>
        </w:tabs>
        <w:spacing w:before="1" w:after="0" w:line="240" w:lineRule="auto"/>
        <w:ind w:left="2018" w:right="0" w:hanging="421"/>
        <w:jc w:val="both"/>
        <w:rPr>
          <w:rFonts w:ascii="Times New Roman" w:eastAsia="Times New Roman"/>
          <w:sz w:val="21"/>
        </w:rPr>
      </w:pPr>
      <w:r>
        <w:rPr>
          <w:spacing w:val="-3"/>
          <w:sz w:val="21"/>
        </w:rPr>
        <w:t>应观察和检测微生物的组成与活性，污泥的生物相特征应根据需要每</w:t>
      </w:r>
      <w:r>
        <w:rPr>
          <w:rFonts w:ascii="Times New Roman" w:eastAsia="Times New Roman"/>
          <w:sz w:val="21"/>
        </w:rPr>
        <w:t>3~5</w:t>
      </w:r>
      <w:r>
        <w:rPr>
          <w:spacing w:val="-3"/>
          <w:sz w:val="21"/>
        </w:rPr>
        <w:t>日观测一次；</w:t>
      </w:r>
    </w:p>
    <w:p>
      <w:pPr>
        <w:pStyle w:val="ListParagraph"/>
        <w:numPr>
          <w:ilvl w:val="3"/>
          <w:numId w:val="25"/>
        </w:numPr>
        <w:tabs>
          <w:tab w:val="left" w:pos="2019"/>
        </w:tabs>
        <w:spacing w:before="43" w:after="0" w:line="278" w:lineRule="auto"/>
        <w:ind w:left="2018" w:right="866" w:hanging="420"/>
        <w:jc w:val="both"/>
        <w:rPr>
          <w:rFonts w:ascii="Times New Roman" w:eastAsia="Times New Roman"/>
          <w:sz w:val="21"/>
        </w:rPr>
      </w:pPr>
      <w:r>
        <w:rPr>
          <w:spacing w:val="-9"/>
          <w:sz w:val="21"/>
        </w:rPr>
        <w:t>应对处理状况进行检测，并不断调整工艺运行条件，以充分发挥系统的能力和效益，需要检测</w:t>
      </w:r>
      <w:r>
        <w:rPr>
          <w:spacing w:val="-6"/>
          <w:position w:val="2"/>
          <w:sz w:val="21"/>
        </w:rPr>
        <w:t>的常规指标应包括化学需氧量</w:t>
      </w:r>
      <w:r>
        <w:rPr>
          <w:spacing w:val="-5"/>
          <w:position w:val="2"/>
          <w:sz w:val="21"/>
        </w:rPr>
        <w:t>（</w:t>
      </w:r>
      <w:r>
        <w:rPr>
          <w:rFonts w:ascii="Times New Roman" w:eastAsia="Times New Roman"/>
          <w:spacing w:val="-5"/>
          <w:position w:val="2"/>
          <w:sz w:val="21"/>
        </w:rPr>
        <w:t>COD</w:t>
      </w:r>
      <w:r>
        <w:rPr>
          <w:spacing w:val="-5"/>
          <w:position w:val="2"/>
          <w:sz w:val="21"/>
        </w:rPr>
        <w:t>）</w:t>
      </w:r>
      <w:r>
        <w:rPr>
          <w:spacing w:val="-12"/>
          <w:position w:val="2"/>
          <w:sz w:val="21"/>
        </w:rPr>
        <w:t>、氨氮</w:t>
      </w:r>
      <w:r>
        <w:rPr>
          <w:spacing w:val="-3"/>
          <w:position w:val="2"/>
          <w:sz w:val="21"/>
        </w:rPr>
        <w:t>（</w:t>
      </w:r>
      <w:r>
        <w:rPr>
          <w:rFonts w:ascii="Times New Roman" w:eastAsia="Times New Roman"/>
          <w:spacing w:val="-3"/>
          <w:position w:val="2"/>
          <w:sz w:val="21"/>
        </w:rPr>
        <w:t>NH</w:t>
      </w:r>
      <w:r>
        <w:rPr>
          <w:rFonts w:ascii="Times New Roman" w:eastAsia="Times New Roman"/>
          <w:spacing w:val="-3"/>
          <w:sz w:val="14"/>
        </w:rPr>
        <w:t>3</w:t>
      </w:r>
      <w:r>
        <w:rPr>
          <w:rFonts w:ascii="Times New Roman" w:eastAsia="Times New Roman"/>
          <w:spacing w:val="-3"/>
          <w:position w:val="2"/>
          <w:sz w:val="21"/>
        </w:rPr>
        <w:t>-N</w:t>
      </w:r>
      <w:r>
        <w:rPr>
          <w:spacing w:val="-3"/>
          <w:position w:val="2"/>
          <w:sz w:val="21"/>
        </w:rPr>
        <w:t>）</w:t>
      </w:r>
      <w:r>
        <w:rPr>
          <w:spacing w:val="-9"/>
          <w:position w:val="2"/>
          <w:sz w:val="21"/>
        </w:rPr>
        <w:t>、悬浮物</w:t>
      </w:r>
      <w:r>
        <w:rPr>
          <w:spacing w:val="-5"/>
          <w:position w:val="2"/>
          <w:sz w:val="21"/>
        </w:rPr>
        <w:t>（</w:t>
      </w:r>
      <w:r>
        <w:rPr>
          <w:rFonts w:ascii="Times New Roman" w:eastAsia="Times New Roman"/>
          <w:spacing w:val="-5"/>
          <w:position w:val="2"/>
          <w:sz w:val="21"/>
        </w:rPr>
        <w:t>SS</w:t>
      </w:r>
      <w:r>
        <w:rPr>
          <w:spacing w:val="-5"/>
          <w:position w:val="2"/>
          <w:sz w:val="21"/>
        </w:rPr>
        <w:t>）</w:t>
      </w:r>
      <w:r>
        <w:rPr>
          <w:spacing w:val="-12"/>
          <w:position w:val="2"/>
          <w:sz w:val="21"/>
        </w:rPr>
        <w:t>、总氮</w:t>
      </w:r>
      <w:r>
        <w:rPr>
          <w:spacing w:val="-6"/>
          <w:position w:val="2"/>
          <w:sz w:val="21"/>
        </w:rPr>
        <w:t>（</w:t>
      </w:r>
      <w:r>
        <w:rPr>
          <w:rFonts w:ascii="Times New Roman" w:eastAsia="Times New Roman"/>
          <w:spacing w:val="-6"/>
          <w:position w:val="2"/>
          <w:sz w:val="21"/>
        </w:rPr>
        <w:t>TN</w:t>
      </w:r>
      <w:r>
        <w:rPr>
          <w:spacing w:val="-6"/>
          <w:position w:val="2"/>
          <w:sz w:val="21"/>
        </w:rPr>
        <w:t>）、总磷</w:t>
      </w:r>
    </w:p>
    <w:p>
      <w:pPr>
        <w:pStyle w:val="BodyText"/>
        <w:spacing w:line="278" w:lineRule="auto"/>
        <w:ind w:left="2018" w:right="866"/>
        <w:jc w:val="both"/>
      </w:pPr>
      <w:r>
        <w:rPr>
          <w:spacing w:val="-13"/>
        </w:rPr>
        <w:t>（</w:t>
      </w:r>
      <w:r>
        <w:rPr>
          <w:rFonts w:ascii="Times New Roman" w:eastAsia="Times New Roman"/>
          <w:spacing w:val="-13"/>
        </w:rPr>
        <w:t>TP</w:t>
      </w:r>
      <w:r>
        <w:rPr>
          <w:spacing w:val="-13"/>
        </w:rPr>
        <w:t>）</w:t>
      </w:r>
      <w:r>
        <w:rPr>
          <w:spacing w:val="-10"/>
        </w:rPr>
        <w:t>等，针对接入餐饮业污水的处理设施应增加动植物油指标监测。对于已建在线监测设备</w:t>
      </w:r>
      <w:r>
        <w:rPr>
          <w:spacing w:val="-11"/>
        </w:rPr>
        <w:t>的污水处理厂，应按照平台数据采集频率要求进行检测；对于在化验室测样的污水处理厂，应</w:t>
      </w:r>
      <w:r>
        <w:rPr>
          <w:spacing w:val="-6"/>
        </w:rPr>
        <w:t>根据厂内工艺运行需要调整监测频率。</w:t>
      </w:r>
    </w:p>
    <w:p>
      <w:pPr>
        <w:pStyle w:val="ListParagraph"/>
        <w:numPr>
          <w:ilvl w:val="2"/>
          <w:numId w:val="25"/>
        </w:numPr>
        <w:tabs>
          <w:tab w:val="left" w:pos="1758"/>
        </w:tabs>
        <w:spacing w:before="0" w:after="0" w:line="269" w:lineRule="exact"/>
        <w:ind w:left="1757" w:right="0" w:hanging="580"/>
        <w:jc w:val="both"/>
        <w:rPr>
          <w:sz w:val="21"/>
        </w:rPr>
      </w:pPr>
      <w:r>
        <w:rPr>
          <w:spacing w:val="-3"/>
          <w:sz w:val="21"/>
        </w:rPr>
        <w:t>生物反应池的运行维护应符合下列要求：</w:t>
      </w:r>
    </w:p>
    <w:p>
      <w:pPr>
        <w:pStyle w:val="ListParagraph"/>
        <w:numPr>
          <w:ilvl w:val="3"/>
          <w:numId w:val="25"/>
        </w:numPr>
        <w:tabs>
          <w:tab w:val="left" w:pos="2018"/>
          <w:tab w:val="left" w:pos="2019"/>
        </w:tabs>
        <w:spacing w:before="42" w:after="0" w:line="278" w:lineRule="auto"/>
        <w:ind w:left="2018" w:right="866" w:hanging="420"/>
        <w:jc w:val="left"/>
        <w:rPr>
          <w:rFonts w:ascii="Times New Roman" w:eastAsia="Times New Roman"/>
          <w:sz w:val="21"/>
        </w:rPr>
      </w:pPr>
      <w:r>
        <w:rPr>
          <w:spacing w:val="-7"/>
          <w:sz w:val="21"/>
        </w:rPr>
        <w:t>按照生物反应池系列池组的设置情况及运行方式，调节各池进水水量，均匀配水，并保持均匀</w:t>
      </w:r>
      <w:r>
        <w:rPr>
          <w:spacing w:val="-5"/>
          <w:sz w:val="21"/>
        </w:rPr>
        <w:t>的曝气、推流和搅拌；</w:t>
      </w:r>
    </w:p>
    <w:p>
      <w:pPr>
        <w:pStyle w:val="ListParagraph"/>
        <w:numPr>
          <w:ilvl w:val="3"/>
          <w:numId w:val="25"/>
        </w:numPr>
        <w:tabs>
          <w:tab w:val="left" w:pos="2018"/>
          <w:tab w:val="left" w:pos="2019"/>
        </w:tabs>
        <w:spacing w:before="0" w:after="0" w:line="278" w:lineRule="auto"/>
        <w:ind w:left="2018" w:right="760" w:hanging="420"/>
        <w:jc w:val="left"/>
        <w:rPr>
          <w:rFonts w:ascii="Times New Roman" w:eastAsia="Times New Roman"/>
          <w:sz w:val="21"/>
        </w:rPr>
      </w:pPr>
      <w:r>
        <w:drawing>
          <wp:anchor distT="0" distB="0" distL="0" distR="0" simplePos="0" relativeHeight="251679744" behindDoc="0" locked="0" layoutInCell="1" allowOverlap="1">
            <wp:simplePos x="0" y="0"/>
            <wp:positionH relativeFrom="page">
              <wp:posOffset>215900</wp:posOffset>
            </wp:positionH>
            <wp:positionV relativeFrom="paragraph">
              <wp:posOffset>42798</wp:posOffset>
            </wp:positionV>
            <wp:extent cx="7112000" cy="4876800"/>
            <wp:effectExtent l="0" t="0" r="0" b="0"/>
            <wp:wrapNone/>
            <wp:docPr id="3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1.png"/>
                    <pic:cNvPicPr/>
                  </pic:nvPicPr>
                  <pic:blipFill>
                    <a:blip xmlns:r="http://schemas.openxmlformats.org/officeDocument/2006/relationships" r:embed="rId4" cstate="print"/>
                    <a:stretch>
                      <a:fillRect/>
                    </a:stretch>
                  </pic:blipFill>
                  <pic:spPr>
                    <a:xfrm>
                      <a:off x="0" y="0"/>
                      <a:ext cx="7112000" cy="4876800"/>
                    </a:xfrm>
                    <a:prstGeom prst="rect">
                      <a:avLst/>
                    </a:prstGeom>
                  </pic:spPr>
                </pic:pic>
              </a:graphicData>
            </a:graphic>
          </wp:anchor>
        </w:drawing>
      </w:r>
      <w:r>
        <w:rPr>
          <w:spacing w:val="-14"/>
          <w:sz w:val="21"/>
        </w:rPr>
        <w:t>根据生物反应池的出水水质要求、不同工艺流程的运行工况变化，调整并控制反应区的进水量、</w:t>
      </w:r>
      <w:r>
        <w:rPr>
          <w:spacing w:val="-7"/>
          <w:sz w:val="21"/>
        </w:rPr>
        <w:t>气水比和溶解氧</w:t>
      </w:r>
      <w:r>
        <w:rPr>
          <w:sz w:val="21"/>
        </w:rPr>
        <w:t>（</w:t>
      </w:r>
      <w:r>
        <w:rPr>
          <w:rFonts w:ascii="Times New Roman" w:eastAsia="Times New Roman"/>
          <w:sz w:val="21"/>
        </w:rPr>
        <w:t>DO</w:t>
      </w:r>
      <w:r>
        <w:rPr>
          <w:sz w:val="21"/>
        </w:rPr>
        <w:t>）</w:t>
      </w:r>
      <w:r>
        <w:rPr>
          <w:spacing w:val="-3"/>
          <w:sz w:val="21"/>
        </w:rPr>
        <w:t>等工艺参数，好氧区</w:t>
      </w:r>
      <w:r>
        <w:rPr>
          <w:rFonts w:ascii="Times New Roman" w:eastAsia="Times New Roman"/>
          <w:sz w:val="21"/>
        </w:rPr>
        <w:t>DO</w:t>
      </w:r>
      <w:r>
        <w:rPr>
          <w:spacing w:val="-2"/>
          <w:sz w:val="21"/>
        </w:rPr>
        <w:t>应保持在</w:t>
      </w:r>
      <w:r>
        <w:rPr>
          <w:rFonts w:ascii="Times New Roman" w:eastAsia="Times New Roman"/>
          <w:sz w:val="21"/>
        </w:rPr>
        <w:t>2mg/L</w:t>
      </w:r>
      <w:r>
        <w:rPr>
          <w:spacing w:val="-2"/>
          <w:sz w:val="21"/>
        </w:rPr>
        <w:t>左右；</w:t>
      </w:r>
    </w:p>
    <w:p>
      <w:pPr>
        <w:pStyle w:val="ListParagraph"/>
        <w:numPr>
          <w:ilvl w:val="3"/>
          <w:numId w:val="25"/>
        </w:numPr>
        <w:tabs>
          <w:tab w:val="left" w:pos="2018"/>
          <w:tab w:val="left" w:pos="2019"/>
        </w:tabs>
        <w:spacing w:before="0" w:after="0" w:line="278" w:lineRule="auto"/>
        <w:ind w:left="2018" w:right="869" w:hanging="420"/>
        <w:jc w:val="left"/>
        <w:rPr>
          <w:rFonts w:ascii="Times New Roman" w:eastAsia="Times New Roman"/>
          <w:sz w:val="21"/>
        </w:rPr>
      </w:pPr>
      <w:r>
        <w:rPr>
          <w:spacing w:val="-2"/>
          <w:sz w:val="21"/>
        </w:rPr>
        <w:t>应充分考虑冬季低水温对去除</w:t>
      </w:r>
      <w:r>
        <w:rPr>
          <w:rFonts w:ascii="Times New Roman" w:eastAsia="Times New Roman"/>
          <w:sz w:val="21"/>
        </w:rPr>
        <w:t>COD</w:t>
      </w:r>
      <w:r>
        <w:rPr>
          <w:spacing w:val="-3"/>
          <w:sz w:val="21"/>
        </w:rPr>
        <w:t>、</w:t>
      </w:r>
      <w:r>
        <w:rPr>
          <w:rFonts w:ascii="Times New Roman" w:eastAsia="Times New Roman"/>
          <w:sz w:val="21"/>
        </w:rPr>
        <w:t>N</w:t>
      </w:r>
      <w:r>
        <w:rPr>
          <w:sz w:val="21"/>
        </w:rPr>
        <w:t>和</w:t>
      </w:r>
      <w:r>
        <w:rPr>
          <w:rFonts w:ascii="Times New Roman" w:eastAsia="Times New Roman"/>
          <w:sz w:val="21"/>
        </w:rPr>
        <w:t>P</w:t>
      </w:r>
      <w:r>
        <w:rPr>
          <w:spacing w:val="-3"/>
          <w:sz w:val="21"/>
        </w:rPr>
        <w:t>的影响，必要时可采取降低负荷、增长泥龄、投加填料、调整厌氧区（</w:t>
      </w:r>
      <w:r>
        <w:rPr>
          <w:sz w:val="21"/>
        </w:rPr>
        <w:t>池</w:t>
      </w:r>
      <w:r>
        <w:rPr>
          <w:spacing w:val="-3"/>
          <w:sz w:val="21"/>
        </w:rPr>
        <w:t>）</w:t>
      </w:r>
      <w:r>
        <w:rPr>
          <w:spacing w:val="-1"/>
          <w:sz w:val="21"/>
        </w:rPr>
        <w:t>及缺氧区</w:t>
      </w:r>
      <w:r>
        <w:rPr>
          <w:spacing w:val="-3"/>
          <w:sz w:val="21"/>
        </w:rPr>
        <w:t>（</w:t>
      </w:r>
      <w:r>
        <w:rPr>
          <w:sz w:val="21"/>
        </w:rPr>
        <w:t>池</w:t>
      </w:r>
      <w:r>
        <w:rPr>
          <w:spacing w:val="-3"/>
          <w:sz w:val="21"/>
        </w:rPr>
        <w:t>）水力停留时间等措施。</w:t>
      </w:r>
    </w:p>
    <w:p>
      <w:pPr>
        <w:pStyle w:val="ListParagraph"/>
        <w:numPr>
          <w:ilvl w:val="3"/>
          <w:numId w:val="25"/>
        </w:numPr>
        <w:tabs>
          <w:tab w:val="left" w:pos="2018"/>
          <w:tab w:val="left" w:pos="2019"/>
        </w:tabs>
        <w:spacing w:before="0" w:after="0" w:line="278" w:lineRule="auto"/>
        <w:ind w:left="2018" w:right="866" w:hanging="420"/>
        <w:jc w:val="left"/>
        <w:rPr>
          <w:rFonts w:ascii="Times New Roman" w:eastAsia="Times New Roman"/>
          <w:sz w:val="21"/>
        </w:rPr>
      </w:pPr>
      <w:r>
        <w:rPr>
          <w:spacing w:val="-10"/>
          <w:sz w:val="21"/>
        </w:rPr>
        <w:t>应确保潜水搅拌器、潜水推进器、鼓风机及曝气器或曝气机、回流污泥泵、剩余污泥泵、刮吸</w:t>
      </w:r>
      <w:r>
        <w:rPr>
          <w:spacing w:val="-5"/>
          <w:sz w:val="21"/>
        </w:rPr>
        <w:t>泥机、膜分离装置及高压泵等污水处理关键设备按工艺设计要求保持正常运转；</w:t>
      </w:r>
    </w:p>
    <w:p>
      <w:pPr>
        <w:pStyle w:val="ListParagraph"/>
        <w:numPr>
          <w:ilvl w:val="3"/>
          <w:numId w:val="25"/>
        </w:numPr>
        <w:tabs>
          <w:tab w:val="left" w:pos="2018"/>
          <w:tab w:val="left" w:pos="2019"/>
        </w:tabs>
        <w:spacing w:before="0" w:after="0" w:line="269" w:lineRule="exact"/>
        <w:ind w:left="2018" w:right="0" w:hanging="421"/>
        <w:jc w:val="left"/>
        <w:rPr>
          <w:rFonts w:ascii="Times New Roman" w:eastAsia="Times New Roman"/>
          <w:sz w:val="21"/>
        </w:rPr>
      </w:pPr>
      <w:r>
        <w:rPr>
          <w:spacing w:val="-3"/>
          <w:sz w:val="21"/>
        </w:rPr>
        <w:t>各池面应保持无浮渣，池壁应无附着物，走台上应无泡沫和浮渣溢出。</w:t>
      </w:r>
    </w:p>
    <w:p>
      <w:pPr>
        <w:pStyle w:val="ListParagraph"/>
        <w:numPr>
          <w:ilvl w:val="2"/>
          <w:numId w:val="25"/>
        </w:numPr>
        <w:tabs>
          <w:tab w:val="left" w:pos="1758"/>
        </w:tabs>
        <w:spacing w:before="43" w:after="0" w:line="240" w:lineRule="auto"/>
        <w:ind w:left="1757" w:right="0" w:hanging="580"/>
        <w:jc w:val="left"/>
        <w:rPr>
          <w:sz w:val="21"/>
        </w:rPr>
      </w:pPr>
      <w:r>
        <w:rPr>
          <w:spacing w:val="-3"/>
          <w:sz w:val="21"/>
        </w:rPr>
        <w:t>生物膜法处理工艺的运行维护应包括下列内容：</w:t>
      </w:r>
    </w:p>
    <w:p>
      <w:pPr>
        <w:pStyle w:val="ListParagraph"/>
        <w:numPr>
          <w:ilvl w:val="3"/>
          <w:numId w:val="25"/>
        </w:numPr>
        <w:tabs>
          <w:tab w:val="left" w:pos="2018"/>
          <w:tab w:val="left" w:pos="2019"/>
        </w:tabs>
        <w:spacing w:before="43" w:after="0" w:line="278" w:lineRule="auto"/>
        <w:ind w:left="2018" w:right="866" w:hanging="420"/>
        <w:jc w:val="left"/>
        <w:rPr>
          <w:rFonts w:ascii="Times New Roman" w:eastAsia="Times New Roman"/>
          <w:sz w:val="21"/>
        </w:rPr>
      </w:pPr>
      <w:r>
        <w:rPr>
          <w:spacing w:val="-10"/>
          <w:sz w:val="21"/>
        </w:rPr>
        <w:t>应利用布水、布气系统的调节装置，调节各池或池内各部分的配水或供气量，保证处理设施均</w:t>
      </w:r>
      <w:r>
        <w:rPr>
          <w:spacing w:val="-5"/>
          <w:sz w:val="21"/>
        </w:rPr>
        <w:t>匀布水、布气；</w:t>
      </w:r>
    </w:p>
    <w:p>
      <w:pPr>
        <w:pStyle w:val="ListParagraph"/>
        <w:numPr>
          <w:ilvl w:val="3"/>
          <w:numId w:val="25"/>
        </w:numPr>
        <w:tabs>
          <w:tab w:val="left" w:pos="2018"/>
          <w:tab w:val="left" w:pos="2019"/>
        </w:tabs>
        <w:spacing w:before="0" w:after="0" w:line="269" w:lineRule="exact"/>
        <w:ind w:left="2018" w:right="0" w:hanging="421"/>
        <w:jc w:val="left"/>
        <w:rPr>
          <w:rFonts w:ascii="Times New Roman" w:eastAsia="Times New Roman"/>
          <w:sz w:val="21"/>
        </w:rPr>
      </w:pPr>
      <w:r>
        <w:rPr>
          <w:spacing w:val="-12"/>
          <w:sz w:val="21"/>
        </w:rPr>
        <w:t>填料在生物膜处理设施中正常运行时，应定期观察其生物膜生长和脱膜情况，观察其是否损坏；</w:t>
      </w:r>
    </w:p>
    <w:p>
      <w:pPr>
        <w:pStyle w:val="ListParagraph"/>
        <w:numPr>
          <w:ilvl w:val="3"/>
          <w:numId w:val="25"/>
        </w:numPr>
        <w:tabs>
          <w:tab w:val="left" w:pos="2018"/>
          <w:tab w:val="left" w:pos="2019"/>
        </w:tabs>
        <w:spacing w:before="43" w:after="0" w:line="240" w:lineRule="auto"/>
        <w:ind w:left="2018" w:right="0" w:hanging="421"/>
        <w:jc w:val="left"/>
        <w:rPr>
          <w:rFonts w:ascii="Times New Roman" w:eastAsia="Times New Roman"/>
          <w:sz w:val="21"/>
        </w:rPr>
      </w:pPr>
      <w:r>
        <w:rPr>
          <w:spacing w:val="-3"/>
          <w:sz w:val="21"/>
        </w:rPr>
        <w:t>应观察和检测生物膜的性状和生物相特征；</w:t>
      </w:r>
    </w:p>
    <w:p>
      <w:pPr>
        <w:pStyle w:val="ListParagraph"/>
        <w:numPr>
          <w:ilvl w:val="3"/>
          <w:numId w:val="25"/>
        </w:numPr>
        <w:tabs>
          <w:tab w:val="left" w:pos="2018"/>
          <w:tab w:val="left" w:pos="2019"/>
        </w:tabs>
        <w:spacing w:before="43" w:after="0" w:line="240" w:lineRule="auto"/>
        <w:ind w:left="2018" w:right="0" w:hanging="421"/>
        <w:jc w:val="left"/>
        <w:rPr>
          <w:rFonts w:ascii="Times New Roman" w:eastAsia="Times New Roman"/>
          <w:sz w:val="21"/>
        </w:rPr>
      </w:pPr>
      <w:r>
        <w:rPr>
          <w:spacing w:val="-3"/>
          <w:sz w:val="21"/>
        </w:rPr>
        <w:t>应根据当地气温和环境等条件，采取防冻、防臭和灭蝇等措施。</w:t>
      </w:r>
    </w:p>
    <w:p>
      <w:pPr>
        <w:pStyle w:val="ListParagraph"/>
        <w:numPr>
          <w:ilvl w:val="2"/>
          <w:numId w:val="25"/>
        </w:numPr>
        <w:tabs>
          <w:tab w:val="left" w:pos="1758"/>
        </w:tabs>
        <w:spacing w:before="43" w:after="0" w:line="240" w:lineRule="auto"/>
        <w:ind w:left="1757" w:right="0" w:hanging="580"/>
        <w:jc w:val="left"/>
        <w:rPr>
          <w:sz w:val="21"/>
        </w:rPr>
      </w:pPr>
      <w:r>
        <w:rPr>
          <w:spacing w:val="-3"/>
          <w:sz w:val="21"/>
        </w:rPr>
        <w:t>深度处理工艺的运行维护应符合下列要求：</w:t>
      </w:r>
    </w:p>
    <w:p>
      <w:pPr>
        <w:pStyle w:val="ListParagraph"/>
        <w:numPr>
          <w:ilvl w:val="3"/>
          <w:numId w:val="25"/>
        </w:numPr>
        <w:tabs>
          <w:tab w:val="left" w:pos="2018"/>
          <w:tab w:val="left" w:pos="2019"/>
        </w:tabs>
        <w:spacing w:before="43" w:after="0" w:line="278" w:lineRule="auto"/>
        <w:ind w:left="2018" w:right="866" w:hanging="420"/>
        <w:jc w:val="left"/>
        <w:rPr>
          <w:rFonts w:ascii="Times New Roman" w:eastAsia="Times New Roman"/>
          <w:sz w:val="21"/>
        </w:rPr>
      </w:pPr>
      <w:r>
        <w:rPr>
          <w:spacing w:val="-8"/>
          <w:sz w:val="21"/>
        </w:rPr>
        <w:t>混凝反应池应按工艺设计要求和运行工况，控制流速、水位和水力停留时间，且运行参数控制</w:t>
      </w:r>
      <w:r>
        <w:rPr>
          <w:spacing w:val="-5"/>
          <w:sz w:val="21"/>
        </w:rPr>
        <w:t>应符合《污水混凝与絮凝处理工程技术规范》</w:t>
      </w:r>
      <w:r>
        <w:rPr>
          <w:sz w:val="21"/>
        </w:rPr>
        <w:t>（</w:t>
      </w:r>
      <w:r>
        <w:rPr>
          <w:rFonts w:ascii="Times New Roman" w:eastAsia="Times New Roman"/>
          <w:sz w:val="21"/>
        </w:rPr>
        <w:t>HJ</w:t>
      </w:r>
      <w:r>
        <w:rPr>
          <w:rFonts w:ascii="Times New Roman" w:eastAsia="Times New Roman"/>
          <w:spacing w:val="-3"/>
          <w:sz w:val="21"/>
        </w:rPr>
        <w:t xml:space="preserve"> </w:t>
      </w:r>
      <w:r>
        <w:rPr>
          <w:rFonts w:ascii="Times New Roman" w:eastAsia="Times New Roman"/>
          <w:sz w:val="21"/>
        </w:rPr>
        <w:t>2006</w:t>
      </w:r>
      <w:r>
        <w:rPr>
          <w:sz w:val="21"/>
        </w:rPr>
        <w:t>）</w:t>
      </w:r>
      <w:r>
        <w:rPr>
          <w:spacing w:val="-3"/>
          <w:sz w:val="21"/>
        </w:rPr>
        <w:t>的相关规定；</w:t>
      </w:r>
    </w:p>
    <w:p>
      <w:pPr>
        <w:pStyle w:val="ListParagraph"/>
        <w:numPr>
          <w:ilvl w:val="3"/>
          <w:numId w:val="25"/>
        </w:numPr>
        <w:tabs>
          <w:tab w:val="left" w:pos="2018"/>
          <w:tab w:val="left" w:pos="2019"/>
        </w:tabs>
        <w:spacing w:before="0" w:after="0" w:line="278" w:lineRule="auto"/>
        <w:ind w:left="2018" w:right="866" w:hanging="420"/>
        <w:jc w:val="left"/>
        <w:rPr>
          <w:rFonts w:ascii="Times New Roman" w:eastAsia="Times New Roman"/>
          <w:sz w:val="21"/>
        </w:rPr>
      </w:pPr>
      <w:r>
        <w:rPr>
          <w:spacing w:val="-7"/>
          <w:sz w:val="21"/>
        </w:rPr>
        <w:t>过滤池应根据水头损失或过滤时间对滤床进行反冲洗，运行参数控制应符合《污水过滤处理工</w:t>
      </w:r>
      <w:r>
        <w:rPr>
          <w:spacing w:val="-5"/>
          <w:sz w:val="21"/>
        </w:rPr>
        <w:t>程技术规范》</w:t>
      </w:r>
      <w:r>
        <w:rPr>
          <w:sz w:val="21"/>
        </w:rPr>
        <w:t>（</w:t>
      </w:r>
      <w:r>
        <w:rPr>
          <w:rFonts w:ascii="Times New Roman" w:eastAsia="Times New Roman"/>
          <w:sz w:val="21"/>
        </w:rPr>
        <w:t>HJ</w:t>
      </w:r>
      <w:r>
        <w:rPr>
          <w:rFonts w:ascii="Times New Roman" w:eastAsia="Times New Roman"/>
          <w:spacing w:val="-3"/>
          <w:sz w:val="21"/>
        </w:rPr>
        <w:t xml:space="preserve"> </w:t>
      </w:r>
      <w:r>
        <w:rPr>
          <w:rFonts w:ascii="Times New Roman" w:eastAsia="Times New Roman"/>
          <w:sz w:val="21"/>
        </w:rPr>
        <w:t>2008</w:t>
      </w:r>
      <w:r>
        <w:rPr>
          <w:sz w:val="21"/>
        </w:rPr>
        <w:t>）</w:t>
      </w:r>
      <w:r>
        <w:rPr>
          <w:spacing w:val="-2"/>
          <w:sz w:val="21"/>
        </w:rPr>
        <w:t>的相关规定；</w:t>
      </w:r>
    </w:p>
    <w:p>
      <w:pPr>
        <w:pStyle w:val="ListParagraph"/>
        <w:numPr>
          <w:ilvl w:val="3"/>
          <w:numId w:val="25"/>
        </w:numPr>
        <w:tabs>
          <w:tab w:val="left" w:pos="2018"/>
          <w:tab w:val="left" w:pos="2019"/>
        </w:tabs>
        <w:spacing w:before="0" w:after="0" w:line="278" w:lineRule="auto"/>
        <w:ind w:left="2018" w:right="867" w:hanging="420"/>
        <w:jc w:val="left"/>
        <w:rPr>
          <w:rFonts w:ascii="Times New Roman" w:eastAsia="Times New Roman"/>
          <w:sz w:val="21"/>
        </w:rPr>
      </w:pPr>
      <w:r>
        <w:rPr>
          <w:spacing w:val="-7"/>
          <w:sz w:val="21"/>
        </w:rPr>
        <w:t>膜分离装置应按工艺设计要求定期自动进行化学清洗或物理清洗，使其保持稳定运行，运行参</w:t>
      </w:r>
      <w:r>
        <w:rPr>
          <w:spacing w:val="-5"/>
          <w:sz w:val="21"/>
        </w:rPr>
        <w:t>数控制应符合《膜分离法污水处理工程技术规范》</w:t>
      </w:r>
      <w:r>
        <w:rPr>
          <w:sz w:val="21"/>
        </w:rPr>
        <w:t>（</w:t>
      </w:r>
      <w:r>
        <w:rPr>
          <w:rFonts w:ascii="Times New Roman" w:eastAsia="Times New Roman"/>
          <w:sz w:val="21"/>
        </w:rPr>
        <w:t>HJ</w:t>
      </w:r>
      <w:r>
        <w:rPr>
          <w:rFonts w:ascii="Times New Roman" w:eastAsia="Times New Roman"/>
          <w:spacing w:val="-2"/>
          <w:sz w:val="21"/>
        </w:rPr>
        <w:t xml:space="preserve"> </w:t>
      </w:r>
      <w:r>
        <w:rPr>
          <w:rFonts w:ascii="Times New Roman" w:eastAsia="Times New Roman"/>
          <w:sz w:val="21"/>
        </w:rPr>
        <w:t>579</w:t>
      </w:r>
      <w:r>
        <w:rPr>
          <w:sz w:val="21"/>
        </w:rPr>
        <w:t>）</w:t>
      </w:r>
      <w:r>
        <w:rPr>
          <w:spacing w:val="-3"/>
          <w:sz w:val="21"/>
        </w:rPr>
        <w:t>的相关规定。</w:t>
      </w:r>
    </w:p>
    <w:p>
      <w:pPr>
        <w:pStyle w:val="ListParagraph"/>
        <w:numPr>
          <w:ilvl w:val="2"/>
          <w:numId w:val="25"/>
        </w:numPr>
        <w:tabs>
          <w:tab w:val="left" w:pos="1758"/>
        </w:tabs>
        <w:spacing w:before="0" w:after="0" w:line="269" w:lineRule="exact"/>
        <w:ind w:left="1757" w:right="0" w:hanging="580"/>
        <w:jc w:val="left"/>
        <w:rPr>
          <w:sz w:val="21"/>
        </w:rPr>
      </w:pPr>
      <w:r>
        <w:rPr>
          <w:spacing w:val="-3"/>
          <w:sz w:val="21"/>
        </w:rPr>
        <w:t>人工湿地的检查与运行维护应符合下列规定：</w:t>
      </w:r>
    </w:p>
    <w:p>
      <w:pPr>
        <w:pStyle w:val="ListParagraph"/>
        <w:numPr>
          <w:ilvl w:val="3"/>
          <w:numId w:val="25"/>
        </w:numPr>
        <w:tabs>
          <w:tab w:val="left" w:pos="2018"/>
          <w:tab w:val="left" w:pos="2019"/>
        </w:tabs>
        <w:spacing w:before="43" w:after="0" w:line="278" w:lineRule="auto"/>
        <w:ind w:left="2018" w:right="876" w:hanging="420"/>
        <w:jc w:val="left"/>
        <w:rPr>
          <w:rFonts w:ascii="Times New Roman" w:eastAsia="Times New Roman"/>
          <w:sz w:val="21"/>
        </w:rPr>
      </w:pPr>
      <w:r>
        <w:rPr>
          <w:spacing w:val="-1"/>
          <w:sz w:val="21"/>
        </w:rPr>
        <w:t>对进出水装置要进行周期性的检查并对流量进行校正，应定期去除容易堵塞进出水管道的残</w:t>
      </w:r>
      <w:r>
        <w:rPr>
          <w:spacing w:val="-3"/>
          <w:sz w:val="21"/>
        </w:rPr>
        <w:t>渣，以免出现短流、进水端壅水和出水端淹没等现象；</w:t>
      </w:r>
    </w:p>
    <w:p>
      <w:pPr>
        <w:spacing w:before="104"/>
        <w:ind w:left="0" w:right="1006" w:firstLine="0"/>
        <w:jc w:val="right"/>
        <w:rPr>
          <w:sz w:val="18"/>
        </w:rPr>
      </w:pPr>
      <w:r>
        <w:rPr>
          <w:sz w:val="18"/>
        </w:rPr>
        <w:t xml:space="preserve">7 </w:t>
      </w:r>
    </w:p>
    <w:p>
      <w:pPr>
        <w:spacing w:after="0"/>
        <w:jc w:val="right"/>
        <w:rPr>
          <w:sz w:val="18"/>
        </w:rPr>
        <w:sectPr>
          <w:headerReference w:type="even" r:id="rId32"/>
          <w:headerReference w:type="default" r:id="rId33"/>
          <w:pgSz w:w="11910" w:h="16840"/>
          <w:pgMar w:top="1640" w:right="260" w:bottom="280" w:left="240" w:header="1448" w:footer="0"/>
          <w:pgNumType w:start="14"/>
          <w:cols w:space="708"/>
        </w:sectPr>
      </w:pPr>
    </w:p>
    <w:p>
      <w:pPr>
        <w:pStyle w:val="BodyText"/>
        <w:spacing w:before="7"/>
        <w:rPr>
          <w:sz w:val="16"/>
        </w:rPr>
      </w:pPr>
    </w:p>
    <w:p>
      <w:pPr>
        <w:pStyle w:val="ListParagraph"/>
        <w:numPr>
          <w:ilvl w:val="3"/>
          <w:numId w:val="25"/>
        </w:numPr>
        <w:tabs>
          <w:tab w:val="left" w:pos="1733"/>
          <w:tab w:val="left" w:pos="1734"/>
        </w:tabs>
        <w:spacing w:before="79" w:after="0" w:line="240" w:lineRule="auto"/>
        <w:ind w:left="1733" w:right="0" w:hanging="421"/>
        <w:jc w:val="left"/>
        <w:rPr>
          <w:rFonts w:ascii="Times New Roman" w:eastAsia="Times New Roman"/>
          <w:sz w:val="21"/>
        </w:rPr>
      </w:pPr>
      <w:r>
        <w:rPr>
          <w:spacing w:val="-3"/>
          <w:sz w:val="21"/>
        </w:rPr>
        <w:t>应经常对护堤进行检查，防止水面以下护堤的外部斜坡面出现渗水现象；</w:t>
      </w:r>
    </w:p>
    <w:p>
      <w:pPr>
        <w:pStyle w:val="ListParagraph"/>
        <w:numPr>
          <w:ilvl w:val="3"/>
          <w:numId w:val="25"/>
        </w:numPr>
        <w:tabs>
          <w:tab w:val="left" w:pos="1733"/>
          <w:tab w:val="left" w:pos="1734"/>
        </w:tabs>
        <w:spacing w:before="43" w:after="0" w:line="240" w:lineRule="auto"/>
        <w:ind w:left="1733" w:right="0" w:hanging="421"/>
        <w:jc w:val="left"/>
        <w:rPr>
          <w:rFonts w:ascii="Times New Roman" w:eastAsia="Times New Roman"/>
          <w:sz w:val="21"/>
        </w:rPr>
      </w:pPr>
      <w:r>
        <w:rPr>
          <w:spacing w:val="-3"/>
          <w:sz w:val="21"/>
        </w:rPr>
        <w:t>湿地植物栽种初期应通过控制湿地水位，保证植物良性生长；</w:t>
      </w:r>
    </w:p>
    <w:p>
      <w:pPr>
        <w:pStyle w:val="ListParagraph"/>
        <w:numPr>
          <w:ilvl w:val="3"/>
          <w:numId w:val="25"/>
        </w:numPr>
        <w:tabs>
          <w:tab w:val="left" w:pos="1733"/>
          <w:tab w:val="left" w:pos="1734"/>
        </w:tabs>
        <w:spacing w:before="43" w:after="0" w:line="240" w:lineRule="auto"/>
        <w:ind w:left="1733" w:right="0" w:hanging="421"/>
        <w:jc w:val="left"/>
        <w:rPr>
          <w:rFonts w:ascii="Times New Roman" w:eastAsia="Times New Roman"/>
          <w:sz w:val="21"/>
        </w:rPr>
      </w:pPr>
      <w:r>
        <w:rPr>
          <w:spacing w:val="-3"/>
          <w:sz w:val="21"/>
        </w:rPr>
        <w:t>应及时清除植物的枯枝落叶，移除外来物种，进行缺苗补种，控制病虫害；</w:t>
      </w:r>
    </w:p>
    <w:p>
      <w:pPr>
        <w:pStyle w:val="ListParagraph"/>
        <w:numPr>
          <w:ilvl w:val="3"/>
          <w:numId w:val="25"/>
        </w:numPr>
        <w:tabs>
          <w:tab w:val="left" w:pos="1733"/>
          <w:tab w:val="left" w:pos="1734"/>
        </w:tabs>
        <w:spacing w:before="43" w:after="0" w:line="240" w:lineRule="auto"/>
        <w:ind w:left="1733" w:right="0" w:hanging="421"/>
        <w:jc w:val="left"/>
        <w:rPr>
          <w:rFonts w:ascii="Times New Roman" w:eastAsia="Times New Roman"/>
          <w:sz w:val="21"/>
        </w:rPr>
      </w:pPr>
      <w:r>
        <w:rPr>
          <w:spacing w:val="-3"/>
          <w:sz w:val="21"/>
        </w:rPr>
        <w:t>湿地植物成熟后应对植物进行及时收割、处理和利用，保证湿地的良性循环；</w:t>
      </w:r>
    </w:p>
    <w:p>
      <w:pPr>
        <w:pStyle w:val="ListParagraph"/>
        <w:numPr>
          <w:ilvl w:val="3"/>
          <w:numId w:val="25"/>
        </w:numPr>
        <w:tabs>
          <w:tab w:val="left" w:pos="1733"/>
          <w:tab w:val="left" w:pos="1734"/>
        </w:tabs>
        <w:spacing w:before="43" w:after="0" w:line="240" w:lineRule="auto"/>
        <w:ind w:left="1733" w:right="0" w:hanging="421"/>
        <w:jc w:val="left"/>
        <w:rPr>
          <w:rFonts w:ascii="Times New Roman" w:eastAsia="Times New Roman"/>
          <w:sz w:val="21"/>
        </w:rPr>
      </w:pPr>
      <w:r>
        <w:rPr>
          <w:spacing w:val="-3"/>
          <w:sz w:val="21"/>
        </w:rPr>
        <w:t>应定期对湿地四周的环境进行清扫以保持湿地周边良好的环境卫生；</w:t>
      </w:r>
    </w:p>
    <w:p>
      <w:pPr>
        <w:pStyle w:val="ListParagraph"/>
        <w:numPr>
          <w:ilvl w:val="3"/>
          <w:numId w:val="25"/>
        </w:numPr>
        <w:tabs>
          <w:tab w:val="left" w:pos="1733"/>
          <w:tab w:val="left" w:pos="1734"/>
        </w:tabs>
        <w:spacing w:before="42" w:after="0" w:line="240" w:lineRule="auto"/>
        <w:ind w:left="1733" w:right="0" w:hanging="421"/>
        <w:jc w:val="left"/>
        <w:rPr>
          <w:rFonts w:ascii="Times New Roman" w:eastAsia="Times New Roman"/>
          <w:sz w:val="21"/>
        </w:rPr>
      </w:pPr>
      <w:r>
        <w:rPr>
          <w:spacing w:val="-3"/>
          <w:sz w:val="21"/>
        </w:rPr>
        <w:t>宜采用间歇运行、定期清淤、局部更换基质等方法，防止湿地运行中堵塞现象；</w:t>
      </w:r>
    </w:p>
    <w:p>
      <w:pPr>
        <w:pStyle w:val="ListParagraph"/>
        <w:numPr>
          <w:ilvl w:val="3"/>
          <w:numId w:val="25"/>
        </w:numPr>
        <w:tabs>
          <w:tab w:val="left" w:pos="1733"/>
          <w:tab w:val="left" w:pos="1734"/>
        </w:tabs>
        <w:spacing w:before="43" w:after="0" w:line="240" w:lineRule="auto"/>
        <w:ind w:left="1733" w:right="0" w:hanging="421"/>
        <w:jc w:val="left"/>
        <w:rPr>
          <w:rFonts w:ascii="Times New Roman" w:eastAsia="Times New Roman"/>
          <w:sz w:val="21"/>
        </w:rPr>
      </w:pPr>
      <w:r>
        <w:rPr>
          <w:spacing w:val="-19"/>
          <w:sz w:val="21"/>
        </w:rPr>
        <w:t>定期检测进出水水质，确保人工湿地的运行满足设计要求，并定期对检测仪器、仪表进行校验。</w:t>
      </w:r>
    </w:p>
    <w:p>
      <w:pPr>
        <w:pStyle w:val="ListParagraph"/>
        <w:numPr>
          <w:ilvl w:val="2"/>
          <w:numId w:val="25"/>
        </w:numPr>
        <w:tabs>
          <w:tab w:val="left" w:pos="1472"/>
        </w:tabs>
        <w:spacing w:before="43" w:after="0" w:line="240" w:lineRule="auto"/>
        <w:ind w:left="1471" w:right="0" w:hanging="580"/>
        <w:jc w:val="left"/>
        <w:rPr>
          <w:sz w:val="21"/>
        </w:rPr>
      </w:pPr>
      <w:r>
        <w:rPr>
          <w:spacing w:val="-2"/>
          <w:sz w:val="21"/>
        </w:rPr>
        <w:t>污水</w:t>
      </w:r>
      <w:r>
        <w:rPr>
          <w:sz w:val="21"/>
        </w:rPr>
        <w:t>（</w:t>
      </w:r>
      <w:r>
        <w:rPr>
          <w:spacing w:val="-2"/>
          <w:sz w:val="21"/>
        </w:rPr>
        <w:t>污泥</w:t>
      </w:r>
      <w:r>
        <w:rPr>
          <w:spacing w:val="-3"/>
          <w:sz w:val="21"/>
        </w:rPr>
        <w:t>）处理构筑物的日常养护应符合下列要求：</w:t>
      </w:r>
    </w:p>
    <w:p>
      <w:pPr>
        <w:pStyle w:val="ListParagraph"/>
        <w:numPr>
          <w:ilvl w:val="3"/>
          <w:numId w:val="25"/>
        </w:numPr>
        <w:tabs>
          <w:tab w:val="left" w:pos="1733"/>
          <w:tab w:val="left" w:pos="1734"/>
        </w:tabs>
        <w:spacing w:before="43" w:after="0" w:line="240" w:lineRule="auto"/>
        <w:ind w:left="1733" w:right="0" w:hanging="421"/>
        <w:jc w:val="left"/>
        <w:rPr>
          <w:rFonts w:ascii="Times New Roman" w:eastAsia="Times New Roman"/>
          <w:sz w:val="21"/>
        </w:rPr>
      </w:pPr>
      <w:r>
        <w:rPr>
          <w:spacing w:val="-3"/>
          <w:sz w:val="21"/>
        </w:rPr>
        <w:t>对构筑物的楼梯、走道栏杆等定期进行检查、维修及除锈、防腐处理；</w:t>
      </w:r>
    </w:p>
    <w:p>
      <w:pPr>
        <w:pStyle w:val="ListParagraph"/>
        <w:numPr>
          <w:ilvl w:val="3"/>
          <w:numId w:val="25"/>
        </w:numPr>
        <w:tabs>
          <w:tab w:val="left" w:pos="1733"/>
          <w:tab w:val="left" w:pos="1734"/>
        </w:tabs>
        <w:spacing w:before="43" w:after="0" w:line="278" w:lineRule="auto"/>
        <w:ind w:left="1733" w:right="1152" w:hanging="420"/>
        <w:jc w:val="left"/>
        <w:rPr>
          <w:rFonts w:ascii="Times New Roman" w:eastAsia="Times New Roman"/>
          <w:sz w:val="21"/>
        </w:rPr>
      </w:pPr>
      <w:r>
        <w:rPr>
          <w:spacing w:val="-10"/>
          <w:sz w:val="21"/>
        </w:rPr>
        <w:t>定期清扫构筑物堰口、池壁，清理二沉池刮泥机和出水槽的青苔；如果二沉池上有浮泥，应及</w:t>
      </w:r>
      <w:r>
        <w:rPr>
          <w:spacing w:val="-5"/>
          <w:sz w:val="21"/>
        </w:rPr>
        <w:t>时清除并查找原因；</w:t>
      </w:r>
    </w:p>
    <w:p>
      <w:pPr>
        <w:pStyle w:val="ListParagraph"/>
        <w:numPr>
          <w:ilvl w:val="3"/>
          <w:numId w:val="25"/>
        </w:numPr>
        <w:tabs>
          <w:tab w:val="left" w:pos="1733"/>
          <w:tab w:val="left" w:pos="1734"/>
        </w:tabs>
        <w:spacing w:before="1" w:after="0" w:line="240" w:lineRule="auto"/>
        <w:ind w:left="1733" w:right="0" w:hanging="421"/>
        <w:jc w:val="left"/>
        <w:rPr>
          <w:rFonts w:ascii="Times New Roman" w:eastAsia="Times New Roman"/>
          <w:sz w:val="21"/>
        </w:rPr>
      </w:pPr>
      <w:r>
        <w:rPr>
          <w:spacing w:val="-3"/>
          <w:sz w:val="21"/>
        </w:rPr>
        <w:t>定期检查、维修、更换厂区照明设备、灭火器及救生圈等安全防护设施；</w:t>
      </w:r>
    </w:p>
    <w:p>
      <w:pPr>
        <w:pStyle w:val="ListParagraph"/>
        <w:numPr>
          <w:ilvl w:val="3"/>
          <w:numId w:val="25"/>
        </w:numPr>
        <w:tabs>
          <w:tab w:val="left" w:pos="1733"/>
          <w:tab w:val="left" w:pos="1734"/>
        </w:tabs>
        <w:spacing w:before="43" w:after="0" w:line="240" w:lineRule="auto"/>
        <w:ind w:left="1733" w:right="0" w:hanging="421"/>
        <w:jc w:val="left"/>
        <w:rPr>
          <w:rFonts w:ascii="Times New Roman" w:eastAsia="Times New Roman"/>
          <w:sz w:val="21"/>
        </w:rPr>
      </w:pPr>
      <w:r>
        <w:rPr>
          <w:spacing w:val="-3"/>
          <w:sz w:val="21"/>
        </w:rPr>
        <w:t>雨雪天气后检查阀门井、电缆沟，应保持无积水。</w:t>
      </w:r>
    </w:p>
    <w:p>
      <w:pPr>
        <w:pStyle w:val="BodyText"/>
        <w:spacing w:before="6"/>
        <w:rPr>
          <w:sz w:val="15"/>
        </w:rPr>
      </w:pPr>
    </w:p>
    <w:p>
      <w:pPr>
        <w:pStyle w:val="ListParagraph"/>
        <w:numPr>
          <w:ilvl w:val="1"/>
          <w:numId w:val="25"/>
        </w:numPr>
        <w:tabs>
          <w:tab w:val="left" w:pos="1316"/>
        </w:tabs>
        <w:spacing w:before="0" w:after="0" w:line="240" w:lineRule="auto"/>
        <w:ind w:left="1315" w:right="0" w:hanging="424"/>
        <w:jc w:val="left"/>
        <w:rPr>
          <w:rFonts w:ascii="黑体" w:eastAsia="黑体" w:hint="eastAsia"/>
          <w:sz w:val="21"/>
        </w:rPr>
      </w:pPr>
      <w:r>
        <w:rPr>
          <w:rFonts w:ascii="黑体" w:eastAsia="黑体" w:hint="eastAsia"/>
          <w:spacing w:val="-3"/>
          <w:sz w:val="21"/>
        </w:rPr>
        <w:t>附属设施</w:t>
      </w:r>
    </w:p>
    <w:p>
      <w:pPr>
        <w:pStyle w:val="BodyText"/>
        <w:spacing w:before="7"/>
        <w:rPr>
          <w:rFonts w:ascii="黑体"/>
          <w:sz w:val="15"/>
        </w:rPr>
      </w:pPr>
    </w:p>
    <w:p>
      <w:pPr>
        <w:pStyle w:val="ListParagraph"/>
        <w:numPr>
          <w:ilvl w:val="2"/>
          <w:numId w:val="25"/>
        </w:numPr>
        <w:tabs>
          <w:tab w:val="left" w:pos="1472"/>
        </w:tabs>
        <w:spacing w:before="0" w:after="0" w:line="278" w:lineRule="auto"/>
        <w:ind w:left="892" w:right="1152" w:firstLine="0"/>
        <w:jc w:val="both"/>
        <w:rPr>
          <w:sz w:val="21"/>
        </w:rPr>
      </w:pPr>
      <w:r>
        <w:rPr>
          <w:spacing w:val="-7"/>
          <w:sz w:val="21"/>
        </w:rPr>
        <w:t>化学药剂存放仓库，必须统一管理，并严格执行出入库发放制度并建立台账。仓库应经常保持整</w:t>
      </w:r>
      <w:r>
        <w:rPr>
          <w:spacing w:val="-12"/>
          <w:sz w:val="21"/>
        </w:rPr>
        <w:t>洁，对散落的易燃、易爆物品和杂物及时清除。储存易燃、易爆药品的仓库应远离火源，根据灭火工作</w:t>
      </w:r>
      <w:r>
        <w:rPr>
          <w:spacing w:val="-11"/>
          <w:sz w:val="21"/>
        </w:rPr>
        <w:t>的需要，备有适当种类和数量的消防器材设备，并布置在明显和便于取用的地点。消防器材附近，严禁</w:t>
      </w:r>
      <w:r>
        <w:rPr>
          <w:spacing w:val="-6"/>
          <w:sz w:val="21"/>
        </w:rPr>
        <w:t>堆放其它物品。</w:t>
      </w:r>
    </w:p>
    <w:p>
      <w:pPr>
        <w:pStyle w:val="ListParagraph"/>
        <w:numPr>
          <w:ilvl w:val="2"/>
          <w:numId w:val="25"/>
        </w:numPr>
        <w:tabs>
          <w:tab w:val="left" w:pos="1472"/>
        </w:tabs>
        <w:spacing w:before="0" w:after="0" w:line="278" w:lineRule="auto"/>
        <w:ind w:left="892" w:right="1154" w:firstLine="0"/>
        <w:jc w:val="both"/>
        <w:rPr>
          <w:sz w:val="21"/>
        </w:rPr>
      </w:pPr>
      <w:r>
        <w:drawing>
          <wp:anchor distT="0" distB="0" distL="0" distR="0" simplePos="0" relativeHeight="251680768" behindDoc="0" locked="0" layoutInCell="1" allowOverlap="1">
            <wp:simplePos x="0" y="0"/>
            <wp:positionH relativeFrom="page">
              <wp:posOffset>215900</wp:posOffset>
            </wp:positionH>
            <wp:positionV relativeFrom="paragraph">
              <wp:posOffset>240919</wp:posOffset>
            </wp:positionV>
            <wp:extent cx="7112000" cy="4876800"/>
            <wp:effectExtent l="0" t="0" r="0" b="0"/>
            <wp:wrapNone/>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1.png"/>
                    <pic:cNvPicPr/>
                  </pic:nvPicPr>
                  <pic:blipFill>
                    <a:blip xmlns:r="http://schemas.openxmlformats.org/officeDocument/2006/relationships" r:embed="rId4" cstate="print"/>
                    <a:stretch>
                      <a:fillRect/>
                    </a:stretch>
                  </pic:blipFill>
                  <pic:spPr>
                    <a:xfrm>
                      <a:off x="0" y="0"/>
                      <a:ext cx="7112000" cy="4876800"/>
                    </a:xfrm>
                    <a:prstGeom prst="rect">
                      <a:avLst/>
                    </a:prstGeom>
                  </pic:spPr>
                </pic:pic>
              </a:graphicData>
            </a:graphic>
          </wp:anchor>
        </w:drawing>
      </w:r>
      <w:r>
        <w:rPr>
          <w:spacing w:val="-6"/>
          <w:sz w:val="21"/>
        </w:rPr>
        <w:t>危险废物暂存间应保证密闭，具备完善的防渗措施和渗漏收集措施，应满足《危险废物贮存污染</w:t>
      </w:r>
      <w:r>
        <w:rPr>
          <w:spacing w:val="-31"/>
          <w:sz w:val="21"/>
        </w:rPr>
        <w:t>控制标准》</w:t>
      </w:r>
      <w:r>
        <w:rPr>
          <w:spacing w:val="-5"/>
          <w:sz w:val="21"/>
        </w:rPr>
        <w:t>（</w:t>
      </w:r>
      <w:r>
        <w:rPr>
          <w:rFonts w:ascii="Calibri" w:eastAsia="Calibri"/>
          <w:spacing w:val="-5"/>
          <w:sz w:val="21"/>
        </w:rPr>
        <w:t>GB18597</w:t>
      </w:r>
      <w:r>
        <w:rPr>
          <w:spacing w:val="-5"/>
          <w:sz w:val="21"/>
        </w:rPr>
        <w:t>）</w:t>
      </w:r>
      <w:r>
        <w:rPr>
          <w:spacing w:val="-10"/>
          <w:sz w:val="21"/>
        </w:rPr>
        <w:t>相关标准要求。危废间应配备通讯设备、防爆照明设施和观察窗口、安全防护服</w:t>
      </w:r>
      <w:r>
        <w:rPr>
          <w:spacing w:val="-5"/>
          <w:sz w:val="21"/>
        </w:rPr>
        <w:t>装及工具，并设有应急防护设施。危险废物应分类放置，并分别标识。</w:t>
      </w:r>
    </w:p>
    <w:p>
      <w:pPr>
        <w:pStyle w:val="ListParagraph"/>
        <w:numPr>
          <w:ilvl w:val="2"/>
          <w:numId w:val="25"/>
        </w:numPr>
        <w:tabs>
          <w:tab w:val="left" w:pos="1472"/>
        </w:tabs>
        <w:spacing w:before="0" w:after="0" w:line="278" w:lineRule="auto"/>
        <w:ind w:left="892" w:right="1154" w:firstLine="0"/>
        <w:jc w:val="both"/>
        <w:rPr>
          <w:sz w:val="21"/>
        </w:rPr>
      </w:pPr>
      <w:r>
        <w:rPr>
          <w:spacing w:val="-5"/>
          <w:sz w:val="21"/>
        </w:rPr>
        <w:t xml:space="preserve">乡镇生活污水处理厂应设置不少于 </w:t>
      </w:r>
      <w:r>
        <w:rPr>
          <w:rFonts w:ascii="Calibri" w:eastAsia="Calibri"/>
          <w:sz w:val="21"/>
        </w:rPr>
        <w:t>3</w:t>
      </w:r>
      <w:r>
        <w:rPr>
          <w:rFonts w:ascii="Calibri" w:eastAsia="Calibri"/>
          <w:spacing w:val="23"/>
          <w:sz w:val="21"/>
        </w:rPr>
        <w:t xml:space="preserve"> </w:t>
      </w:r>
      <w:r>
        <w:rPr>
          <w:spacing w:val="-6"/>
          <w:sz w:val="21"/>
        </w:rPr>
        <w:t>个接入省信息平台的视频监控摄像头，监控区域覆盖开放式</w:t>
      </w:r>
      <w:r>
        <w:rPr>
          <w:spacing w:val="-4"/>
          <w:sz w:val="21"/>
        </w:rPr>
        <w:t>生物处理单元、出水在线监测仪表间、巴氏计量槽。</w:t>
      </w:r>
    </w:p>
    <w:p>
      <w:pPr>
        <w:pStyle w:val="ListParagraph"/>
        <w:numPr>
          <w:ilvl w:val="2"/>
          <w:numId w:val="25"/>
        </w:numPr>
        <w:tabs>
          <w:tab w:val="left" w:pos="1472"/>
        </w:tabs>
        <w:spacing w:before="0" w:after="0" w:line="278" w:lineRule="auto"/>
        <w:ind w:left="892" w:right="1154" w:firstLine="0"/>
        <w:jc w:val="both"/>
        <w:rPr>
          <w:sz w:val="21"/>
        </w:rPr>
      </w:pPr>
      <w:r>
        <w:rPr>
          <w:spacing w:val="-5"/>
          <w:sz w:val="21"/>
        </w:rPr>
        <w:t>监控摄像头清晰度应满足查看设备运行状态、监控仪表间人员进出过程的需要。污水厂人员不能</w:t>
      </w:r>
      <w:r>
        <w:rPr>
          <w:spacing w:val="-4"/>
          <w:sz w:val="21"/>
        </w:rPr>
        <w:t>随意进入仪表间。</w:t>
      </w:r>
    </w:p>
    <w:p>
      <w:pPr>
        <w:pStyle w:val="ListParagraph"/>
        <w:numPr>
          <w:ilvl w:val="2"/>
          <w:numId w:val="25"/>
        </w:numPr>
        <w:tabs>
          <w:tab w:val="left" w:pos="1472"/>
        </w:tabs>
        <w:spacing w:before="0" w:after="0" w:line="278" w:lineRule="auto"/>
        <w:ind w:left="892" w:right="1152" w:firstLine="0"/>
        <w:jc w:val="both"/>
        <w:rPr>
          <w:sz w:val="21"/>
        </w:rPr>
      </w:pPr>
      <w:r>
        <w:rPr>
          <w:spacing w:val="-8"/>
          <w:sz w:val="21"/>
        </w:rPr>
        <w:t>乡镇生活污水处理厂在线监测系统监测数据应根据上级规定确定，进水一般包括流量、</w:t>
      </w:r>
      <w:r>
        <w:rPr>
          <w:rFonts w:ascii="Calibri" w:eastAsia="Calibri"/>
          <w:spacing w:val="-3"/>
          <w:sz w:val="21"/>
        </w:rPr>
        <w:t>COD</w:t>
      </w:r>
      <w:r>
        <w:rPr>
          <w:spacing w:val="-82"/>
          <w:sz w:val="21"/>
        </w:rPr>
        <w:t>、</w:t>
      </w:r>
      <w:r>
        <w:rPr>
          <w:rFonts w:ascii="Calibri" w:eastAsia="Calibri"/>
          <w:sz w:val="21"/>
        </w:rPr>
        <w:t>pH</w:t>
      </w:r>
      <w:r>
        <w:rPr>
          <w:sz w:val="21"/>
        </w:rPr>
        <w:t xml:space="preserve">； </w:t>
      </w:r>
      <w:r>
        <w:rPr>
          <w:spacing w:val="-3"/>
          <w:w w:val="100"/>
          <w:position w:val="2"/>
          <w:sz w:val="21"/>
        </w:rPr>
        <w:t>出水一般包括流量、</w:t>
      </w:r>
      <w:r>
        <w:rPr>
          <w:rFonts w:ascii="Calibri" w:eastAsia="Calibri"/>
          <w:spacing w:val="-3"/>
          <w:w w:val="100"/>
          <w:position w:val="2"/>
          <w:sz w:val="21"/>
        </w:rPr>
        <w:t>C</w:t>
      </w:r>
      <w:r>
        <w:rPr>
          <w:rFonts w:ascii="Calibri" w:eastAsia="Calibri"/>
          <w:spacing w:val="-1"/>
          <w:w w:val="100"/>
          <w:position w:val="2"/>
          <w:sz w:val="21"/>
        </w:rPr>
        <w:t>O</w:t>
      </w:r>
      <w:r>
        <w:rPr>
          <w:rFonts w:ascii="Calibri" w:eastAsia="Calibri"/>
          <w:spacing w:val="-4"/>
          <w:w w:val="100"/>
          <w:position w:val="2"/>
          <w:sz w:val="21"/>
        </w:rPr>
        <w:t>D</w:t>
      </w:r>
      <w:r>
        <w:rPr>
          <w:spacing w:val="-1"/>
          <w:w w:val="100"/>
          <w:position w:val="2"/>
          <w:sz w:val="21"/>
        </w:rPr>
        <w:t>、总氮</w:t>
      </w:r>
      <w:r>
        <w:rPr>
          <w:w w:val="100"/>
          <w:position w:val="2"/>
          <w:sz w:val="21"/>
        </w:rPr>
        <w:t>（</w:t>
      </w:r>
      <w:r>
        <w:rPr>
          <w:rFonts w:ascii="Calibri" w:eastAsia="Calibri"/>
          <w:spacing w:val="-3"/>
          <w:w w:val="100"/>
          <w:position w:val="2"/>
          <w:sz w:val="21"/>
        </w:rPr>
        <w:t>T</w:t>
      </w:r>
      <w:r>
        <w:rPr>
          <w:rFonts w:ascii="Calibri" w:eastAsia="Calibri"/>
          <w:w w:val="100"/>
          <w:position w:val="2"/>
          <w:sz w:val="21"/>
        </w:rPr>
        <w:t>N</w:t>
      </w:r>
      <w:r>
        <w:rPr>
          <w:spacing w:val="-108"/>
          <w:w w:val="100"/>
          <w:position w:val="2"/>
          <w:sz w:val="21"/>
        </w:rPr>
        <w:t>）</w:t>
      </w:r>
      <w:r>
        <w:rPr>
          <w:spacing w:val="-2"/>
          <w:w w:val="100"/>
          <w:position w:val="2"/>
          <w:sz w:val="21"/>
        </w:rPr>
        <w:t>、氨氮</w:t>
      </w:r>
      <w:r>
        <w:rPr>
          <w:spacing w:val="-3"/>
          <w:w w:val="100"/>
          <w:position w:val="2"/>
          <w:sz w:val="21"/>
        </w:rPr>
        <w:t>（</w:t>
      </w:r>
      <w:r>
        <w:rPr>
          <w:rFonts w:ascii="Calibri" w:eastAsia="Calibri"/>
          <w:w w:val="100"/>
          <w:position w:val="2"/>
          <w:sz w:val="21"/>
        </w:rPr>
        <w:t>NH</w:t>
      </w:r>
      <w:r>
        <w:rPr>
          <w:rFonts w:ascii="Calibri" w:eastAsia="Calibri"/>
          <w:spacing w:val="-1"/>
          <w:w w:val="99"/>
          <w:sz w:val="14"/>
        </w:rPr>
        <w:t>3</w:t>
      </w:r>
      <w:r>
        <w:rPr>
          <w:rFonts w:ascii="Calibri" w:eastAsia="Calibri"/>
          <w:spacing w:val="-3"/>
          <w:w w:val="100"/>
          <w:position w:val="2"/>
          <w:sz w:val="21"/>
        </w:rPr>
        <w:t>-</w:t>
      </w:r>
      <w:r>
        <w:rPr>
          <w:rFonts w:ascii="Calibri" w:eastAsia="Calibri"/>
          <w:w w:val="100"/>
          <w:position w:val="2"/>
          <w:sz w:val="21"/>
        </w:rPr>
        <w:t>N</w:t>
      </w:r>
      <w:r>
        <w:rPr>
          <w:spacing w:val="-106"/>
          <w:w w:val="100"/>
          <w:position w:val="2"/>
          <w:sz w:val="21"/>
        </w:rPr>
        <w:t>）</w:t>
      </w:r>
      <w:r>
        <w:rPr>
          <w:spacing w:val="-3"/>
          <w:w w:val="100"/>
          <w:position w:val="2"/>
          <w:sz w:val="21"/>
        </w:rPr>
        <w:t>、总磷</w:t>
      </w:r>
      <w:r>
        <w:rPr>
          <w:w w:val="100"/>
          <w:position w:val="2"/>
          <w:sz w:val="21"/>
        </w:rPr>
        <w:t>（</w:t>
      </w:r>
      <w:r>
        <w:rPr>
          <w:rFonts w:ascii="Calibri" w:eastAsia="Calibri"/>
          <w:w w:val="100"/>
          <w:position w:val="2"/>
          <w:sz w:val="21"/>
        </w:rPr>
        <w:t>T</w:t>
      </w:r>
      <w:r>
        <w:rPr>
          <w:rFonts w:ascii="Calibri" w:eastAsia="Calibri"/>
          <w:spacing w:val="-2"/>
          <w:w w:val="100"/>
          <w:position w:val="2"/>
          <w:sz w:val="21"/>
        </w:rPr>
        <w:t>P</w:t>
      </w:r>
      <w:r>
        <w:rPr>
          <w:spacing w:val="-108"/>
          <w:w w:val="100"/>
          <w:position w:val="2"/>
          <w:sz w:val="21"/>
        </w:rPr>
        <w:t>）</w:t>
      </w:r>
      <w:r>
        <w:rPr>
          <w:w w:val="100"/>
          <w:position w:val="2"/>
          <w:sz w:val="21"/>
        </w:rPr>
        <w:t>、</w:t>
      </w:r>
      <w:r>
        <w:rPr>
          <w:rFonts w:ascii="Calibri" w:eastAsia="Calibri"/>
          <w:spacing w:val="-1"/>
          <w:w w:val="100"/>
          <w:position w:val="2"/>
          <w:sz w:val="21"/>
        </w:rPr>
        <w:t>p</w:t>
      </w:r>
      <w:r>
        <w:rPr>
          <w:rFonts w:ascii="Calibri" w:eastAsia="Calibri"/>
          <w:spacing w:val="-2"/>
          <w:w w:val="100"/>
          <w:position w:val="2"/>
          <w:sz w:val="21"/>
        </w:rPr>
        <w:t>H</w:t>
      </w:r>
      <w:r>
        <w:rPr>
          <w:w w:val="100"/>
          <w:position w:val="2"/>
          <w:sz w:val="21"/>
        </w:rPr>
        <w:t>。</w:t>
      </w:r>
    </w:p>
    <w:p>
      <w:pPr>
        <w:pStyle w:val="ListParagraph"/>
        <w:numPr>
          <w:ilvl w:val="2"/>
          <w:numId w:val="25"/>
        </w:numPr>
        <w:tabs>
          <w:tab w:val="left" w:pos="1472"/>
        </w:tabs>
        <w:spacing w:before="0" w:after="0" w:line="269" w:lineRule="exact"/>
        <w:ind w:left="1471" w:right="0" w:hanging="580"/>
        <w:jc w:val="both"/>
        <w:rPr>
          <w:sz w:val="21"/>
        </w:rPr>
      </w:pPr>
      <w:r>
        <w:rPr>
          <w:spacing w:val="-3"/>
          <w:sz w:val="21"/>
        </w:rPr>
        <w:t>在线监测系统的仪表维护保养应符合下列要求：</w:t>
      </w:r>
    </w:p>
    <w:p>
      <w:pPr>
        <w:pStyle w:val="ListParagraph"/>
        <w:numPr>
          <w:ilvl w:val="3"/>
          <w:numId w:val="25"/>
        </w:numPr>
        <w:tabs>
          <w:tab w:val="left" w:pos="1734"/>
        </w:tabs>
        <w:spacing w:before="42" w:after="0" w:line="240" w:lineRule="auto"/>
        <w:ind w:left="1733" w:right="0" w:hanging="421"/>
        <w:jc w:val="both"/>
        <w:rPr>
          <w:rFonts w:ascii="Times New Roman" w:eastAsia="Times New Roman"/>
          <w:sz w:val="21"/>
        </w:rPr>
      </w:pPr>
      <w:r>
        <w:rPr>
          <w:spacing w:val="-3"/>
          <w:sz w:val="21"/>
        </w:rPr>
        <w:t>每天巡视、检查</w:t>
      </w:r>
      <w:r>
        <w:rPr>
          <w:rFonts w:ascii="Times New Roman" w:eastAsia="Times New Roman"/>
          <w:sz w:val="21"/>
        </w:rPr>
        <w:t>1</w:t>
      </w:r>
      <w:r>
        <w:rPr>
          <w:spacing w:val="-3"/>
          <w:sz w:val="21"/>
        </w:rPr>
        <w:t>次在线仪表运行状态，如发现数据持续异常，应立即检查处理；</w:t>
      </w:r>
    </w:p>
    <w:p>
      <w:pPr>
        <w:pStyle w:val="ListParagraph"/>
        <w:numPr>
          <w:ilvl w:val="3"/>
          <w:numId w:val="25"/>
        </w:numPr>
        <w:tabs>
          <w:tab w:val="left" w:pos="1734"/>
        </w:tabs>
        <w:spacing w:before="43" w:after="0" w:line="240" w:lineRule="auto"/>
        <w:ind w:left="1733" w:right="0" w:hanging="421"/>
        <w:jc w:val="both"/>
        <w:rPr>
          <w:rFonts w:ascii="Times New Roman" w:eastAsia="Times New Roman"/>
          <w:sz w:val="21"/>
        </w:rPr>
      </w:pPr>
      <w:r>
        <w:rPr>
          <w:spacing w:val="-1"/>
          <w:sz w:val="21"/>
        </w:rPr>
        <w:t>每天检查</w:t>
      </w:r>
      <w:r>
        <w:rPr>
          <w:rFonts w:ascii="Times New Roman" w:eastAsia="Times New Roman"/>
          <w:spacing w:val="-3"/>
          <w:sz w:val="21"/>
        </w:rPr>
        <w:t>1</w:t>
      </w:r>
      <w:r>
        <w:rPr>
          <w:spacing w:val="-3"/>
          <w:sz w:val="21"/>
        </w:rPr>
        <w:t>次数据传输系统是否正常，如发现数据不能上传省平台，应立即进行检查处理；</w:t>
      </w:r>
    </w:p>
    <w:p>
      <w:pPr>
        <w:pStyle w:val="ListParagraph"/>
        <w:numPr>
          <w:ilvl w:val="3"/>
          <w:numId w:val="25"/>
        </w:numPr>
        <w:tabs>
          <w:tab w:val="left" w:pos="1734"/>
        </w:tabs>
        <w:spacing w:before="43" w:after="0" w:line="278" w:lineRule="auto"/>
        <w:ind w:left="1733" w:right="1151" w:hanging="420"/>
        <w:jc w:val="both"/>
        <w:rPr>
          <w:rFonts w:ascii="Times New Roman" w:eastAsia="Times New Roman"/>
          <w:sz w:val="21"/>
        </w:rPr>
      </w:pPr>
      <w:r>
        <w:rPr>
          <w:spacing w:val="-3"/>
          <w:sz w:val="21"/>
        </w:rPr>
        <w:t>拟定在线仪表配套的药剂、试剂及易耗品、备品备件清单，每周至少检查</w:t>
      </w:r>
      <w:r>
        <w:rPr>
          <w:rFonts w:ascii="Times New Roman" w:eastAsia="Times New Roman"/>
          <w:spacing w:val="-3"/>
          <w:sz w:val="21"/>
        </w:rPr>
        <w:t>1</w:t>
      </w:r>
      <w:r>
        <w:rPr>
          <w:spacing w:val="-3"/>
          <w:sz w:val="21"/>
        </w:rPr>
        <w:t>次在线仪表配套的药剂余量，及时补充；</w:t>
      </w:r>
    </w:p>
    <w:p>
      <w:pPr>
        <w:pStyle w:val="ListParagraph"/>
        <w:numPr>
          <w:ilvl w:val="3"/>
          <w:numId w:val="25"/>
        </w:numPr>
        <w:tabs>
          <w:tab w:val="left" w:pos="1734"/>
        </w:tabs>
        <w:spacing w:before="0" w:after="0" w:line="269" w:lineRule="exact"/>
        <w:ind w:left="1733" w:right="0" w:hanging="421"/>
        <w:jc w:val="both"/>
        <w:rPr>
          <w:rFonts w:ascii="Times New Roman" w:eastAsia="Times New Roman"/>
          <w:sz w:val="21"/>
        </w:rPr>
      </w:pPr>
      <w:r>
        <w:rPr>
          <w:spacing w:val="-3"/>
          <w:sz w:val="21"/>
        </w:rPr>
        <w:t>根据产品说明的要求，定期清洗在线仪表配套的取样泵、过滤网、电极探头、传感器等；</w:t>
      </w:r>
    </w:p>
    <w:p>
      <w:pPr>
        <w:pStyle w:val="ListParagraph"/>
        <w:numPr>
          <w:ilvl w:val="3"/>
          <w:numId w:val="25"/>
        </w:numPr>
        <w:tabs>
          <w:tab w:val="left" w:pos="1734"/>
        </w:tabs>
        <w:spacing w:before="43" w:after="0" w:line="278" w:lineRule="auto"/>
        <w:ind w:left="1733" w:right="1152" w:hanging="420"/>
        <w:jc w:val="both"/>
        <w:rPr>
          <w:rFonts w:ascii="Times New Roman" w:eastAsia="Times New Roman"/>
          <w:sz w:val="21"/>
        </w:rPr>
      </w:pPr>
      <w:r>
        <w:rPr>
          <w:spacing w:val="-3"/>
          <w:sz w:val="21"/>
        </w:rPr>
        <w:t>所有配备的在线监测仪表应每半年进行</w:t>
      </w:r>
      <w:r>
        <w:rPr>
          <w:rFonts w:ascii="Times New Roman" w:eastAsia="Times New Roman"/>
          <w:sz w:val="21"/>
        </w:rPr>
        <w:t>1</w:t>
      </w:r>
      <w:r>
        <w:rPr>
          <w:spacing w:val="-3"/>
          <w:sz w:val="21"/>
        </w:rPr>
        <w:t>次仪器标定；运维单位应每月对在线监测仪表进行比对校正；</w:t>
      </w:r>
    </w:p>
    <w:p>
      <w:pPr>
        <w:pStyle w:val="ListParagraph"/>
        <w:numPr>
          <w:ilvl w:val="3"/>
          <w:numId w:val="25"/>
        </w:numPr>
        <w:tabs>
          <w:tab w:val="left" w:pos="1734"/>
        </w:tabs>
        <w:spacing w:before="0" w:after="0" w:line="240" w:lineRule="auto"/>
        <w:ind w:left="1733" w:right="0" w:hanging="421"/>
        <w:jc w:val="both"/>
        <w:rPr>
          <w:rFonts w:ascii="Times New Roman" w:eastAsia="Times New Roman"/>
          <w:sz w:val="21"/>
        </w:rPr>
      </w:pPr>
      <w:r>
        <w:rPr>
          <w:spacing w:val="-3"/>
          <w:sz w:val="21"/>
        </w:rPr>
        <w:t>做好在线监测仪表的巡检、维护保养、维修记录；</w:t>
      </w:r>
    </w:p>
    <w:p>
      <w:pPr>
        <w:pStyle w:val="ListParagraph"/>
        <w:numPr>
          <w:ilvl w:val="3"/>
          <w:numId w:val="25"/>
        </w:numPr>
        <w:tabs>
          <w:tab w:val="left" w:pos="1734"/>
        </w:tabs>
        <w:spacing w:before="43" w:after="0" w:line="278" w:lineRule="auto"/>
        <w:ind w:left="1733" w:right="1152" w:hanging="420"/>
        <w:jc w:val="both"/>
        <w:rPr>
          <w:rFonts w:ascii="Times New Roman" w:eastAsia="Times New Roman"/>
          <w:sz w:val="21"/>
        </w:rPr>
      </w:pPr>
      <w:r>
        <w:rPr>
          <w:spacing w:val="-8"/>
          <w:sz w:val="21"/>
        </w:rPr>
        <w:t>在线监测仪表因故障需要停用或更换时，应在停止使用前向行政主管部门报批，有条件的情况</w:t>
      </w:r>
      <w:r>
        <w:rPr>
          <w:spacing w:val="-5"/>
          <w:sz w:val="21"/>
        </w:rPr>
        <w:t>下使用备用机，并在省信息平台上报备。</w:t>
      </w:r>
    </w:p>
    <w:p>
      <w:pPr>
        <w:pStyle w:val="ListParagraph"/>
        <w:numPr>
          <w:ilvl w:val="2"/>
          <w:numId w:val="25"/>
        </w:numPr>
        <w:tabs>
          <w:tab w:val="left" w:pos="1472"/>
        </w:tabs>
        <w:spacing w:before="0" w:after="0" w:line="278" w:lineRule="auto"/>
        <w:ind w:left="892" w:right="1154" w:firstLine="0"/>
        <w:jc w:val="left"/>
        <w:rPr>
          <w:sz w:val="21"/>
        </w:rPr>
      </w:pPr>
      <w:r>
        <w:rPr>
          <w:spacing w:val="-5"/>
          <w:sz w:val="21"/>
        </w:rPr>
        <w:t>污水处理厂的进水在线监测设备取样口或监测探头应设置在进水提升泵房之后、沉砂池之前，出</w:t>
      </w:r>
      <w:r>
        <w:rPr>
          <w:spacing w:val="-4"/>
          <w:sz w:val="21"/>
        </w:rPr>
        <w:t>水在线监测设备取样口或监测探头应设置在总排口巴氏计量槽处。</w:t>
      </w:r>
    </w:p>
    <w:p>
      <w:pPr>
        <w:pStyle w:val="ListParagraph"/>
        <w:numPr>
          <w:ilvl w:val="2"/>
          <w:numId w:val="25"/>
        </w:numPr>
        <w:tabs>
          <w:tab w:val="left" w:pos="1472"/>
        </w:tabs>
        <w:spacing w:before="0" w:after="0" w:line="269" w:lineRule="exact"/>
        <w:ind w:left="1471" w:right="0" w:hanging="580"/>
        <w:jc w:val="left"/>
        <w:rPr>
          <w:sz w:val="21"/>
        </w:rPr>
      </w:pPr>
      <w:r>
        <w:rPr>
          <w:spacing w:val="-6"/>
          <w:sz w:val="21"/>
        </w:rPr>
        <w:t>污水处理厂的配电间门口宜安装防鼠挡板，挡鼠板的高度和结构应能保证老鼠无法进入配电间内。</w:t>
      </w:r>
    </w:p>
    <w:p>
      <w:pPr>
        <w:pStyle w:val="BodyText"/>
        <w:rPr>
          <w:sz w:val="20"/>
        </w:rPr>
      </w:pPr>
    </w:p>
    <w:p>
      <w:pPr>
        <w:pStyle w:val="BodyText"/>
        <w:spacing w:before="11"/>
        <w:rPr>
          <w:sz w:val="15"/>
        </w:rPr>
      </w:pPr>
    </w:p>
    <w:p>
      <w:pPr>
        <w:spacing w:before="0"/>
        <w:ind w:left="1090" w:right="0" w:firstLine="0"/>
        <w:jc w:val="left"/>
        <w:rPr>
          <w:sz w:val="18"/>
        </w:rPr>
      </w:pPr>
      <w:r>
        <w:rPr>
          <w:sz w:val="18"/>
        </w:rPr>
        <w:t xml:space="preserve">8 </w:t>
      </w:r>
    </w:p>
    <w:p>
      <w:pPr>
        <w:spacing w:after="0"/>
        <w:jc w:val="left"/>
        <w:rPr>
          <w:sz w:val="18"/>
        </w:rPr>
        <w:sectPr>
          <w:headerReference w:type="even" r:id="rId34"/>
          <w:headerReference w:type="default" r:id="rId35"/>
          <w:pgSz w:w="11910" w:h="16840"/>
          <w:pgMar w:top="1640" w:right="260" w:bottom="280" w:left="240" w:header="1448" w:footer="0"/>
          <w:pgNumType w:start="15"/>
          <w:cols w:space="708"/>
        </w:sectPr>
      </w:pPr>
    </w:p>
    <w:p>
      <w:pPr>
        <w:pStyle w:val="BodyText"/>
        <w:spacing w:before="1"/>
        <w:rPr>
          <w:sz w:val="17"/>
        </w:rPr>
      </w:pPr>
    </w:p>
    <w:p>
      <w:pPr>
        <w:pStyle w:val="ListParagraph"/>
        <w:numPr>
          <w:ilvl w:val="1"/>
          <w:numId w:val="25"/>
        </w:numPr>
        <w:tabs>
          <w:tab w:val="left" w:pos="1602"/>
        </w:tabs>
        <w:spacing w:before="72" w:after="0" w:line="240" w:lineRule="auto"/>
        <w:ind w:left="1601" w:right="0" w:hanging="424"/>
        <w:jc w:val="left"/>
        <w:rPr>
          <w:rFonts w:ascii="黑体" w:eastAsia="黑体" w:hint="eastAsia"/>
          <w:sz w:val="21"/>
        </w:rPr>
      </w:pPr>
      <w:r>
        <w:rPr>
          <w:rFonts w:ascii="黑体" w:eastAsia="黑体" w:hint="eastAsia"/>
          <w:spacing w:val="-3"/>
          <w:sz w:val="21"/>
        </w:rPr>
        <w:t>污泥处理与处置系统</w:t>
      </w:r>
    </w:p>
    <w:p>
      <w:pPr>
        <w:pStyle w:val="BodyText"/>
        <w:spacing w:before="7"/>
        <w:rPr>
          <w:rFonts w:ascii="黑体"/>
          <w:sz w:val="15"/>
        </w:rPr>
      </w:pPr>
    </w:p>
    <w:p>
      <w:pPr>
        <w:pStyle w:val="ListParagraph"/>
        <w:numPr>
          <w:ilvl w:val="2"/>
          <w:numId w:val="25"/>
        </w:numPr>
        <w:tabs>
          <w:tab w:val="left" w:pos="1758"/>
        </w:tabs>
        <w:spacing w:before="0" w:after="0" w:line="240" w:lineRule="auto"/>
        <w:ind w:left="1757" w:right="0" w:hanging="580"/>
        <w:jc w:val="left"/>
        <w:rPr>
          <w:sz w:val="21"/>
        </w:rPr>
      </w:pPr>
      <w:r>
        <w:rPr>
          <w:spacing w:val="-3"/>
          <w:sz w:val="21"/>
        </w:rPr>
        <w:t>污泥应及时处理和清运，暂存设施应符合环保要求。</w:t>
      </w:r>
    </w:p>
    <w:p>
      <w:pPr>
        <w:pStyle w:val="ListParagraph"/>
        <w:numPr>
          <w:ilvl w:val="2"/>
          <w:numId w:val="25"/>
        </w:numPr>
        <w:tabs>
          <w:tab w:val="left" w:pos="1758"/>
        </w:tabs>
        <w:spacing w:before="43" w:after="0" w:line="278" w:lineRule="auto"/>
        <w:ind w:left="1178" w:right="657" w:firstLine="0"/>
        <w:jc w:val="left"/>
        <w:rPr>
          <w:sz w:val="21"/>
        </w:rPr>
      </w:pPr>
      <w:r>
        <w:rPr>
          <w:spacing w:val="-5"/>
          <w:sz w:val="21"/>
        </w:rPr>
        <w:t xml:space="preserve">污水处理厂产生的剩余污泥宜因地制宜确定处理处置方式。在单个污水处理厂泥量较小的情况下， </w:t>
      </w:r>
      <w:r>
        <w:rPr>
          <w:spacing w:val="-4"/>
          <w:sz w:val="21"/>
        </w:rPr>
        <w:t>可考虑将不同乡镇剩余污泥统一处理，或集中送至城市或县城污水处理厂处理。</w:t>
      </w:r>
    </w:p>
    <w:p>
      <w:pPr>
        <w:pStyle w:val="ListParagraph"/>
        <w:numPr>
          <w:ilvl w:val="2"/>
          <w:numId w:val="25"/>
        </w:numPr>
        <w:tabs>
          <w:tab w:val="left" w:pos="1758"/>
        </w:tabs>
        <w:spacing w:before="0" w:after="0" w:line="269" w:lineRule="exact"/>
        <w:ind w:left="1757" w:right="0" w:hanging="580"/>
        <w:jc w:val="left"/>
        <w:rPr>
          <w:sz w:val="21"/>
        </w:rPr>
      </w:pPr>
      <w:r>
        <w:rPr>
          <w:spacing w:val="-3"/>
          <w:sz w:val="21"/>
        </w:rPr>
        <w:t>污水处理厂站宜设置污泥储存设施，储泥池内应设置泥位计或刻度尺，便于定期清运和处理。</w:t>
      </w:r>
    </w:p>
    <w:p>
      <w:pPr>
        <w:pStyle w:val="ListParagraph"/>
        <w:numPr>
          <w:ilvl w:val="2"/>
          <w:numId w:val="25"/>
        </w:numPr>
        <w:tabs>
          <w:tab w:val="left" w:pos="1758"/>
        </w:tabs>
        <w:spacing w:before="43" w:after="0" w:line="278" w:lineRule="auto"/>
        <w:ind w:left="1178" w:right="869" w:firstLine="0"/>
        <w:jc w:val="left"/>
        <w:rPr>
          <w:sz w:val="21"/>
        </w:rPr>
      </w:pPr>
      <w:r>
        <w:rPr>
          <w:spacing w:val="-6"/>
          <w:sz w:val="21"/>
        </w:rPr>
        <w:t>采用污泥机械脱水处理时，可将多个污水处理厂的污泥进行集中脱水处理，也可设置移动脱水机</w:t>
      </w:r>
      <w:r>
        <w:rPr>
          <w:spacing w:val="-4"/>
          <w:sz w:val="21"/>
        </w:rPr>
        <w:t>巡回脱水。</w:t>
      </w:r>
    </w:p>
    <w:p>
      <w:pPr>
        <w:pStyle w:val="ListParagraph"/>
        <w:numPr>
          <w:ilvl w:val="2"/>
          <w:numId w:val="25"/>
        </w:numPr>
        <w:tabs>
          <w:tab w:val="left" w:pos="1758"/>
        </w:tabs>
        <w:spacing w:before="0" w:after="0" w:line="269" w:lineRule="exact"/>
        <w:ind w:left="1757" w:right="0" w:hanging="580"/>
        <w:jc w:val="left"/>
        <w:rPr>
          <w:sz w:val="21"/>
        </w:rPr>
      </w:pPr>
      <w:r>
        <w:rPr>
          <w:spacing w:val="-3"/>
          <w:sz w:val="21"/>
        </w:rPr>
        <w:t>污泥机械浓缩与脱水应符合下列规定：</w:t>
      </w:r>
    </w:p>
    <w:p>
      <w:pPr>
        <w:pStyle w:val="ListParagraph"/>
        <w:numPr>
          <w:ilvl w:val="3"/>
          <w:numId w:val="25"/>
        </w:numPr>
        <w:tabs>
          <w:tab w:val="left" w:pos="2019"/>
        </w:tabs>
        <w:spacing w:before="43" w:after="0" w:line="278" w:lineRule="auto"/>
        <w:ind w:left="2018" w:right="866" w:hanging="420"/>
        <w:jc w:val="both"/>
        <w:rPr>
          <w:rFonts w:ascii="Times New Roman" w:eastAsia="Times New Roman"/>
          <w:sz w:val="21"/>
        </w:rPr>
      </w:pPr>
      <w:r>
        <w:rPr>
          <w:spacing w:val="-8"/>
          <w:sz w:val="21"/>
        </w:rPr>
        <w:t>污泥调理药剂的种类及投加比例，应根据污泥性质及生产试验确定。当泥性发生变化时，应及</w:t>
      </w:r>
      <w:r>
        <w:rPr>
          <w:spacing w:val="-6"/>
          <w:sz w:val="21"/>
        </w:rPr>
        <w:t>时调整；</w:t>
      </w:r>
    </w:p>
    <w:p>
      <w:pPr>
        <w:pStyle w:val="ListParagraph"/>
        <w:numPr>
          <w:ilvl w:val="3"/>
          <w:numId w:val="25"/>
        </w:numPr>
        <w:tabs>
          <w:tab w:val="left" w:pos="2019"/>
        </w:tabs>
        <w:spacing w:before="0" w:after="0" w:line="278" w:lineRule="auto"/>
        <w:ind w:left="2018" w:right="866" w:hanging="420"/>
        <w:jc w:val="both"/>
        <w:rPr>
          <w:rFonts w:ascii="Times New Roman" w:eastAsia="Times New Roman"/>
          <w:sz w:val="21"/>
        </w:rPr>
      </w:pPr>
      <w:r>
        <w:rPr>
          <w:spacing w:val="-7"/>
          <w:sz w:val="21"/>
        </w:rPr>
        <w:t>处理过程中应控制药剂消耗量并保持加药装置运行精准。固体药剂应提前配制，放置时间应根</w:t>
      </w:r>
      <w:r>
        <w:rPr>
          <w:spacing w:val="-11"/>
          <w:sz w:val="21"/>
        </w:rPr>
        <w:t>据药剂使用要求确定。超过规定放置时间再次使用，应重新检测药剂的活性，合格方可再次使用；</w:t>
      </w:r>
    </w:p>
    <w:p>
      <w:pPr>
        <w:pStyle w:val="ListParagraph"/>
        <w:numPr>
          <w:ilvl w:val="3"/>
          <w:numId w:val="25"/>
        </w:numPr>
        <w:tabs>
          <w:tab w:val="left" w:pos="2019"/>
        </w:tabs>
        <w:spacing w:before="0" w:after="0" w:line="278" w:lineRule="auto"/>
        <w:ind w:left="2018" w:right="866" w:hanging="420"/>
        <w:jc w:val="both"/>
        <w:rPr>
          <w:rFonts w:ascii="Times New Roman" w:eastAsia="Times New Roman"/>
          <w:sz w:val="21"/>
        </w:rPr>
      </w:pPr>
      <w:r>
        <w:rPr>
          <w:spacing w:val="-3"/>
          <w:sz w:val="21"/>
        </w:rPr>
        <w:t>脱水设备不宜长期停止，设备停机时间超过</w:t>
      </w:r>
      <w:r>
        <w:rPr>
          <w:rFonts w:ascii="Times New Roman" w:eastAsia="Times New Roman"/>
          <w:spacing w:val="-3"/>
          <w:sz w:val="21"/>
        </w:rPr>
        <w:t>1</w:t>
      </w:r>
      <w:r>
        <w:rPr>
          <w:spacing w:val="-3"/>
          <w:sz w:val="21"/>
        </w:rPr>
        <w:t>周时，应将设备、药剂池、管道排空，电控柜的电源开关关闭；</w:t>
      </w:r>
    </w:p>
    <w:p>
      <w:pPr>
        <w:pStyle w:val="ListParagraph"/>
        <w:numPr>
          <w:ilvl w:val="3"/>
          <w:numId w:val="25"/>
        </w:numPr>
        <w:tabs>
          <w:tab w:val="left" w:pos="2019"/>
        </w:tabs>
        <w:spacing w:before="0" w:after="0" w:line="278" w:lineRule="auto"/>
        <w:ind w:left="2018" w:right="867" w:hanging="420"/>
        <w:jc w:val="both"/>
        <w:rPr>
          <w:rFonts w:ascii="Times New Roman" w:eastAsia="Times New Roman"/>
          <w:sz w:val="21"/>
        </w:rPr>
      </w:pPr>
      <w:r>
        <w:rPr>
          <w:spacing w:val="-9"/>
          <w:sz w:val="21"/>
        </w:rPr>
        <w:t>在污泥机械浓缩过程中，污泥处理的浓缩、调理、脱水等装置应保持正常运行工况，确保出泥</w:t>
      </w:r>
      <w:r>
        <w:rPr>
          <w:spacing w:val="-5"/>
          <w:sz w:val="21"/>
        </w:rPr>
        <w:t>含水率和运行稳定，不得无故停机或超负荷运行；</w:t>
      </w:r>
    </w:p>
    <w:p>
      <w:pPr>
        <w:pStyle w:val="ListParagraph"/>
        <w:numPr>
          <w:ilvl w:val="3"/>
          <w:numId w:val="25"/>
        </w:numPr>
        <w:tabs>
          <w:tab w:val="left" w:pos="2019"/>
        </w:tabs>
        <w:spacing w:before="0" w:after="0" w:line="278" w:lineRule="auto"/>
        <w:ind w:left="2018" w:right="876" w:hanging="420"/>
        <w:jc w:val="both"/>
        <w:rPr>
          <w:rFonts w:ascii="Times New Roman" w:eastAsia="Times New Roman"/>
          <w:sz w:val="21"/>
        </w:rPr>
      </w:pPr>
      <w:r>
        <w:rPr>
          <w:spacing w:val="-1"/>
          <w:sz w:val="21"/>
        </w:rPr>
        <w:t>应定期检查脱水机进泥预处理系统对渣砂的去除效果，及时发现脱水机进泥中砂粒对机械脱</w:t>
      </w:r>
      <w:r>
        <w:rPr>
          <w:spacing w:val="-3"/>
          <w:sz w:val="21"/>
        </w:rPr>
        <w:t>水设备的影响，损坏严重时应及时更换；</w:t>
      </w:r>
    </w:p>
    <w:p>
      <w:pPr>
        <w:pStyle w:val="ListParagraph"/>
        <w:numPr>
          <w:ilvl w:val="3"/>
          <w:numId w:val="25"/>
        </w:numPr>
        <w:tabs>
          <w:tab w:val="left" w:pos="2019"/>
        </w:tabs>
        <w:spacing w:before="0" w:after="0" w:line="278" w:lineRule="auto"/>
        <w:ind w:left="2018" w:right="761" w:hanging="420"/>
        <w:jc w:val="both"/>
        <w:rPr>
          <w:rFonts w:ascii="Times New Roman" w:eastAsia="Times New Roman"/>
          <w:sz w:val="21"/>
        </w:rPr>
      </w:pPr>
      <w:r>
        <w:drawing>
          <wp:anchor distT="0" distB="0" distL="0" distR="0" simplePos="0" relativeHeight="251681792" behindDoc="0" locked="0" layoutInCell="1" allowOverlap="1">
            <wp:simplePos x="0" y="0"/>
            <wp:positionH relativeFrom="page">
              <wp:posOffset>215900</wp:posOffset>
            </wp:positionH>
            <wp:positionV relativeFrom="paragraph">
              <wp:posOffset>141859</wp:posOffset>
            </wp:positionV>
            <wp:extent cx="7112000" cy="4876800"/>
            <wp:effectExtent l="0" t="0" r="0" b="0"/>
            <wp:wrapNone/>
            <wp:docPr id="4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1.png"/>
                    <pic:cNvPicPr/>
                  </pic:nvPicPr>
                  <pic:blipFill>
                    <a:blip xmlns:r="http://schemas.openxmlformats.org/officeDocument/2006/relationships" r:embed="rId4" cstate="print"/>
                    <a:stretch>
                      <a:fillRect/>
                    </a:stretch>
                  </pic:blipFill>
                  <pic:spPr>
                    <a:xfrm>
                      <a:off x="0" y="0"/>
                      <a:ext cx="7112000" cy="4876800"/>
                    </a:xfrm>
                    <a:prstGeom prst="rect">
                      <a:avLst/>
                    </a:prstGeom>
                  </pic:spPr>
                </pic:pic>
              </a:graphicData>
            </a:graphic>
          </wp:anchor>
        </w:drawing>
      </w:r>
      <w:r>
        <w:rPr>
          <w:spacing w:val="-3"/>
          <w:sz w:val="21"/>
        </w:rPr>
        <w:t>定期对脱水机进行维护和保养，更换轴承、密封等易磨损的部件，定期对加药螺旋、加药泵、反冲洗泵等进行维护保养。</w:t>
      </w:r>
    </w:p>
    <w:p>
      <w:pPr>
        <w:pStyle w:val="ListParagraph"/>
        <w:numPr>
          <w:ilvl w:val="2"/>
          <w:numId w:val="25"/>
        </w:numPr>
        <w:tabs>
          <w:tab w:val="left" w:pos="1758"/>
        </w:tabs>
        <w:spacing w:before="0" w:after="0" w:line="269" w:lineRule="exact"/>
        <w:ind w:left="1757" w:right="0" w:hanging="580"/>
        <w:jc w:val="both"/>
        <w:rPr>
          <w:sz w:val="21"/>
        </w:rPr>
      </w:pPr>
      <w:r>
        <w:rPr>
          <w:spacing w:val="-3"/>
          <w:sz w:val="21"/>
        </w:rPr>
        <w:t>污泥干化脱水应符合下列规定：</w:t>
      </w:r>
    </w:p>
    <w:p>
      <w:pPr>
        <w:pStyle w:val="ListParagraph"/>
        <w:numPr>
          <w:ilvl w:val="3"/>
          <w:numId w:val="25"/>
        </w:numPr>
        <w:tabs>
          <w:tab w:val="left" w:pos="2019"/>
        </w:tabs>
        <w:spacing w:before="42" w:after="0" w:line="240" w:lineRule="auto"/>
        <w:ind w:left="2018" w:right="0" w:hanging="421"/>
        <w:jc w:val="both"/>
        <w:rPr>
          <w:rFonts w:ascii="Times New Roman" w:eastAsia="Times New Roman"/>
          <w:sz w:val="21"/>
        </w:rPr>
      </w:pPr>
      <w:r>
        <w:rPr>
          <w:spacing w:val="-3"/>
          <w:sz w:val="21"/>
        </w:rPr>
        <w:t>干化后污泥含水率应根据污泥最终处置方案中污泥处置方式确定；</w:t>
      </w:r>
    </w:p>
    <w:p>
      <w:pPr>
        <w:pStyle w:val="ListParagraph"/>
        <w:numPr>
          <w:ilvl w:val="3"/>
          <w:numId w:val="25"/>
        </w:numPr>
        <w:tabs>
          <w:tab w:val="left" w:pos="2019"/>
        </w:tabs>
        <w:spacing w:before="43" w:after="0" w:line="240" w:lineRule="auto"/>
        <w:ind w:left="2018" w:right="0" w:hanging="421"/>
        <w:jc w:val="both"/>
        <w:rPr>
          <w:rFonts w:ascii="Times New Roman" w:eastAsia="Times New Roman"/>
          <w:sz w:val="21"/>
        </w:rPr>
      </w:pPr>
      <w:r>
        <w:rPr>
          <w:spacing w:val="-13"/>
          <w:sz w:val="21"/>
        </w:rPr>
        <w:t>应保证干化脱水装置的正常运行工况，确保处理效果和运行稳定，不得无故停机或超负荷运行；</w:t>
      </w:r>
    </w:p>
    <w:p>
      <w:pPr>
        <w:pStyle w:val="ListParagraph"/>
        <w:numPr>
          <w:ilvl w:val="3"/>
          <w:numId w:val="25"/>
        </w:numPr>
        <w:tabs>
          <w:tab w:val="left" w:pos="2019"/>
        </w:tabs>
        <w:spacing w:before="43" w:after="0" w:line="278" w:lineRule="auto"/>
        <w:ind w:left="2018" w:right="866" w:hanging="420"/>
        <w:jc w:val="both"/>
        <w:rPr>
          <w:rFonts w:ascii="Times New Roman" w:eastAsia="Times New Roman"/>
          <w:sz w:val="21"/>
        </w:rPr>
      </w:pPr>
      <w:r>
        <w:rPr>
          <w:spacing w:val="-8"/>
          <w:sz w:val="21"/>
        </w:rPr>
        <w:t>应定期对设备及配套装置的处理效果、接头密封与磨损等情况进行详细地检查记录，及时更换</w:t>
      </w:r>
      <w:r>
        <w:rPr>
          <w:spacing w:val="-5"/>
          <w:sz w:val="21"/>
        </w:rPr>
        <w:t>磨损件、添加润滑油。</w:t>
      </w:r>
    </w:p>
    <w:p>
      <w:pPr>
        <w:pStyle w:val="ListParagraph"/>
        <w:numPr>
          <w:ilvl w:val="2"/>
          <w:numId w:val="25"/>
        </w:numPr>
        <w:tabs>
          <w:tab w:val="left" w:pos="1708"/>
        </w:tabs>
        <w:spacing w:before="0" w:after="0" w:line="269" w:lineRule="exact"/>
        <w:ind w:left="1707" w:right="0" w:hanging="530"/>
        <w:jc w:val="left"/>
        <w:rPr>
          <w:sz w:val="21"/>
        </w:rPr>
      </w:pPr>
      <w:r>
        <w:rPr>
          <w:spacing w:val="-3"/>
          <w:sz w:val="21"/>
        </w:rPr>
        <w:t>乡镇污水厂设有污泥干化场时，应采取防渗和收集处理渗沥液等措施。</w:t>
      </w:r>
    </w:p>
    <w:p>
      <w:pPr>
        <w:pStyle w:val="ListParagraph"/>
        <w:numPr>
          <w:ilvl w:val="2"/>
          <w:numId w:val="25"/>
        </w:numPr>
        <w:tabs>
          <w:tab w:val="left" w:pos="1758"/>
        </w:tabs>
        <w:spacing w:before="43" w:after="0" w:line="240" w:lineRule="auto"/>
        <w:ind w:left="1757" w:right="0" w:hanging="580"/>
        <w:jc w:val="left"/>
        <w:rPr>
          <w:sz w:val="21"/>
        </w:rPr>
      </w:pPr>
      <w:r>
        <w:rPr>
          <w:spacing w:val="-3"/>
          <w:sz w:val="21"/>
        </w:rPr>
        <w:t>乡镇污水处理厂设有干污泥堆场时，应符合下列规定：</w:t>
      </w:r>
    </w:p>
    <w:p>
      <w:pPr>
        <w:pStyle w:val="ListParagraph"/>
        <w:numPr>
          <w:ilvl w:val="3"/>
          <w:numId w:val="25"/>
        </w:numPr>
        <w:tabs>
          <w:tab w:val="left" w:pos="2018"/>
          <w:tab w:val="left" w:pos="2019"/>
        </w:tabs>
        <w:spacing w:before="43" w:after="0" w:line="278" w:lineRule="auto"/>
        <w:ind w:left="2018" w:right="867" w:hanging="420"/>
        <w:jc w:val="left"/>
        <w:rPr>
          <w:rFonts w:ascii="Times New Roman" w:eastAsia="Times New Roman"/>
          <w:sz w:val="21"/>
        </w:rPr>
      </w:pPr>
      <w:r>
        <w:rPr>
          <w:spacing w:val="-10"/>
          <w:sz w:val="21"/>
        </w:rPr>
        <w:t>采取适当的封闭、抑尘、通风及实时监控措施，堆场污泥应及时转运，以避免干污泥在堆放过</w:t>
      </w:r>
      <w:r>
        <w:rPr>
          <w:spacing w:val="-5"/>
          <w:sz w:val="21"/>
        </w:rPr>
        <w:t>程中因自燃而产生安全隐患；</w:t>
      </w:r>
    </w:p>
    <w:p>
      <w:pPr>
        <w:pStyle w:val="ListParagraph"/>
        <w:numPr>
          <w:ilvl w:val="3"/>
          <w:numId w:val="25"/>
        </w:numPr>
        <w:tabs>
          <w:tab w:val="left" w:pos="2018"/>
          <w:tab w:val="left" w:pos="2019"/>
        </w:tabs>
        <w:spacing w:before="0" w:after="0" w:line="269" w:lineRule="exact"/>
        <w:ind w:left="2018" w:right="0" w:hanging="421"/>
        <w:jc w:val="left"/>
        <w:rPr>
          <w:rFonts w:ascii="Times New Roman" w:eastAsia="Times New Roman"/>
          <w:sz w:val="21"/>
        </w:rPr>
      </w:pPr>
      <w:r>
        <w:rPr>
          <w:spacing w:val="-2"/>
          <w:sz w:val="21"/>
        </w:rPr>
        <w:t>采取防雨措施；</w:t>
      </w:r>
    </w:p>
    <w:p>
      <w:pPr>
        <w:pStyle w:val="ListParagraph"/>
        <w:numPr>
          <w:ilvl w:val="3"/>
          <w:numId w:val="25"/>
        </w:numPr>
        <w:tabs>
          <w:tab w:val="left" w:pos="2019"/>
        </w:tabs>
        <w:spacing w:before="43" w:after="0" w:line="240" w:lineRule="auto"/>
        <w:ind w:left="2018" w:right="0" w:hanging="421"/>
        <w:jc w:val="left"/>
        <w:rPr>
          <w:sz w:val="21"/>
        </w:rPr>
      </w:pPr>
      <w:r>
        <w:rPr>
          <w:spacing w:val="-3"/>
          <w:sz w:val="21"/>
        </w:rPr>
        <w:t>干污泥堆放及输送过程中应采取措施，减少异味对周边环境的影响。</w:t>
      </w:r>
      <w:r>
        <w:rPr>
          <w:sz w:val="21"/>
        </w:rPr>
        <w:t xml:space="preserve"> </w:t>
      </w:r>
    </w:p>
    <w:p>
      <w:pPr>
        <w:pStyle w:val="ListParagraph"/>
        <w:numPr>
          <w:ilvl w:val="2"/>
          <w:numId w:val="25"/>
        </w:numPr>
        <w:tabs>
          <w:tab w:val="left" w:pos="1708"/>
        </w:tabs>
        <w:spacing w:before="43" w:after="0" w:line="278" w:lineRule="auto"/>
        <w:ind w:left="1178" w:right="866" w:firstLine="0"/>
        <w:jc w:val="both"/>
        <w:rPr>
          <w:sz w:val="21"/>
        </w:rPr>
      </w:pPr>
      <w:r>
        <w:rPr>
          <w:spacing w:val="-3"/>
          <w:sz w:val="21"/>
        </w:rPr>
        <w:t>严格执行污泥处置转移联单制度，转移过程须严格执行一车一联单，禁止污泥运输单位、污泥处</w:t>
      </w:r>
      <w:r>
        <w:rPr>
          <w:spacing w:val="-8"/>
          <w:sz w:val="21"/>
        </w:rPr>
        <w:t>理处置单位接收无转移联单的污泥。从事污泥运输的单位应符合政府有关部门监管要求，加强运输过程</w:t>
      </w:r>
      <w:r>
        <w:rPr>
          <w:spacing w:val="-11"/>
          <w:sz w:val="21"/>
        </w:rPr>
        <w:t>中的监控和管理，严禁随意倾倒、偷排等违法行为；污泥运输时应采取密封措施，防止因暴露、洒落或</w:t>
      </w:r>
      <w:r>
        <w:rPr>
          <w:spacing w:val="-6"/>
          <w:sz w:val="21"/>
        </w:rPr>
        <w:t>滴漏造成对环境的二次污染。</w:t>
      </w:r>
      <w:r>
        <w:rPr>
          <w:sz w:val="21"/>
        </w:rPr>
        <w:t xml:space="preserve"> </w:t>
      </w:r>
    </w:p>
    <w:p>
      <w:pPr>
        <w:pStyle w:val="ListParagraph"/>
        <w:numPr>
          <w:ilvl w:val="2"/>
          <w:numId w:val="25"/>
        </w:numPr>
        <w:tabs>
          <w:tab w:val="left" w:pos="1863"/>
        </w:tabs>
        <w:spacing w:before="0" w:after="0" w:line="240" w:lineRule="auto"/>
        <w:ind w:left="1862" w:right="0" w:hanging="685"/>
        <w:jc w:val="both"/>
        <w:rPr>
          <w:sz w:val="21"/>
        </w:rPr>
      </w:pPr>
      <w:r>
        <w:rPr>
          <w:spacing w:val="-3"/>
          <w:sz w:val="21"/>
        </w:rPr>
        <w:t>应根据污泥泥质，结合当地实际情况，选取合理的污泥处置方式，鼓励污泥资源化利用。</w:t>
      </w:r>
    </w:p>
    <w:p>
      <w:pPr>
        <w:pStyle w:val="ListParagraph"/>
        <w:numPr>
          <w:ilvl w:val="2"/>
          <w:numId w:val="25"/>
        </w:numPr>
        <w:tabs>
          <w:tab w:val="left" w:pos="1863"/>
        </w:tabs>
        <w:spacing w:before="43" w:after="0" w:line="240" w:lineRule="auto"/>
        <w:ind w:left="1862" w:right="0" w:hanging="685"/>
        <w:jc w:val="both"/>
        <w:rPr>
          <w:sz w:val="21"/>
        </w:rPr>
      </w:pPr>
      <w:r>
        <w:rPr>
          <w:spacing w:val="-3"/>
          <w:sz w:val="21"/>
        </w:rPr>
        <w:t>污泥处置宜采用就近的原则，以节省运输费用及减少湿污泥运输中对沿途造成的污染。</w:t>
      </w:r>
    </w:p>
    <w:p>
      <w:pPr>
        <w:pStyle w:val="BodyText"/>
        <w:spacing w:before="7"/>
        <w:rPr>
          <w:sz w:val="15"/>
        </w:rPr>
      </w:pPr>
    </w:p>
    <w:p>
      <w:pPr>
        <w:pStyle w:val="ListParagraph"/>
        <w:numPr>
          <w:ilvl w:val="1"/>
          <w:numId w:val="25"/>
        </w:numPr>
        <w:tabs>
          <w:tab w:val="left" w:pos="1602"/>
        </w:tabs>
        <w:spacing w:before="0" w:after="0" w:line="240" w:lineRule="auto"/>
        <w:ind w:left="1601" w:right="0" w:hanging="424"/>
        <w:jc w:val="both"/>
        <w:rPr>
          <w:rFonts w:ascii="黑体" w:eastAsia="黑体" w:hint="eastAsia"/>
          <w:sz w:val="21"/>
        </w:rPr>
      </w:pPr>
      <w:r>
        <w:rPr>
          <w:rFonts w:ascii="黑体" w:eastAsia="黑体" w:hint="eastAsia"/>
          <w:spacing w:val="-3"/>
          <w:sz w:val="21"/>
        </w:rPr>
        <w:t>水质检验系统</w:t>
      </w:r>
    </w:p>
    <w:p>
      <w:pPr>
        <w:pStyle w:val="BodyText"/>
        <w:spacing w:before="6"/>
        <w:rPr>
          <w:rFonts w:ascii="黑体"/>
          <w:sz w:val="15"/>
        </w:rPr>
      </w:pPr>
    </w:p>
    <w:p>
      <w:pPr>
        <w:pStyle w:val="ListParagraph"/>
        <w:numPr>
          <w:ilvl w:val="2"/>
          <w:numId w:val="25"/>
        </w:numPr>
        <w:tabs>
          <w:tab w:val="left" w:pos="1758"/>
        </w:tabs>
        <w:spacing w:before="0" w:after="0" w:line="278" w:lineRule="auto"/>
        <w:ind w:left="1178" w:right="868" w:firstLine="0"/>
        <w:jc w:val="left"/>
        <w:rPr>
          <w:sz w:val="21"/>
        </w:rPr>
      </w:pPr>
      <w:r>
        <w:rPr>
          <w:spacing w:val="-5"/>
          <w:w w:val="100"/>
          <w:sz w:val="21"/>
        </w:rPr>
        <w:t>水质检测项目及分析频率确定应符合《城镇污水处理厂污染物排放标准</w:t>
      </w:r>
      <w:r>
        <w:rPr>
          <w:spacing w:val="-135"/>
          <w:w w:val="100"/>
          <w:sz w:val="21"/>
        </w:rPr>
        <w:t>》</w:t>
      </w:r>
      <w:r>
        <w:rPr>
          <w:spacing w:val="-2"/>
          <w:w w:val="100"/>
          <w:sz w:val="21"/>
        </w:rPr>
        <w:t>（</w:t>
      </w:r>
      <w:r>
        <w:rPr>
          <w:rFonts w:ascii="Calibri" w:eastAsia="Calibri"/>
          <w:spacing w:val="-2"/>
          <w:w w:val="100"/>
          <w:sz w:val="21"/>
        </w:rPr>
        <w:t>G</w:t>
      </w:r>
      <w:r>
        <w:rPr>
          <w:rFonts w:ascii="Calibri" w:eastAsia="Calibri"/>
          <w:w w:val="100"/>
          <w:sz w:val="21"/>
        </w:rPr>
        <w:t>B</w:t>
      </w:r>
      <w:r>
        <w:rPr>
          <w:rFonts w:ascii="Calibri" w:eastAsia="Calibri"/>
          <w:spacing w:val="-2"/>
          <w:w w:val="100"/>
          <w:sz w:val="21"/>
        </w:rPr>
        <w:t>18</w:t>
      </w:r>
      <w:r>
        <w:rPr>
          <w:rFonts w:ascii="Calibri" w:eastAsia="Calibri"/>
          <w:w w:val="100"/>
          <w:sz w:val="21"/>
        </w:rPr>
        <w:t>9</w:t>
      </w:r>
      <w:r>
        <w:rPr>
          <w:rFonts w:ascii="Calibri" w:eastAsia="Calibri"/>
          <w:spacing w:val="-2"/>
          <w:w w:val="100"/>
          <w:sz w:val="21"/>
        </w:rPr>
        <w:t>1</w:t>
      </w:r>
      <w:r>
        <w:rPr>
          <w:rFonts w:ascii="Calibri" w:eastAsia="Calibri"/>
          <w:spacing w:val="1"/>
          <w:w w:val="100"/>
          <w:sz w:val="21"/>
        </w:rPr>
        <w:t>8</w:t>
      </w:r>
      <w:r>
        <w:rPr>
          <w:spacing w:val="-106"/>
          <w:w w:val="100"/>
          <w:sz w:val="21"/>
        </w:rPr>
        <w:t>）</w:t>
      </w:r>
      <w:r>
        <w:rPr>
          <w:spacing w:val="-25"/>
          <w:w w:val="100"/>
          <w:sz w:val="21"/>
        </w:rPr>
        <w:t>、《城镇污水</w:t>
      </w:r>
      <w:r>
        <w:rPr>
          <w:spacing w:val="-15"/>
          <w:sz w:val="21"/>
        </w:rPr>
        <w:t>处理厂运行、维护及安全技术规程》</w:t>
      </w:r>
      <w:r>
        <w:rPr>
          <w:sz w:val="21"/>
        </w:rPr>
        <w:t>（</w:t>
      </w:r>
      <w:r>
        <w:rPr>
          <w:rFonts w:ascii="Calibri" w:eastAsia="Calibri"/>
          <w:sz w:val="21"/>
        </w:rPr>
        <w:t>CJJ</w:t>
      </w:r>
      <w:r>
        <w:rPr>
          <w:rFonts w:ascii="Calibri" w:eastAsia="Calibri"/>
          <w:spacing w:val="3"/>
          <w:sz w:val="21"/>
        </w:rPr>
        <w:t xml:space="preserve"> </w:t>
      </w:r>
      <w:r>
        <w:rPr>
          <w:rFonts w:ascii="Calibri" w:eastAsia="Calibri"/>
          <w:sz w:val="21"/>
        </w:rPr>
        <w:t>60</w:t>
      </w:r>
      <w:r>
        <w:rPr>
          <w:sz w:val="21"/>
        </w:rPr>
        <w:t>）</w:t>
      </w:r>
      <w:r>
        <w:rPr>
          <w:spacing w:val="-3"/>
          <w:sz w:val="21"/>
        </w:rPr>
        <w:t>的有关规定。根据厂内工艺运行需要安排日常化验。</w:t>
      </w:r>
    </w:p>
    <w:p>
      <w:pPr>
        <w:pStyle w:val="BodyText"/>
        <w:spacing w:before="6"/>
        <w:rPr>
          <w:sz w:val="14"/>
        </w:rPr>
      </w:pPr>
    </w:p>
    <w:p>
      <w:pPr>
        <w:spacing w:before="75"/>
        <w:ind w:left="0" w:right="1006" w:firstLine="0"/>
        <w:jc w:val="right"/>
        <w:rPr>
          <w:sz w:val="18"/>
        </w:rPr>
      </w:pPr>
      <w:r>
        <w:rPr>
          <w:sz w:val="18"/>
        </w:rPr>
        <w:t xml:space="preserve">9 </w:t>
      </w:r>
    </w:p>
    <w:p>
      <w:pPr>
        <w:spacing w:after="0"/>
        <w:jc w:val="right"/>
        <w:rPr>
          <w:sz w:val="18"/>
        </w:rPr>
        <w:sectPr>
          <w:headerReference w:type="even" r:id="rId36"/>
          <w:headerReference w:type="default" r:id="rId37"/>
          <w:pgSz w:w="11910" w:h="16840"/>
          <w:pgMar w:top="1640" w:right="260" w:bottom="280" w:left="240" w:header="1448" w:footer="0"/>
          <w:pgNumType w:start="16"/>
          <w:cols w:space="708"/>
        </w:sectPr>
      </w:pPr>
    </w:p>
    <w:p>
      <w:pPr>
        <w:pStyle w:val="BodyText"/>
        <w:spacing w:before="1"/>
        <w:rPr>
          <w:sz w:val="17"/>
        </w:rPr>
      </w:pPr>
    </w:p>
    <w:p>
      <w:pPr>
        <w:pStyle w:val="ListParagraph"/>
        <w:numPr>
          <w:ilvl w:val="2"/>
          <w:numId w:val="25"/>
        </w:numPr>
        <w:tabs>
          <w:tab w:val="left" w:pos="1472"/>
        </w:tabs>
        <w:spacing w:before="72" w:after="0" w:line="240" w:lineRule="auto"/>
        <w:ind w:left="1471" w:right="0" w:hanging="580"/>
        <w:jc w:val="left"/>
        <w:rPr>
          <w:sz w:val="21"/>
        </w:rPr>
      </w:pPr>
      <w:r>
        <w:rPr>
          <w:spacing w:val="-3"/>
          <w:sz w:val="21"/>
        </w:rPr>
        <w:t>污水处理厂的水质采样应满足下列要求：</w:t>
      </w:r>
    </w:p>
    <w:p>
      <w:pPr>
        <w:pStyle w:val="ListParagraph"/>
        <w:numPr>
          <w:ilvl w:val="3"/>
          <w:numId w:val="25"/>
        </w:numPr>
        <w:tabs>
          <w:tab w:val="left" w:pos="1733"/>
          <w:tab w:val="left" w:pos="1734"/>
        </w:tabs>
        <w:spacing w:before="43" w:after="0" w:line="240" w:lineRule="auto"/>
        <w:ind w:left="1733" w:right="0" w:hanging="421"/>
        <w:jc w:val="left"/>
        <w:rPr>
          <w:rFonts w:ascii="Times New Roman" w:eastAsia="Times New Roman"/>
          <w:sz w:val="21"/>
        </w:rPr>
      </w:pPr>
      <w:r>
        <w:rPr>
          <w:spacing w:val="-3"/>
          <w:sz w:val="21"/>
        </w:rPr>
        <w:t>污水处理厂的进水取样点宜设置在细格栅，出水取样点应设置在总排口巴氏槽出水端；</w:t>
      </w:r>
    </w:p>
    <w:p>
      <w:pPr>
        <w:pStyle w:val="ListParagraph"/>
        <w:numPr>
          <w:ilvl w:val="3"/>
          <w:numId w:val="25"/>
        </w:numPr>
        <w:tabs>
          <w:tab w:val="left" w:pos="1733"/>
          <w:tab w:val="left" w:pos="1734"/>
        </w:tabs>
        <w:spacing w:before="43" w:after="0" w:line="278" w:lineRule="auto"/>
        <w:ind w:left="1733" w:right="1152" w:hanging="420"/>
        <w:jc w:val="left"/>
        <w:rPr>
          <w:rFonts w:ascii="Times New Roman" w:eastAsia="Times New Roman"/>
          <w:sz w:val="21"/>
        </w:rPr>
      </w:pPr>
      <w:r>
        <w:rPr>
          <w:spacing w:val="-9"/>
          <w:sz w:val="21"/>
        </w:rPr>
        <w:t>水样应及时分析，需要存放的水样应按《水和废水检测分析方法》</w:t>
      </w:r>
      <w:r>
        <w:rPr>
          <w:sz w:val="21"/>
        </w:rPr>
        <w:t>（</w:t>
      </w:r>
      <w:r>
        <w:rPr>
          <w:spacing w:val="-3"/>
          <w:sz w:val="21"/>
        </w:rPr>
        <w:t>第四版</w:t>
      </w:r>
      <w:r>
        <w:rPr>
          <w:spacing w:val="-20"/>
          <w:sz w:val="21"/>
        </w:rPr>
        <w:t>）</w:t>
      </w:r>
      <w:r>
        <w:rPr>
          <w:spacing w:val="-4"/>
          <w:sz w:val="21"/>
        </w:rPr>
        <w:t>相应检测项目的</w:t>
      </w:r>
      <w:r>
        <w:rPr>
          <w:spacing w:val="-3"/>
          <w:sz w:val="21"/>
        </w:rPr>
        <w:t>保存方法进行保存；</w:t>
      </w:r>
    </w:p>
    <w:p>
      <w:pPr>
        <w:pStyle w:val="ListParagraph"/>
        <w:numPr>
          <w:ilvl w:val="3"/>
          <w:numId w:val="25"/>
        </w:numPr>
        <w:tabs>
          <w:tab w:val="left" w:pos="1733"/>
          <w:tab w:val="left" w:pos="1734"/>
        </w:tabs>
        <w:spacing w:before="0" w:after="0" w:line="269" w:lineRule="exact"/>
        <w:ind w:left="1733" w:right="0" w:hanging="421"/>
        <w:jc w:val="left"/>
        <w:rPr>
          <w:rFonts w:ascii="Times New Roman" w:eastAsia="Times New Roman"/>
          <w:sz w:val="21"/>
        </w:rPr>
      </w:pPr>
      <w:r>
        <w:rPr>
          <w:spacing w:val="-19"/>
          <w:sz w:val="21"/>
        </w:rPr>
        <w:t>日常分析所需的水样外，留样或其余水样必须作封存，以备分析出现问题时，重新操作时使用；</w:t>
      </w:r>
    </w:p>
    <w:p>
      <w:pPr>
        <w:pStyle w:val="ListParagraph"/>
        <w:numPr>
          <w:ilvl w:val="3"/>
          <w:numId w:val="25"/>
        </w:numPr>
        <w:tabs>
          <w:tab w:val="left" w:pos="1733"/>
          <w:tab w:val="left" w:pos="1734"/>
        </w:tabs>
        <w:spacing w:before="43" w:after="0" w:line="240" w:lineRule="auto"/>
        <w:ind w:left="1733" w:right="0" w:hanging="421"/>
        <w:jc w:val="left"/>
        <w:rPr>
          <w:rFonts w:ascii="Times New Roman" w:eastAsia="Times New Roman"/>
          <w:sz w:val="21"/>
        </w:rPr>
      </w:pPr>
      <w:r>
        <w:rPr>
          <w:spacing w:val="-3"/>
          <w:sz w:val="21"/>
        </w:rPr>
        <w:t>水质检测人员应经过培训并具备水质指标的检测能力方能上岗。</w:t>
      </w:r>
    </w:p>
    <w:p>
      <w:pPr>
        <w:pStyle w:val="ListParagraph"/>
        <w:numPr>
          <w:ilvl w:val="2"/>
          <w:numId w:val="25"/>
        </w:numPr>
        <w:tabs>
          <w:tab w:val="left" w:pos="1472"/>
        </w:tabs>
        <w:spacing w:before="43" w:after="0" w:line="278" w:lineRule="auto"/>
        <w:ind w:left="892" w:right="1152" w:firstLine="0"/>
        <w:jc w:val="both"/>
        <w:rPr>
          <w:sz w:val="21"/>
        </w:rPr>
      </w:pPr>
      <w:r>
        <w:rPr>
          <w:spacing w:val="-6"/>
          <w:sz w:val="21"/>
        </w:rPr>
        <w:t>检测仪器设备应定期检定校准，使用频繁的仪器，宜在两次检定校准期间进行期间核查。仪器设备应进行日常的维护管理，并建立相应的档案，包括检定</w:t>
      </w:r>
      <w:r>
        <w:rPr>
          <w:rFonts w:ascii="Calibri" w:eastAsia="Calibri"/>
          <w:sz w:val="21"/>
        </w:rPr>
        <w:t>/</w:t>
      </w:r>
      <w:r>
        <w:rPr>
          <w:spacing w:val="-4"/>
          <w:sz w:val="21"/>
        </w:rPr>
        <w:t>校准、期间核查、维护保养及使用记录等。</w:t>
      </w:r>
      <w:r>
        <w:rPr>
          <w:spacing w:val="-3"/>
          <w:sz w:val="21"/>
        </w:rPr>
        <w:t>仪器设备应由经过培训具备操作能力的化验人员进行操作。</w:t>
      </w:r>
    </w:p>
    <w:p>
      <w:pPr>
        <w:pStyle w:val="ListParagraph"/>
        <w:numPr>
          <w:ilvl w:val="2"/>
          <w:numId w:val="25"/>
        </w:numPr>
        <w:tabs>
          <w:tab w:val="left" w:pos="1472"/>
        </w:tabs>
        <w:spacing w:before="0" w:after="0" w:line="269" w:lineRule="exact"/>
        <w:ind w:left="1471" w:right="0" w:hanging="580"/>
        <w:jc w:val="both"/>
        <w:rPr>
          <w:sz w:val="21"/>
        </w:rPr>
      </w:pPr>
      <w:r>
        <w:rPr>
          <w:spacing w:val="-6"/>
          <w:sz w:val="21"/>
        </w:rPr>
        <w:t>污水处理厂水质检测应符合现行行业标准《城镇污水水质标准检验方法</w:t>
      </w:r>
      <w:r>
        <w:rPr>
          <w:spacing w:val="-149"/>
          <w:sz w:val="21"/>
        </w:rPr>
        <w:t>》</w:t>
      </w:r>
      <w:r>
        <w:rPr>
          <w:sz w:val="21"/>
        </w:rPr>
        <w:t>（</w:t>
      </w:r>
      <w:r>
        <w:rPr>
          <w:rFonts w:ascii="Calibri" w:eastAsia="Calibri"/>
          <w:sz w:val="21"/>
        </w:rPr>
        <w:t>CJ/T</w:t>
      </w:r>
      <w:r>
        <w:rPr>
          <w:rFonts w:ascii="Calibri" w:eastAsia="Calibri"/>
          <w:spacing w:val="-13"/>
          <w:sz w:val="21"/>
        </w:rPr>
        <w:t xml:space="preserve"> </w:t>
      </w:r>
      <w:r>
        <w:rPr>
          <w:rFonts w:ascii="Calibri" w:eastAsia="Calibri"/>
          <w:spacing w:val="-15"/>
          <w:sz w:val="21"/>
        </w:rPr>
        <w:t>51</w:t>
      </w:r>
      <w:r>
        <w:rPr>
          <w:spacing w:val="-15"/>
          <w:sz w:val="21"/>
        </w:rPr>
        <w:t>）</w:t>
      </w:r>
      <w:r>
        <w:rPr>
          <w:spacing w:val="-4"/>
          <w:sz w:val="21"/>
        </w:rPr>
        <w:t>的有关规定。</w:t>
      </w:r>
    </w:p>
    <w:p>
      <w:pPr>
        <w:pStyle w:val="ListParagraph"/>
        <w:numPr>
          <w:ilvl w:val="2"/>
          <w:numId w:val="25"/>
        </w:numPr>
        <w:tabs>
          <w:tab w:val="left" w:pos="1525"/>
        </w:tabs>
        <w:spacing w:before="43" w:after="0" w:line="278" w:lineRule="auto"/>
        <w:ind w:left="892" w:right="1046" w:firstLine="0"/>
        <w:jc w:val="both"/>
        <w:rPr>
          <w:sz w:val="21"/>
        </w:rPr>
      </w:pPr>
      <w:r>
        <w:rPr>
          <w:spacing w:val="-3"/>
          <w:sz w:val="21"/>
        </w:rPr>
        <w:t>污水处理厂宜根据自身需求采取空白实验、平行样分析、加标分析、比对分析、标准曲线核查、留样复测、盲样分析、能力验证等质量控制措施对自身检测过程的质量进行把控。</w:t>
      </w:r>
    </w:p>
    <w:p>
      <w:pPr>
        <w:pStyle w:val="ListParagraph"/>
        <w:numPr>
          <w:ilvl w:val="2"/>
          <w:numId w:val="25"/>
        </w:numPr>
        <w:tabs>
          <w:tab w:val="left" w:pos="1472"/>
        </w:tabs>
        <w:spacing w:before="0" w:after="0" w:line="240" w:lineRule="auto"/>
        <w:ind w:left="1471" w:right="0" w:hanging="580"/>
        <w:jc w:val="both"/>
        <w:rPr>
          <w:sz w:val="21"/>
        </w:rPr>
      </w:pPr>
      <w:r>
        <w:rPr>
          <w:spacing w:val="-3"/>
          <w:sz w:val="21"/>
        </w:rPr>
        <w:t>水质检测的环境安全应满足下列要求：</w:t>
      </w:r>
    </w:p>
    <w:p>
      <w:pPr>
        <w:pStyle w:val="ListParagraph"/>
        <w:numPr>
          <w:ilvl w:val="3"/>
          <w:numId w:val="25"/>
        </w:numPr>
        <w:tabs>
          <w:tab w:val="left" w:pos="1733"/>
          <w:tab w:val="left" w:pos="1734"/>
        </w:tabs>
        <w:spacing w:before="43" w:after="0" w:line="240" w:lineRule="auto"/>
        <w:ind w:left="1733" w:right="0" w:hanging="421"/>
        <w:jc w:val="left"/>
        <w:rPr>
          <w:rFonts w:ascii="Times New Roman" w:eastAsia="Times New Roman"/>
          <w:sz w:val="21"/>
        </w:rPr>
      </w:pPr>
      <w:r>
        <w:rPr>
          <w:spacing w:val="-3"/>
          <w:sz w:val="21"/>
        </w:rPr>
        <w:t>对温度、湿度有要求的区域，应保持温度、湿度调节系统正常运行并做好工作记录；</w:t>
      </w:r>
    </w:p>
    <w:p>
      <w:pPr>
        <w:pStyle w:val="ListParagraph"/>
        <w:numPr>
          <w:ilvl w:val="3"/>
          <w:numId w:val="25"/>
        </w:numPr>
        <w:tabs>
          <w:tab w:val="left" w:pos="1733"/>
          <w:tab w:val="left" w:pos="1734"/>
        </w:tabs>
        <w:spacing w:before="43" w:after="0" w:line="240" w:lineRule="auto"/>
        <w:ind w:left="1733" w:right="0" w:hanging="421"/>
        <w:jc w:val="left"/>
        <w:rPr>
          <w:rFonts w:ascii="Times New Roman" w:eastAsia="Times New Roman"/>
          <w:sz w:val="21"/>
        </w:rPr>
      </w:pPr>
      <w:r>
        <w:rPr>
          <w:spacing w:val="-3"/>
          <w:sz w:val="21"/>
        </w:rPr>
        <w:t>产生挥发性、有毒有害及腐蚀性气体的区域，应保持通风、排风设施完好并正常运行；</w:t>
      </w:r>
    </w:p>
    <w:p>
      <w:pPr>
        <w:pStyle w:val="ListParagraph"/>
        <w:numPr>
          <w:ilvl w:val="3"/>
          <w:numId w:val="25"/>
        </w:numPr>
        <w:tabs>
          <w:tab w:val="left" w:pos="1733"/>
          <w:tab w:val="left" w:pos="1734"/>
        </w:tabs>
        <w:spacing w:before="43" w:after="0" w:line="240" w:lineRule="auto"/>
        <w:ind w:left="1733" w:right="0" w:hanging="421"/>
        <w:jc w:val="left"/>
        <w:rPr>
          <w:rFonts w:ascii="Times New Roman" w:eastAsia="Times New Roman"/>
          <w:sz w:val="21"/>
        </w:rPr>
      </w:pPr>
      <w:r>
        <w:rPr>
          <w:spacing w:val="-3"/>
          <w:sz w:val="21"/>
        </w:rPr>
        <w:t>化验用房应配备安全防护装备，检测人员应根据所从事检测项目的要求做好人身防护；</w:t>
      </w:r>
    </w:p>
    <w:p>
      <w:pPr>
        <w:pStyle w:val="ListParagraph"/>
        <w:numPr>
          <w:ilvl w:val="3"/>
          <w:numId w:val="25"/>
        </w:numPr>
        <w:tabs>
          <w:tab w:val="left" w:pos="1733"/>
          <w:tab w:val="left" w:pos="1734"/>
        </w:tabs>
        <w:spacing w:before="43" w:after="0" w:line="240" w:lineRule="auto"/>
        <w:ind w:left="1733" w:right="0" w:hanging="421"/>
        <w:jc w:val="left"/>
        <w:rPr>
          <w:rFonts w:ascii="Times New Roman" w:eastAsia="Times New Roman"/>
          <w:sz w:val="21"/>
        </w:rPr>
      </w:pPr>
      <w:r>
        <w:rPr>
          <w:spacing w:val="-3"/>
          <w:sz w:val="21"/>
        </w:rPr>
        <w:t>化验用房应保持整齐洁净，与检测无关的物品不得带入。</w:t>
      </w:r>
    </w:p>
    <w:p>
      <w:pPr>
        <w:pStyle w:val="BodyText"/>
        <w:spacing w:before="6"/>
        <w:rPr>
          <w:sz w:val="15"/>
        </w:rPr>
      </w:pPr>
    </w:p>
    <w:p>
      <w:pPr>
        <w:pStyle w:val="ListParagraph"/>
        <w:numPr>
          <w:ilvl w:val="1"/>
          <w:numId w:val="25"/>
        </w:numPr>
        <w:tabs>
          <w:tab w:val="left" w:pos="1316"/>
        </w:tabs>
        <w:spacing w:before="1" w:after="0" w:line="240" w:lineRule="auto"/>
        <w:ind w:left="1315" w:right="0" w:hanging="424"/>
        <w:jc w:val="both"/>
        <w:rPr>
          <w:rFonts w:ascii="黑体" w:eastAsia="黑体" w:hint="eastAsia"/>
          <w:sz w:val="21"/>
        </w:rPr>
      </w:pPr>
      <w:r>
        <w:rPr>
          <w:rFonts w:ascii="黑体" w:eastAsia="黑体" w:hint="eastAsia"/>
          <w:spacing w:val="-3"/>
          <w:sz w:val="21"/>
        </w:rPr>
        <w:t>运营成本控制</w:t>
      </w:r>
    </w:p>
    <w:p>
      <w:pPr>
        <w:pStyle w:val="BodyText"/>
        <w:spacing w:before="6"/>
        <w:rPr>
          <w:rFonts w:ascii="黑体"/>
          <w:sz w:val="15"/>
        </w:rPr>
      </w:pPr>
    </w:p>
    <w:p>
      <w:pPr>
        <w:pStyle w:val="ListParagraph"/>
        <w:numPr>
          <w:ilvl w:val="2"/>
          <w:numId w:val="25"/>
        </w:numPr>
        <w:tabs>
          <w:tab w:val="left" w:pos="1472"/>
        </w:tabs>
        <w:spacing w:before="0" w:after="0" w:line="278" w:lineRule="auto"/>
        <w:ind w:left="892" w:right="1154" w:firstLine="0"/>
        <w:jc w:val="left"/>
        <w:rPr>
          <w:sz w:val="21"/>
        </w:rPr>
      </w:pPr>
      <w:r>
        <w:drawing>
          <wp:anchor distT="0" distB="0" distL="0" distR="0" simplePos="0" relativeHeight="251682816" behindDoc="0" locked="0" layoutInCell="1" allowOverlap="1">
            <wp:simplePos x="0" y="0"/>
            <wp:positionH relativeFrom="page">
              <wp:posOffset>215900</wp:posOffset>
            </wp:positionH>
            <wp:positionV relativeFrom="paragraph">
              <wp:posOffset>240919</wp:posOffset>
            </wp:positionV>
            <wp:extent cx="7112000" cy="4876800"/>
            <wp:effectExtent l="0" t="0" r="0" b="0"/>
            <wp:wrapNone/>
            <wp:docPr id="4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1.png"/>
                    <pic:cNvPicPr/>
                  </pic:nvPicPr>
                  <pic:blipFill>
                    <a:blip xmlns:r="http://schemas.openxmlformats.org/officeDocument/2006/relationships" r:embed="rId4" cstate="print"/>
                    <a:stretch>
                      <a:fillRect/>
                    </a:stretch>
                  </pic:blipFill>
                  <pic:spPr>
                    <a:xfrm>
                      <a:off x="0" y="0"/>
                      <a:ext cx="7112000" cy="4876800"/>
                    </a:xfrm>
                    <a:prstGeom prst="rect">
                      <a:avLst/>
                    </a:prstGeom>
                  </pic:spPr>
                </pic:pic>
              </a:graphicData>
            </a:graphic>
          </wp:anchor>
        </w:drawing>
      </w:r>
      <w:r>
        <w:rPr>
          <w:spacing w:val="-5"/>
          <w:sz w:val="21"/>
        </w:rPr>
        <w:t>乡镇生活污水处理厂应在确保污水处理工艺的正常运行和出水水质达标排放前提下，结合生产实</w:t>
      </w:r>
      <w:r>
        <w:rPr>
          <w:spacing w:val="-4"/>
          <w:sz w:val="21"/>
        </w:rPr>
        <w:t>际制定运营成本控制方案。</w:t>
      </w:r>
    </w:p>
    <w:p>
      <w:pPr>
        <w:pStyle w:val="ListParagraph"/>
        <w:numPr>
          <w:ilvl w:val="2"/>
          <w:numId w:val="25"/>
        </w:numPr>
        <w:tabs>
          <w:tab w:val="left" w:pos="1472"/>
        </w:tabs>
        <w:spacing w:before="0" w:after="0" w:line="269" w:lineRule="exact"/>
        <w:ind w:left="1471" w:right="0" w:hanging="580"/>
        <w:jc w:val="left"/>
        <w:rPr>
          <w:sz w:val="21"/>
        </w:rPr>
      </w:pPr>
      <w:r>
        <w:rPr>
          <w:spacing w:val="-3"/>
          <w:sz w:val="21"/>
        </w:rPr>
        <w:t>污水处理厂的成本控制措施宜从以下几个方面考虑：</w:t>
      </w:r>
    </w:p>
    <w:p>
      <w:pPr>
        <w:pStyle w:val="ListParagraph"/>
        <w:numPr>
          <w:ilvl w:val="3"/>
          <w:numId w:val="25"/>
        </w:numPr>
        <w:tabs>
          <w:tab w:val="left" w:pos="1733"/>
          <w:tab w:val="left" w:pos="1734"/>
        </w:tabs>
        <w:spacing w:before="43" w:after="0" w:line="240" w:lineRule="auto"/>
        <w:ind w:left="1733" w:right="0" w:hanging="421"/>
        <w:jc w:val="left"/>
        <w:rPr>
          <w:rFonts w:ascii="Times New Roman" w:eastAsia="Times New Roman"/>
          <w:sz w:val="21"/>
        </w:rPr>
      </w:pPr>
      <w:r>
        <w:rPr>
          <w:spacing w:val="-3"/>
          <w:sz w:val="21"/>
        </w:rPr>
        <w:t>优化工艺运行，降低运行能耗；</w:t>
      </w:r>
    </w:p>
    <w:p>
      <w:pPr>
        <w:pStyle w:val="ListParagraph"/>
        <w:numPr>
          <w:ilvl w:val="3"/>
          <w:numId w:val="25"/>
        </w:numPr>
        <w:tabs>
          <w:tab w:val="left" w:pos="1733"/>
          <w:tab w:val="left" w:pos="1734"/>
        </w:tabs>
        <w:spacing w:before="44" w:after="0" w:line="240" w:lineRule="auto"/>
        <w:ind w:left="1733" w:right="0" w:hanging="421"/>
        <w:jc w:val="left"/>
        <w:rPr>
          <w:rFonts w:ascii="Times New Roman" w:eastAsia="Times New Roman"/>
          <w:sz w:val="21"/>
        </w:rPr>
      </w:pPr>
      <w:r>
        <w:rPr>
          <w:spacing w:val="-3"/>
          <w:sz w:val="21"/>
        </w:rPr>
        <w:t>精确计量，合理控制药剂费用；</w:t>
      </w:r>
    </w:p>
    <w:p>
      <w:pPr>
        <w:pStyle w:val="ListParagraph"/>
        <w:numPr>
          <w:ilvl w:val="3"/>
          <w:numId w:val="25"/>
        </w:numPr>
        <w:tabs>
          <w:tab w:val="left" w:pos="1733"/>
          <w:tab w:val="left" w:pos="1734"/>
        </w:tabs>
        <w:spacing w:before="43" w:after="0" w:line="240" w:lineRule="auto"/>
        <w:ind w:left="1733" w:right="0" w:hanging="421"/>
        <w:jc w:val="left"/>
        <w:rPr>
          <w:rFonts w:ascii="Times New Roman" w:eastAsia="Times New Roman"/>
          <w:sz w:val="21"/>
        </w:rPr>
      </w:pPr>
      <w:r>
        <w:rPr>
          <w:spacing w:val="-3"/>
          <w:sz w:val="21"/>
        </w:rPr>
        <w:t>定期保养设备，减低维修费用；</w:t>
      </w:r>
    </w:p>
    <w:p>
      <w:pPr>
        <w:pStyle w:val="ListParagraph"/>
        <w:numPr>
          <w:ilvl w:val="3"/>
          <w:numId w:val="25"/>
        </w:numPr>
        <w:tabs>
          <w:tab w:val="left" w:pos="1733"/>
          <w:tab w:val="left" w:pos="1734"/>
        </w:tabs>
        <w:spacing w:before="42" w:after="0" w:line="240" w:lineRule="auto"/>
        <w:ind w:left="1733" w:right="0" w:hanging="421"/>
        <w:jc w:val="left"/>
        <w:rPr>
          <w:rFonts w:ascii="Times New Roman" w:eastAsia="Times New Roman"/>
          <w:sz w:val="21"/>
        </w:rPr>
      </w:pPr>
      <w:r>
        <w:rPr>
          <w:spacing w:val="-3"/>
          <w:sz w:val="21"/>
        </w:rPr>
        <w:t>加强人员管理，降低管理成本；</w:t>
      </w:r>
    </w:p>
    <w:p>
      <w:pPr>
        <w:pStyle w:val="ListParagraph"/>
        <w:numPr>
          <w:ilvl w:val="3"/>
          <w:numId w:val="25"/>
        </w:numPr>
        <w:tabs>
          <w:tab w:val="left" w:pos="1733"/>
          <w:tab w:val="left" w:pos="1734"/>
        </w:tabs>
        <w:spacing w:before="43" w:after="0" w:line="240" w:lineRule="auto"/>
        <w:ind w:left="1733" w:right="0" w:hanging="421"/>
        <w:jc w:val="left"/>
        <w:rPr>
          <w:rFonts w:ascii="Times New Roman" w:eastAsia="Times New Roman"/>
          <w:sz w:val="21"/>
        </w:rPr>
      </w:pPr>
      <w:r>
        <w:rPr>
          <w:spacing w:val="-3"/>
          <w:sz w:val="21"/>
        </w:rPr>
        <w:t>利用外包服务的专业优势和规模效益。</w:t>
      </w:r>
    </w:p>
    <w:p>
      <w:pPr>
        <w:pStyle w:val="ListParagraph"/>
        <w:numPr>
          <w:ilvl w:val="2"/>
          <w:numId w:val="25"/>
        </w:numPr>
        <w:tabs>
          <w:tab w:val="left" w:pos="1472"/>
        </w:tabs>
        <w:spacing w:before="43" w:after="0" w:line="240" w:lineRule="auto"/>
        <w:ind w:left="1471" w:right="0" w:hanging="580"/>
        <w:jc w:val="left"/>
        <w:rPr>
          <w:sz w:val="21"/>
        </w:rPr>
      </w:pPr>
      <w:r>
        <w:rPr>
          <w:spacing w:val="-3"/>
          <w:sz w:val="21"/>
        </w:rPr>
        <w:t>污水处理厂的能耗控制可参考以下几个方面：</w:t>
      </w:r>
    </w:p>
    <w:p>
      <w:pPr>
        <w:pStyle w:val="ListParagraph"/>
        <w:numPr>
          <w:ilvl w:val="3"/>
          <w:numId w:val="25"/>
        </w:numPr>
        <w:tabs>
          <w:tab w:val="left" w:pos="1734"/>
        </w:tabs>
        <w:spacing w:before="43" w:after="0" w:line="278" w:lineRule="auto"/>
        <w:ind w:left="1733" w:right="1152" w:hanging="420"/>
        <w:jc w:val="both"/>
        <w:rPr>
          <w:rFonts w:ascii="Times New Roman" w:eastAsia="Times New Roman"/>
          <w:sz w:val="21"/>
        </w:rPr>
      </w:pPr>
      <w:r>
        <w:rPr>
          <w:spacing w:val="-8"/>
          <w:sz w:val="21"/>
        </w:rPr>
        <w:t>以污水处理厂进水量及进水水质为基础，生产运营过程中优化组合运行方式，在保证出水水质</w:t>
      </w:r>
      <w:r>
        <w:rPr>
          <w:spacing w:val="-12"/>
          <w:sz w:val="21"/>
        </w:rPr>
        <w:t>的前提下，合理配置不同运行工况下设备设施的运行方式及运行数量，合理调整间歇运行设备</w:t>
      </w:r>
      <w:r>
        <w:rPr>
          <w:spacing w:val="-6"/>
          <w:sz w:val="21"/>
        </w:rPr>
        <w:t>设施的运行间隔时间，提高大型用电设备如鼓风机、提升泵等的运行效率；</w:t>
      </w:r>
    </w:p>
    <w:p>
      <w:pPr>
        <w:pStyle w:val="ListParagraph"/>
        <w:numPr>
          <w:ilvl w:val="3"/>
          <w:numId w:val="25"/>
        </w:numPr>
        <w:tabs>
          <w:tab w:val="left" w:pos="1733"/>
          <w:tab w:val="left" w:pos="1734"/>
        </w:tabs>
        <w:spacing w:before="0" w:after="0" w:line="278" w:lineRule="auto"/>
        <w:ind w:left="1733" w:right="1046" w:hanging="420"/>
        <w:jc w:val="left"/>
        <w:rPr>
          <w:rFonts w:ascii="Times New Roman" w:eastAsia="Times New Roman"/>
          <w:sz w:val="21"/>
        </w:rPr>
      </w:pPr>
      <w:r>
        <w:rPr>
          <w:spacing w:val="-8"/>
          <w:sz w:val="21"/>
        </w:rPr>
        <w:t>技术人员根据污水处理厂实际水质特点，结合运行经验，利用自控仪表采样的数据，通过调整</w:t>
      </w:r>
      <w:r>
        <w:rPr>
          <w:spacing w:val="-5"/>
          <w:sz w:val="21"/>
        </w:rPr>
        <w:t>阀门开启度、污泥回流比、剩余污泥排放量等反馈方式，控制好污水处理系统的溶解氧浓度、</w:t>
      </w:r>
      <w:r>
        <w:rPr>
          <w:spacing w:val="-4"/>
          <w:sz w:val="21"/>
        </w:rPr>
        <w:t>污泥浓度等参数，充分调整生物处理的工况，达到运行的最佳效果，以控制能耗；</w:t>
      </w:r>
    </w:p>
    <w:p>
      <w:pPr>
        <w:pStyle w:val="ListParagraph"/>
        <w:numPr>
          <w:ilvl w:val="3"/>
          <w:numId w:val="25"/>
        </w:numPr>
        <w:tabs>
          <w:tab w:val="left" w:pos="1733"/>
          <w:tab w:val="left" w:pos="1734"/>
        </w:tabs>
        <w:spacing w:before="0" w:after="0" w:line="278" w:lineRule="auto"/>
        <w:ind w:left="1733" w:right="1152" w:hanging="420"/>
        <w:jc w:val="left"/>
        <w:rPr>
          <w:rFonts w:ascii="Times New Roman" w:eastAsia="Times New Roman"/>
          <w:sz w:val="21"/>
        </w:rPr>
      </w:pPr>
      <w:r>
        <w:rPr>
          <w:spacing w:val="-9"/>
          <w:sz w:val="21"/>
        </w:rPr>
        <w:t>根据现场仪表采集的液位等数据，控制水泵的开停，根据实际需要调整为间歇或变频运行，尽</w:t>
      </w:r>
      <w:r>
        <w:rPr>
          <w:spacing w:val="-5"/>
          <w:sz w:val="21"/>
        </w:rPr>
        <w:t>量减少水泵的频繁启停，维持水泵运行在中水位和高效区间内，节约水泵能耗；</w:t>
      </w:r>
    </w:p>
    <w:p>
      <w:pPr>
        <w:pStyle w:val="ListParagraph"/>
        <w:numPr>
          <w:ilvl w:val="3"/>
          <w:numId w:val="25"/>
        </w:numPr>
        <w:tabs>
          <w:tab w:val="left" w:pos="1733"/>
          <w:tab w:val="left" w:pos="1734"/>
        </w:tabs>
        <w:spacing w:before="0" w:after="0" w:line="278" w:lineRule="auto"/>
        <w:ind w:left="1733" w:right="1152" w:hanging="420"/>
        <w:jc w:val="left"/>
        <w:rPr>
          <w:rFonts w:ascii="Times New Roman" w:eastAsia="Times New Roman"/>
          <w:sz w:val="21"/>
        </w:rPr>
      </w:pPr>
      <w:r>
        <w:rPr>
          <w:spacing w:val="-7"/>
          <w:sz w:val="21"/>
        </w:rPr>
        <w:t>根据剩余污泥排放量和污泥脱水机的设备性能特点，调整污泥脱水加药量，控制污泥脱水机的</w:t>
      </w:r>
      <w:r>
        <w:rPr>
          <w:spacing w:val="-5"/>
          <w:sz w:val="21"/>
        </w:rPr>
        <w:t>运行周期，降低污泥处理的运行能耗；</w:t>
      </w:r>
    </w:p>
    <w:p>
      <w:pPr>
        <w:pStyle w:val="ListParagraph"/>
        <w:numPr>
          <w:ilvl w:val="3"/>
          <w:numId w:val="25"/>
        </w:numPr>
        <w:tabs>
          <w:tab w:val="left" w:pos="1733"/>
          <w:tab w:val="left" w:pos="1734"/>
        </w:tabs>
        <w:spacing w:before="0" w:after="0" w:line="269" w:lineRule="exact"/>
        <w:ind w:left="1733" w:right="0" w:hanging="421"/>
        <w:jc w:val="left"/>
        <w:rPr>
          <w:rFonts w:ascii="Times New Roman" w:eastAsia="Times New Roman"/>
          <w:sz w:val="21"/>
        </w:rPr>
      </w:pPr>
      <w:r>
        <w:rPr>
          <w:spacing w:val="-3"/>
          <w:sz w:val="21"/>
        </w:rPr>
        <w:t>电费采用分时计量计价的地方，合理利用电价差进行生产调度，降低电费。</w:t>
      </w:r>
    </w:p>
    <w:p>
      <w:pPr>
        <w:pStyle w:val="ListParagraph"/>
        <w:numPr>
          <w:ilvl w:val="2"/>
          <w:numId w:val="25"/>
        </w:numPr>
        <w:tabs>
          <w:tab w:val="left" w:pos="1472"/>
        </w:tabs>
        <w:spacing w:before="43" w:after="0" w:line="240" w:lineRule="auto"/>
        <w:ind w:left="1471" w:right="0" w:hanging="580"/>
        <w:jc w:val="left"/>
        <w:rPr>
          <w:sz w:val="21"/>
        </w:rPr>
      </w:pPr>
      <w:r>
        <w:rPr>
          <w:spacing w:val="-3"/>
          <w:sz w:val="21"/>
        </w:rPr>
        <w:t>在线监测系统运行维护成本控制方案可参考以下几个方面：</w:t>
      </w:r>
    </w:p>
    <w:p>
      <w:pPr>
        <w:pStyle w:val="ListParagraph"/>
        <w:numPr>
          <w:ilvl w:val="3"/>
          <w:numId w:val="25"/>
        </w:numPr>
        <w:tabs>
          <w:tab w:val="left" w:pos="1733"/>
          <w:tab w:val="left" w:pos="1734"/>
        </w:tabs>
        <w:spacing w:before="43" w:after="0" w:line="240" w:lineRule="auto"/>
        <w:ind w:left="1733" w:right="0" w:hanging="421"/>
        <w:jc w:val="left"/>
        <w:rPr>
          <w:rFonts w:ascii="Times New Roman" w:eastAsia="Times New Roman"/>
          <w:sz w:val="21"/>
        </w:rPr>
      </w:pPr>
      <w:r>
        <w:rPr>
          <w:spacing w:val="-3"/>
          <w:sz w:val="21"/>
        </w:rPr>
        <w:t>若干污水处理厂集中打包委托，产生规模效益；</w:t>
      </w:r>
    </w:p>
    <w:p>
      <w:pPr>
        <w:pStyle w:val="ListParagraph"/>
        <w:numPr>
          <w:ilvl w:val="3"/>
          <w:numId w:val="25"/>
        </w:numPr>
        <w:tabs>
          <w:tab w:val="left" w:pos="1733"/>
          <w:tab w:val="left" w:pos="1734"/>
        </w:tabs>
        <w:spacing w:before="43" w:after="0" w:line="240" w:lineRule="auto"/>
        <w:ind w:left="1733" w:right="0" w:hanging="421"/>
        <w:jc w:val="left"/>
        <w:rPr>
          <w:rFonts w:ascii="Times New Roman" w:eastAsia="Times New Roman"/>
          <w:sz w:val="21"/>
        </w:rPr>
      </w:pPr>
      <w:r>
        <w:rPr>
          <w:spacing w:val="-3"/>
          <w:sz w:val="21"/>
        </w:rPr>
        <w:t>充分利用远程管理手段，降低交通、人工等成本；</w:t>
      </w:r>
    </w:p>
    <w:p>
      <w:pPr>
        <w:pStyle w:val="ListParagraph"/>
        <w:numPr>
          <w:ilvl w:val="3"/>
          <w:numId w:val="25"/>
        </w:numPr>
        <w:tabs>
          <w:tab w:val="left" w:pos="1733"/>
          <w:tab w:val="left" w:pos="1734"/>
        </w:tabs>
        <w:spacing w:before="43" w:after="0" w:line="240" w:lineRule="auto"/>
        <w:ind w:left="1733" w:right="0" w:hanging="421"/>
        <w:jc w:val="left"/>
        <w:rPr>
          <w:rFonts w:ascii="Times New Roman" w:eastAsia="Times New Roman"/>
          <w:sz w:val="21"/>
        </w:rPr>
      </w:pPr>
      <w:r>
        <w:rPr>
          <w:spacing w:val="-3"/>
          <w:sz w:val="21"/>
        </w:rPr>
        <w:t>注重系统维护，延长仪器仪表使用寿命。</w:t>
      </w:r>
    </w:p>
    <w:p>
      <w:pPr>
        <w:spacing w:before="147"/>
        <w:ind w:left="1090" w:right="0" w:firstLine="0"/>
        <w:jc w:val="left"/>
        <w:rPr>
          <w:sz w:val="18"/>
        </w:rPr>
      </w:pPr>
      <w:r>
        <w:rPr>
          <w:sz w:val="18"/>
        </w:rPr>
        <w:t xml:space="preserve">10 </w:t>
      </w:r>
    </w:p>
    <w:p>
      <w:pPr>
        <w:spacing w:after="0"/>
        <w:jc w:val="left"/>
        <w:rPr>
          <w:sz w:val="18"/>
        </w:rPr>
        <w:sectPr>
          <w:headerReference w:type="even" r:id="rId38"/>
          <w:headerReference w:type="default" r:id="rId39"/>
          <w:pgSz w:w="11910" w:h="16840"/>
          <w:pgMar w:top="1640" w:right="260" w:bottom="280" w:left="240" w:header="1448" w:footer="0"/>
          <w:pgNumType w:start="17"/>
          <w:cols w:space="708"/>
        </w:sectPr>
      </w:pPr>
    </w:p>
    <w:p>
      <w:pPr>
        <w:pStyle w:val="BodyText"/>
        <w:spacing w:before="1"/>
        <w:rPr>
          <w:sz w:val="17"/>
        </w:rPr>
      </w:pPr>
    </w:p>
    <w:p>
      <w:pPr>
        <w:pStyle w:val="ListParagraph"/>
        <w:numPr>
          <w:ilvl w:val="2"/>
          <w:numId w:val="25"/>
        </w:numPr>
        <w:tabs>
          <w:tab w:val="left" w:pos="1758"/>
        </w:tabs>
        <w:spacing w:before="72" w:after="0" w:line="240" w:lineRule="auto"/>
        <w:ind w:left="1757" w:right="0" w:hanging="580"/>
        <w:jc w:val="left"/>
        <w:rPr>
          <w:sz w:val="21"/>
        </w:rPr>
      </w:pPr>
      <w:r>
        <w:rPr>
          <w:spacing w:val="-3"/>
          <w:sz w:val="21"/>
        </w:rPr>
        <w:t>管理成本控制可参考以下几个方面：</w:t>
      </w:r>
    </w:p>
    <w:p>
      <w:pPr>
        <w:pStyle w:val="ListParagraph"/>
        <w:numPr>
          <w:ilvl w:val="3"/>
          <w:numId w:val="25"/>
        </w:numPr>
        <w:tabs>
          <w:tab w:val="left" w:pos="2018"/>
          <w:tab w:val="left" w:pos="2019"/>
        </w:tabs>
        <w:spacing w:before="43" w:after="0" w:line="278" w:lineRule="auto"/>
        <w:ind w:left="2018" w:right="867" w:hanging="420"/>
        <w:jc w:val="left"/>
        <w:rPr>
          <w:rFonts w:ascii="Times New Roman" w:eastAsia="Times New Roman"/>
          <w:sz w:val="21"/>
        </w:rPr>
      </w:pPr>
      <w:r>
        <w:rPr>
          <w:spacing w:val="-10"/>
          <w:sz w:val="21"/>
        </w:rPr>
        <w:t>健全组织机构，建立各项规章制度，合理配置各岗位人员，制定科学的薪酬体系，对员工进行</w:t>
      </w:r>
      <w:r>
        <w:rPr>
          <w:spacing w:val="-5"/>
          <w:sz w:val="21"/>
        </w:rPr>
        <w:t>岗位技能培训，提高工作效率，降低人工成本；</w:t>
      </w:r>
    </w:p>
    <w:p>
      <w:pPr>
        <w:pStyle w:val="ListParagraph"/>
        <w:numPr>
          <w:ilvl w:val="3"/>
          <w:numId w:val="25"/>
        </w:numPr>
        <w:tabs>
          <w:tab w:val="left" w:pos="2018"/>
          <w:tab w:val="left" w:pos="2019"/>
        </w:tabs>
        <w:spacing w:before="0" w:after="0" w:line="278" w:lineRule="auto"/>
        <w:ind w:left="2018" w:right="866" w:hanging="420"/>
        <w:jc w:val="left"/>
        <w:rPr>
          <w:rFonts w:ascii="Times New Roman" w:eastAsia="Times New Roman"/>
          <w:sz w:val="21"/>
        </w:rPr>
      </w:pPr>
      <w:r>
        <w:rPr>
          <w:spacing w:val="-10"/>
          <w:sz w:val="21"/>
        </w:rPr>
        <w:t>加强运行管理，严格成本控制，完善考核体系，把水质达标率、能耗、药耗以及设备完好率等</w:t>
      </w:r>
      <w:r>
        <w:rPr>
          <w:spacing w:val="-5"/>
          <w:sz w:val="21"/>
        </w:rPr>
        <w:t>纳入绩效考核指标，充分调动员工工作积极性和主观能动性；</w:t>
      </w:r>
    </w:p>
    <w:p>
      <w:pPr>
        <w:pStyle w:val="ListParagraph"/>
        <w:numPr>
          <w:ilvl w:val="3"/>
          <w:numId w:val="25"/>
        </w:numPr>
        <w:tabs>
          <w:tab w:val="left" w:pos="2018"/>
          <w:tab w:val="left" w:pos="2019"/>
        </w:tabs>
        <w:spacing w:before="0" w:after="0" w:line="278" w:lineRule="auto"/>
        <w:ind w:left="2018" w:right="869" w:hanging="420"/>
        <w:jc w:val="left"/>
        <w:rPr>
          <w:rFonts w:ascii="Times New Roman" w:eastAsia="Times New Roman"/>
          <w:sz w:val="21"/>
        </w:rPr>
      </w:pPr>
      <w:r>
        <w:rPr>
          <w:spacing w:val="-11"/>
          <w:sz w:val="21"/>
        </w:rPr>
        <w:t>部分辅助工作，如绿化、保洁、污泥运输、设备大修等，充分利用社会化服务，采用外包的方</w:t>
      </w:r>
      <w:r>
        <w:rPr>
          <w:spacing w:val="-6"/>
          <w:sz w:val="21"/>
        </w:rPr>
        <w:t>式，可以降低人工成本；</w:t>
      </w:r>
    </w:p>
    <w:p>
      <w:pPr>
        <w:pStyle w:val="ListParagraph"/>
        <w:numPr>
          <w:ilvl w:val="2"/>
          <w:numId w:val="25"/>
        </w:numPr>
        <w:tabs>
          <w:tab w:val="left" w:pos="1758"/>
        </w:tabs>
        <w:spacing w:before="0" w:after="0" w:line="269" w:lineRule="exact"/>
        <w:ind w:left="1757" w:right="0" w:hanging="580"/>
        <w:jc w:val="left"/>
        <w:rPr>
          <w:sz w:val="21"/>
        </w:rPr>
      </w:pPr>
      <w:r>
        <w:rPr>
          <w:spacing w:val="-3"/>
          <w:sz w:val="21"/>
        </w:rPr>
        <w:t>维修成本控制可参考以下几个方面：</w:t>
      </w:r>
    </w:p>
    <w:p>
      <w:pPr>
        <w:pStyle w:val="ListParagraph"/>
        <w:numPr>
          <w:ilvl w:val="3"/>
          <w:numId w:val="25"/>
        </w:numPr>
        <w:tabs>
          <w:tab w:val="left" w:pos="2018"/>
          <w:tab w:val="left" w:pos="2019"/>
        </w:tabs>
        <w:spacing w:before="42" w:after="0" w:line="278" w:lineRule="auto"/>
        <w:ind w:left="2018" w:right="867" w:hanging="420"/>
        <w:jc w:val="left"/>
        <w:rPr>
          <w:rFonts w:ascii="Times New Roman" w:eastAsia="Times New Roman"/>
          <w:sz w:val="21"/>
        </w:rPr>
      </w:pPr>
      <w:r>
        <w:rPr>
          <w:spacing w:val="-7"/>
          <w:sz w:val="21"/>
        </w:rPr>
        <w:t>厂内设备购置应充分考虑设备的性价比以及后期的维护维修成本，选用质量稳定可靠、售后服</w:t>
      </w:r>
      <w:r>
        <w:rPr>
          <w:spacing w:val="-5"/>
          <w:sz w:val="21"/>
        </w:rPr>
        <w:t>务迅速合理的产品；条件允许时，可储备一定量常用设备配件，减少应急采购成本；</w:t>
      </w:r>
    </w:p>
    <w:p>
      <w:pPr>
        <w:pStyle w:val="ListParagraph"/>
        <w:numPr>
          <w:ilvl w:val="3"/>
          <w:numId w:val="25"/>
        </w:numPr>
        <w:tabs>
          <w:tab w:val="left" w:pos="2018"/>
          <w:tab w:val="left" w:pos="2019"/>
        </w:tabs>
        <w:spacing w:before="0" w:after="0" w:line="278" w:lineRule="auto"/>
        <w:ind w:left="2018" w:right="866" w:hanging="420"/>
        <w:jc w:val="left"/>
        <w:rPr>
          <w:rFonts w:ascii="Times New Roman" w:eastAsia="Times New Roman"/>
          <w:sz w:val="21"/>
        </w:rPr>
      </w:pPr>
      <w:r>
        <w:rPr>
          <w:spacing w:val="-10"/>
          <w:sz w:val="21"/>
        </w:rPr>
        <w:t>日常管理中，制定行之有效的管理机制，保证按时保质地做好设备维护保养工作，降低维修成本；</w:t>
      </w:r>
    </w:p>
    <w:p>
      <w:pPr>
        <w:pStyle w:val="ListParagraph"/>
        <w:numPr>
          <w:ilvl w:val="3"/>
          <w:numId w:val="25"/>
        </w:numPr>
        <w:tabs>
          <w:tab w:val="left" w:pos="2018"/>
          <w:tab w:val="left" w:pos="2019"/>
        </w:tabs>
        <w:spacing w:before="1" w:after="0" w:line="278" w:lineRule="auto"/>
        <w:ind w:left="2018" w:right="867" w:hanging="420"/>
        <w:jc w:val="left"/>
        <w:rPr>
          <w:rFonts w:ascii="Times New Roman" w:eastAsia="Times New Roman"/>
          <w:sz w:val="21"/>
        </w:rPr>
      </w:pPr>
      <w:r>
        <w:rPr>
          <w:spacing w:val="-10"/>
          <w:sz w:val="21"/>
        </w:rPr>
        <w:t>污泥外运处置、厂内垃圾清运、药剂采购运输等工作，采用服务外包的方式，降低车辆配置和</w:t>
      </w:r>
      <w:r>
        <w:rPr>
          <w:spacing w:val="-5"/>
          <w:sz w:val="21"/>
        </w:rPr>
        <w:t>维护维修费用；</w:t>
      </w:r>
    </w:p>
    <w:p>
      <w:pPr>
        <w:pStyle w:val="ListParagraph"/>
        <w:numPr>
          <w:ilvl w:val="3"/>
          <w:numId w:val="25"/>
        </w:numPr>
        <w:tabs>
          <w:tab w:val="left" w:pos="2018"/>
          <w:tab w:val="left" w:pos="2019"/>
        </w:tabs>
        <w:spacing w:before="0" w:after="0" w:line="278" w:lineRule="auto"/>
        <w:ind w:left="2018" w:right="866" w:hanging="420"/>
        <w:jc w:val="left"/>
        <w:rPr>
          <w:rFonts w:ascii="Times New Roman" w:eastAsia="Times New Roman"/>
          <w:sz w:val="21"/>
        </w:rPr>
      </w:pPr>
      <w:r>
        <w:rPr>
          <w:spacing w:val="-9"/>
          <w:sz w:val="21"/>
        </w:rPr>
        <w:t>建立设备台账，详细登记设备采购和投运时间、运行状态和故障原因、保养和维修记录等，综</w:t>
      </w:r>
      <w:r>
        <w:rPr>
          <w:spacing w:val="-5"/>
          <w:sz w:val="21"/>
        </w:rPr>
        <w:t>合统计后分析制定设备的维修和改造计划。</w:t>
      </w:r>
    </w:p>
    <w:p>
      <w:pPr>
        <w:pStyle w:val="ListParagraph"/>
        <w:numPr>
          <w:ilvl w:val="2"/>
          <w:numId w:val="25"/>
        </w:numPr>
        <w:tabs>
          <w:tab w:val="left" w:pos="1758"/>
        </w:tabs>
        <w:spacing w:before="0" w:after="0" w:line="269" w:lineRule="exact"/>
        <w:ind w:left="1757" w:right="0" w:hanging="580"/>
        <w:jc w:val="left"/>
        <w:rPr>
          <w:sz w:val="21"/>
        </w:rPr>
      </w:pPr>
      <w:r>
        <w:rPr>
          <w:spacing w:val="-3"/>
          <w:sz w:val="21"/>
        </w:rPr>
        <w:t>药剂消耗量控制可参考以下几个方面：</w:t>
      </w:r>
    </w:p>
    <w:p>
      <w:pPr>
        <w:pStyle w:val="ListParagraph"/>
        <w:numPr>
          <w:ilvl w:val="3"/>
          <w:numId w:val="25"/>
        </w:numPr>
        <w:tabs>
          <w:tab w:val="left" w:pos="2018"/>
          <w:tab w:val="left" w:pos="2019"/>
        </w:tabs>
        <w:spacing w:before="42" w:after="0" w:line="278" w:lineRule="auto"/>
        <w:ind w:left="2018" w:right="866" w:hanging="420"/>
        <w:jc w:val="left"/>
        <w:rPr>
          <w:rFonts w:ascii="Times New Roman" w:eastAsia="Times New Roman"/>
          <w:sz w:val="21"/>
        </w:rPr>
      </w:pPr>
      <w:r>
        <w:rPr>
          <w:spacing w:val="-10"/>
          <w:sz w:val="21"/>
        </w:rPr>
        <w:t>水质、水量数据是药剂投加量计算的基础，应积极维护保养水量计量装置和水质监测仪表，培</w:t>
      </w:r>
      <w:r>
        <w:rPr>
          <w:spacing w:val="-5"/>
          <w:sz w:val="21"/>
        </w:rPr>
        <w:t>训化验人员的岗位技能，提供准确基础数据；</w:t>
      </w:r>
    </w:p>
    <w:p>
      <w:pPr>
        <w:pStyle w:val="ListParagraph"/>
        <w:numPr>
          <w:ilvl w:val="3"/>
          <w:numId w:val="25"/>
        </w:numPr>
        <w:tabs>
          <w:tab w:val="left" w:pos="2018"/>
          <w:tab w:val="left" w:pos="2019"/>
        </w:tabs>
        <w:spacing w:before="0" w:after="0" w:line="278" w:lineRule="auto"/>
        <w:ind w:left="2018" w:right="866" w:hanging="420"/>
        <w:jc w:val="left"/>
        <w:rPr>
          <w:rFonts w:ascii="Times New Roman" w:eastAsia="Times New Roman"/>
          <w:sz w:val="21"/>
        </w:rPr>
      </w:pPr>
      <w:r>
        <w:drawing>
          <wp:anchor distT="0" distB="0" distL="0" distR="0" simplePos="0" relativeHeight="251683840" behindDoc="0" locked="0" layoutInCell="1" allowOverlap="1">
            <wp:simplePos x="0" y="0"/>
            <wp:positionH relativeFrom="page">
              <wp:posOffset>215900</wp:posOffset>
            </wp:positionH>
            <wp:positionV relativeFrom="paragraph">
              <wp:posOffset>240919</wp:posOffset>
            </wp:positionV>
            <wp:extent cx="7112000" cy="4876800"/>
            <wp:effectExtent l="0" t="0" r="0" b="0"/>
            <wp:wrapNone/>
            <wp:docPr id="4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1.png"/>
                    <pic:cNvPicPr/>
                  </pic:nvPicPr>
                  <pic:blipFill>
                    <a:blip xmlns:r="http://schemas.openxmlformats.org/officeDocument/2006/relationships" r:embed="rId4" cstate="print"/>
                    <a:stretch>
                      <a:fillRect/>
                    </a:stretch>
                  </pic:blipFill>
                  <pic:spPr>
                    <a:xfrm>
                      <a:off x="0" y="0"/>
                      <a:ext cx="7112000" cy="4876800"/>
                    </a:xfrm>
                    <a:prstGeom prst="rect">
                      <a:avLst/>
                    </a:prstGeom>
                  </pic:spPr>
                </pic:pic>
              </a:graphicData>
            </a:graphic>
          </wp:anchor>
        </w:drawing>
      </w:r>
      <w:r>
        <w:rPr>
          <w:spacing w:val="-21"/>
          <w:sz w:val="21"/>
        </w:rPr>
        <w:t xml:space="preserve">根据季节、温度、水质、水量、污泥量等因素的变化及时调整絮凝剂、消毒剂等药剂的投加量， </w:t>
      </w:r>
      <w:r>
        <w:rPr>
          <w:spacing w:val="-10"/>
          <w:sz w:val="21"/>
        </w:rPr>
        <w:t>控制药耗；</w:t>
      </w:r>
    </w:p>
    <w:p>
      <w:pPr>
        <w:pStyle w:val="ListParagraph"/>
        <w:numPr>
          <w:ilvl w:val="3"/>
          <w:numId w:val="25"/>
        </w:numPr>
        <w:tabs>
          <w:tab w:val="left" w:pos="2018"/>
          <w:tab w:val="left" w:pos="2019"/>
        </w:tabs>
        <w:spacing w:before="0" w:after="0" w:line="278" w:lineRule="auto"/>
        <w:ind w:left="2018" w:right="866" w:hanging="420"/>
        <w:jc w:val="left"/>
        <w:rPr>
          <w:rFonts w:ascii="Times New Roman" w:eastAsia="Times New Roman"/>
          <w:sz w:val="21"/>
        </w:rPr>
      </w:pPr>
      <w:r>
        <w:rPr>
          <w:spacing w:val="-9"/>
          <w:sz w:val="21"/>
        </w:rPr>
        <w:t>污水处理厂正式投产运行后，可采取适量剩余污泥泥样，用不同的药剂、不同的投药比进行污</w:t>
      </w:r>
      <w:r>
        <w:rPr>
          <w:spacing w:val="-5"/>
          <w:sz w:val="21"/>
        </w:rPr>
        <w:t>泥脱水效果实验，取得最佳药剂种类和最佳投药比；</w:t>
      </w:r>
    </w:p>
    <w:p>
      <w:pPr>
        <w:pStyle w:val="ListParagraph"/>
        <w:numPr>
          <w:ilvl w:val="3"/>
          <w:numId w:val="25"/>
        </w:numPr>
        <w:tabs>
          <w:tab w:val="left" w:pos="2018"/>
          <w:tab w:val="left" w:pos="2019"/>
        </w:tabs>
        <w:spacing w:before="0" w:after="0" w:line="240" w:lineRule="auto"/>
        <w:ind w:left="2018" w:right="0" w:hanging="421"/>
        <w:jc w:val="left"/>
        <w:rPr>
          <w:rFonts w:ascii="Times New Roman" w:eastAsia="Times New Roman"/>
          <w:sz w:val="21"/>
        </w:rPr>
      </w:pPr>
      <w:r>
        <w:rPr>
          <w:spacing w:val="-3"/>
          <w:sz w:val="21"/>
        </w:rPr>
        <w:t>根据理论计算及小试试验结果，结合水处理要求，选择适宜的化学除磷药剂种类及投加量；</w:t>
      </w:r>
    </w:p>
    <w:p>
      <w:pPr>
        <w:pStyle w:val="ListParagraph"/>
        <w:numPr>
          <w:ilvl w:val="3"/>
          <w:numId w:val="25"/>
        </w:numPr>
        <w:tabs>
          <w:tab w:val="left" w:pos="2018"/>
          <w:tab w:val="left" w:pos="2019"/>
        </w:tabs>
        <w:spacing w:before="43" w:after="0" w:line="278" w:lineRule="auto"/>
        <w:ind w:left="2018" w:right="866" w:hanging="420"/>
        <w:jc w:val="left"/>
        <w:rPr>
          <w:rFonts w:ascii="Times New Roman" w:eastAsia="Times New Roman"/>
          <w:sz w:val="21"/>
        </w:rPr>
      </w:pPr>
      <w:r>
        <w:rPr>
          <w:spacing w:val="-8"/>
          <w:sz w:val="21"/>
        </w:rPr>
        <w:t>根据实际处理水量合理确定消毒药剂的投加量；现场制备消毒剂的污水处理厂，应提高制备效率；</w:t>
      </w:r>
    </w:p>
    <w:p>
      <w:pPr>
        <w:pStyle w:val="ListParagraph"/>
        <w:numPr>
          <w:ilvl w:val="3"/>
          <w:numId w:val="25"/>
        </w:numPr>
        <w:tabs>
          <w:tab w:val="left" w:pos="2018"/>
          <w:tab w:val="left" w:pos="2019"/>
        </w:tabs>
        <w:spacing w:before="0" w:after="0" w:line="278" w:lineRule="auto"/>
        <w:ind w:left="2018" w:right="867" w:hanging="420"/>
        <w:jc w:val="left"/>
        <w:rPr>
          <w:rFonts w:ascii="Times New Roman" w:eastAsia="Times New Roman"/>
          <w:sz w:val="21"/>
        </w:rPr>
      </w:pPr>
      <w:r>
        <w:rPr>
          <w:sz w:val="21"/>
        </w:rPr>
        <w:t>污水处理厂的碳源可考虑投加当地食品厂、饮料厂等企业排放的高</w:t>
      </w:r>
      <w:r>
        <w:rPr>
          <w:rFonts w:ascii="Times New Roman" w:eastAsia="Times New Roman"/>
          <w:sz w:val="21"/>
        </w:rPr>
        <w:t>COD</w:t>
      </w:r>
      <w:r>
        <w:rPr>
          <w:spacing w:val="-2"/>
          <w:sz w:val="21"/>
        </w:rPr>
        <w:t>、低总磷和氨氮的废</w:t>
      </w:r>
      <w:r>
        <w:rPr>
          <w:spacing w:val="-3"/>
          <w:sz w:val="21"/>
        </w:rPr>
        <w:t>液。可在厂区或泵站架设液体储存罐，规范投加；</w:t>
      </w:r>
    </w:p>
    <w:p>
      <w:pPr>
        <w:pStyle w:val="ListParagraph"/>
        <w:numPr>
          <w:ilvl w:val="3"/>
          <w:numId w:val="25"/>
        </w:numPr>
        <w:tabs>
          <w:tab w:val="left" w:pos="2018"/>
          <w:tab w:val="left" w:pos="2019"/>
        </w:tabs>
        <w:spacing w:before="0" w:after="0" w:line="278" w:lineRule="auto"/>
        <w:ind w:left="2018" w:right="866" w:hanging="420"/>
        <w:jc w:val="left"/>
        <w:rPr>
          <w:rFonts w:ascii="Times New Roman" w:eastAsia="Times New Roman"/>
          <w:sz w:val="21"/>
        </w:rPr>
      </w:pPr>
      <w:r>
        <w:rPr>
          <w:spacing w:val="-9"/>
          <w:sz w:val="21"/>
        </w:rPr>
        <w:t>强化药剂的库存管理，化学药剂可适量库存，从药剂的验收、入库、储存、领用均需按有关规</w:t>
      </w:r>
      <w:r>
        <w:rPr>
          <w:spacing w:val="-5"/>
          <w:sz w:val="21"/>
        </w:rPr>
        <w:t>定执行，杜绝浪费，防止出现因储存不善报废等非正常损耗现象。</w:t>
      </w:r>
    </w:p>
    <w:p>
      <w:pPr>
        <w:pStyle w:val="ListParagraph"/>
        <w:numPr>
          <w:ilvl w:val="2"/>
          <w:numId w:val="25"/>
        </w:numPr>
        <w:tabs>
          <w:tab w:val="left" w:pos="1758"/>
        </w:tabs>
        <w:spacing w:before="0" w:after="0" w:line="269" w:lineRule="exact"/>
        <w:ind w:left="1757" w:right="0" w:hanging="580"/>
        <w:jc w:val="left"/>
        <w:rPr>
          <w:sz w:val="21"/>
        </w:rPr>
      </w:pPr>
      <w:r>
        <w:rPr>
          <w:spacing w:val="-3"/>
          <w:sz w:val="21"/>
        </w:rPr>
        <w:t>污泥外运处置成本控制方案可参考以下几个方面：</w:t>
      </w:r>
    </w:p>
    <w:p>
      <w:pPr>
        <w:pStyle w:val="ListParagraph"/>
        <w:numPr>
          <w:ilvl w:val="3"/>
          <w:numId w:val="25"/>
        </w:numPr>
        <w:tabs>
          <w:tab w:val="left" w:pos="2018"/>
          <w:tab w:val="left" w:pos="2019"/>
        </w:tabs>
        <w:spacing w:before="42" w:after="0" w:line="240" w:lineRule="auto"/>
        <w:ind w:left="2018" w:right="0" w:hanging="421"/>
        <w:jc w:val="left"/>
        <w:rPr>
          <w:rFonts w:ascii="Times New Roman" w:eastAsia="Times New Roman"/>
          <w:sz w:val="21"/>
        </w:rPr>
      </w:pPr>
      <w:r>
        <w:rPr>
          <w:spacing w:val="-3"/>
          <w:sz w:val="21"/>
        </w:rPr>
        <w:t>利用社会化服务，厂内不配置专门的运输车辆和运输人员；</w:t>
      </w:r>
    </w:p>
    <w:p>
      <w:pPr>
        <w:pStyle w:val="ListParagraph"/>
        <w:numPr>
          <w:ilvl w:val="3"/>
          <w:numId w:val="25"/>
        </w:numPr>
        <w:tabs>
          <w:tab w:val="left" w:pos="2018"/>
          <w:tab w:val="left" w:pos="2019"/>
        </w:tabs>
        <w:spacing w:before="43" w:after="0" w:line="240" w:lineRule="auto"/>
        <w:ind w:left="2018" w:right="0" w:hanging="421"/>
        <w:jc w:val="left"/>
        <w:rPr>
          <w:rFonts w:ascii="Times New Roman" w:eastAsia="Times New Roman"/>
          <w:sz w:val="21"/>
        </w:rPr>
      </w:pPr>
      <w:r>
        <w:rPr>
          <w:spacing w:val="-3"/>
          <w:sz w:val="21"/>
        </w:rPr>
        <w:t>若干污水处理厂集中打包委托，产生规模效益；</w:t>
      </w:r>
    </w:p>
    <w:p>
      <w:pPr>
        <w:pStyle w:val="ListParagraph"/>
        <w:numPr>
          <w:ilvl w:val="3"/>
          <w:numId w:val="25"/>
        </w:numPr>
        <w:tabs>
          <w:tab w:val="left" w:pos="2018"/>
          <w:tab w:val="left" w:pos="2019"/>
        </w:tabs>
        <w:spacing w:before="43" w:after="0" w:line="240" w:lineRule="auto"/>
        <w:ind w:left="2018" w:right="0" w:hanging="421"/>
        <w:jc w:val="left"/>
        <w:rPr>
          <w:rFonts w:ascii="Times New Roman" w:eastAsia="Times New Roman"/>
          <w:sz w:val="21"/>
        </w:rPr>
      </w:pPr>
      <w:r>
        <w:rPr>
          <w:spacing w:val="-3"/>
          <w:sz w:val="21"/>
        </w:rPr>
        <w:t>优化工艺运行参数，减少污泥含水率，降低产泥量。</w:t>
      </w:r>
    </w:p>
    <w:p>
      <w:pPr>
        <w:pStyle w:val="BodyText"/>
        <w:spacing w:before="10"/>
        <w:rPr>
          <w:sz w:val="27"/>
        </w:rPr>
      </w:pPr>
    </w:p>
    <w:p>
      <w:pPr>
        <w:pStyle w:val="ListParagraph"/>
        <w:numPr>
          <w:ilvl w:val="0"/>
          <w:numId w:val="25"/>
        </w:numPr>
        <w:tabs>
          <w:tab w:val="left" w:pos="1494"/>
        </w:tabs>
        <w:spacing w:before="0" w:after="0" w:line="240" w:lineRule="auto"/>
        <w:ind w:left="1493" w:right="0" w:hanging="316"/>
        <w:jc w:val="left"/>
        <w:rPr>
          <w:rFonts w:ascii="黑体" w:eastAsia="黑体" w:hint="eastAsia"/>
          <w:sz w:val="21"/>
        </w:rPr>
      </w:pPr>
      <w:r>
        <w:rPr>
          <w:rFonts w:ascii="黑体" w:eastAsia="黑体" w:hint="eastAsia"/>
          <w:sz w:val="21"/>
        </w:rPr>
        <w:t>泵站</w:t>
      </w:r>
    </w:p>
    <w:p>
      <w:pPr>
        <w:pStyle w:val="BodyText"/>
        <w:spacing w:before="9"/>
        <w:rPr>
          <w:rFonts w:ascii="黑体"/>
          <w:sz w:val="27"/>
        </w:rPr>
      </w:pPr>
    </w:p>
    <w:p>
      <w:pPr>
        <w:pStyle w:val="ListParagraph"/>
        <w:numPr>
          <w:ilvl w:val="1"/>
          <w:numId w:val="25"/>
        </w:numPr>
        <w:tabs>
          <w:tab w:val="left" w:pos="1602"/>
        </w:tabs>
        <w:spacing w:before="0" w:after="0" w:line="240" w:lineRule="auto"/>
        <w:ind w:left="1601" w:right="0" w:hanging="424"/>
        <w:jc w:val="left"/>
        <w:rPr>
          <w:rFonts w:ascii="黑体" w:eastAsia="黑体" w:hint="eastAsia"/>
          <w:sz w:val="21"/>
        </w:rPr>
      </w:pPr>
      <w:r>
        <w:rPr>
          <w:rFonts w:ascii="黑体" w:eastAsia="黑体" w:hint="eastAsia"/>
          <w:spacing w:val="-3"/>
          <w:sz w:val="21"/>
        </w:rPr>
        <w:t>一体化预制泵站</w:t>
      </w:r>
    </w:p>
    <w:p>
      <w:pPr>
        <w:pStyle w:val="BodyText"/>
        <w:spacing w:before="6"/>
        <w:rPr>
          <w:rFonts w:ascii="黑体"/>
          <w:sz w:val="15"/>
        </w:rPr>
      </w:pPr>
    </w:p>
    <w:p>
      <w:pPr>
        <w:pStyle w:val="ListParagraph"/>
        <w:numPr>
          <w:ilvl w:val="2"/>
          <w:numId w:val="25"/>
        </w:numPr>
        <w:tabs>
          <w:tab w:val="left" w:pos="1758"/>
        </w:tabs>
        <w:spacing w:before="1" w:after="0" w:line="240" w:lineRule="auto"/>
        <w:ind w:left="1757" w:right="0" w:hanging="580"/>
        <w:jc w:val="left"/>
        <w:rPr>
          <w:sz w:val="21"/>
        </w:rPr>
      </w:pPr>
      <w:r>
        <w:rPr>
          <w:spacing w:val="-6"/>
          <w:sz w:val="21"/>
        </w:rPr>
        <w:t xml:space="preserve">结合一体化泵站运行特点，巡视分为以下 </w:t>
      </w:r>
      <w:r>
        <w:rPr>
          <w:rFonts w:ascii="Calibri" w:eastAsia="Calibri"/>
          <w:sz w:val="21"/>
        </w:rPr>
        <w:t>4</w:t>
      </w:r>
      <w:r>
        <w:rPr>
          <w:rFonts w:ascii="Calibri" w:eastAsia="Calibri"/>
          <w:spacing w:val="3"/>
          <w:sz w:val="21"/>
        </w:rPr>
        <w:t xml:space="preserve"> </w:t>
      </w:r>
      <w:r>
        <w:rPr>
          <w:sz w:val="21"/>
        </w:rPr>
        <w:t>种：</w:t>
      </w:r>
    </w:p>
    <w:p>
      <w:pPr>
        <w:pStyle w:val="ListParagraph"/>
        <w:numPr>
          <w:ilvl w:val="3"/>
          <w:numId w:val="25"/>
        </w:numPr>
        <w:tabs>
          <w:tab w:val="left" w:pos="2018"/>
          <w:tab w:val="left" w:pos="2019"/>
        </w:tabs>
        <w:spacing w:before="43" w:after="0" w:line="240" w:lineRule="auto"/>
        <w:ind w:left="2018" w:right="0" w:hanging="421"/>
        <w:jc w:val="left"/>
        <w:rPr>
          <w:rFonts w:ascii="Times New Roman" w:eastAsia="Times New Roman"/>
          <w:sz w:val="21"/>
        </w:rPr>
      </w:pPr>
      <w:r>
        <w:rPr>
          <w:spacing w:val="-3"/>
          <w:sz w:val="21"/>
        </w:rPr>
        <w:t>日常巡视检查，即巡查人员每日对所有运行设备进行的巡视检查；</w:t>
      </w:r>
    </w:p>
    <w:p>
      <w:pPr>
        <w:pStyle w:val="ListParagraph"/>
        <w:numPr>
          <w:ilvl w:val="3"/>
          <w:numId w:val="25"/>
        </w:numPr>
        <w:tabs>
          <w:tab w:val="left" w:pos="2018"/>
          <w:tab w:val="left" w:pos="2019"/>
        </w:tabs>
        <w:spacing w:before="43" w:after="0" w:line="240" w:lineRule="auto"/>
        <w:ind w:left="2018" w:right="0" w:hanging="421"/>
        <w:jc w:val="left"/>
        <w:rPr>
          <w:rFonts w:ascii="Times New Roman" w:eastAsia="Times New Roman"/>
          <w:sz w:val="21"/>
        </w:rPr>
      </w:pPr>
      <w:r>
        <w:rPr>
          <w:spacing w:val="-3"/>
          <w:sz w:val="21"/>
        </w:rPr>
        <w:t>全站巡视检查，每周不少于一次对所有已安装设备进行的检查，包括所有运行设备；</w:t>
      </w:r>
    </w:p>
    <w:p>
      <w:pPr>
        <w:pStyle w:val="ListParagraph"/>
        <w:numPr>
          <w:ilvl w:val="3"/>
          <w:numId w:val="25"/>
        </w:numPr>
        <w:tabs>
          <w:tab w:val="left" w:pos="2018"/>
          <w:tab w:val="left" w:pos="2019"/>
        </w:tabs>
        <w:spacing w:before="42" w:after="0" w:line="240" w:lineRule="auto"/>
        <w:ind w:left="2018" w:right="0" w:hanging="421"/>
        <w:jc w:val="left"/>
        <w:rPr>
          <w:rFonts w:ascii="Times New Roman" w:eastAsia="Times New Roman"/>
          <w:sz w:val="21"/>
        </w:rPr>
      </w:pPr>
      <w:r>
        <w:rPr>
          <w:spacing w:val="-3"/>
          <w:sz w:val="21"/>
        </w:rPr>
        <w:t>特殊巡视检查，根据天气变化、负荷变化、新设备投产等特殊情况，而进行的适时巡视检查；</w:t>
      </w:r>
    </w:p>
    <w:p>
      <w:pPr>
        <w:pStyle w:val="BodyText"/>
        <w:spacing w:before="11"/>
        <w:rPr>
          <w:sz w:val="17"/>
        </w:rPr>
      </w:pPr>
    </w:p>
    <w:p>
      <w:pPr>
        <w:spacing w:before="75"/>
        <w:ind w:left="0" w:right="1006" w:firstLine="0"/>
        <w:jc w:val="right"/>
        <w:rPr>
          <w:sz w:val="18"/>
        </w:rPr>
      </w:pPr>
      <w:r>
        <w:rPr>
          <w:sz w:val="18"/>
        </w:rPr>
        <w:t xml:space="preserve">11 </w:t>
      </w:r>
    </w:p>
    <w:p>
      <w:pPr>
        <w:spacing w:after="0"/>
        <w:jc w:val="right"/>
        <w:rPr>
          <w:sz w:val="18"/>
        </w:rPr>
        <w:sectPr>
          <w:headerReference w:type="even" r:id="rId40"/>
          <w:headerReference w:type="default" r:id="rId41"/>
          <w:pgSz w:w="11910" w:h="16840"/>
          <w:pgMar w:top="1640" w:right="260" w:bottom="280" w:left="240" w:header="1448" w:footer="0"/>
          <w:pgNumType w:start="18"/>
          <w:cols w:space="708"/>
        </w:sectPr>
      </w:pPr>
    </w:p>
    <w:p>
      <w:pPr>
        <w:pStyle w:val="BodyText"/>
        <w:spacing w:before="7"/>
        <w:rPr>
          <w:sz w:val="16"/>
        </w:rPr>
      </w:pPr>
    </w:p>
    <w:p>
      <w:pPr>
        <w:pStyle w:val="ListParagraph"/>
        <w:numPr>
          <w:ilvl w:val="3"/>
          <w:numId w:val="25"/>
        </w:numPr>
        <w:tabs>
          <w:tab w:val="left" w:pos="1734"/>
        </w:tabs>
        <w:spacing w:before="79" w:after="0" w:line="240" w:lineRule="auto"/>
        <w:ind w:left="1733" w:right="0" w:hanging="421"/>
        <w:jc w:val="both"/>
        <w:rPr>
          <w:rFonts w:ascii="Times New Roman" w:eastAsia="Times New Roman"/>
          <w:sz w:val="21"/>
        </w:rPr>
      </w:pPr>
      <w:r>
        <w:rPr>
          <w:spacing w:val="-3"/>
          <w:sz w:val="21"/>
        </w:rPr>
        <w:t>维修及事故消除后的设备，应进行</w:t>
      </w:r>
      <w:r>
        <w:rPr>
          <w:rFonts w:ascii="Times New Roman" w:eastAsia="Times New Roman"/>
          <w:sz w:val="21"/>
        </w:rPr>
        <w:t>72</w:t>
      </w:r>
      <w:r>
        <w:rPr>
          <w:spacing w:val="-3"/>
          <w:sz w:val="21"/>
        </w:rPr>
        <w:t>小时监护运行。</w:t>
      </w:r>
    </w:p>
    <w:p>
      <w:pPr>
        <w:pStyle w:val="ListParagraph"/>
        <w:numPr>
          <w:ilvl w:val="2"/>
          <w:numId w:val="25"/>
        </w:numPr>
        <w:tabs>
          <w:tab w:val="left" w:pos="1472"/>
        </w:tabs>
        <w:spacing w:before="43" w:after="0" w:line="240" w:lineRule="auto"/>
        <w:ind w:left="1471" w:right="0" w:hanging="580"/>
        <w:jc w:val="both"/>
        <w:rPr>
          <w:sz w:val="21"/>
        </w:rPr>
      </w:pPr>
      <w:r>
        <w:rPr>
          <w:spacing w:val="-3"/>
          <w:sz w:val="21"/>
        </w:rPr>
        <w:t>一体化泵站的结构状况巡查应包括以下内容：</w:t>
      </w:r>
    </w:p>
    <w:p>
      <w:pPr>
        <w:pStyle w:val="ListParagraph"/>
        <w:numPr>
          <w:ilvl w:val="3"/>
          <w:numId w:val="25"/>
        </w:numPr>
        <w:tabs>
          <w:tab w:val="left" w:pos="1734"/>
        </w:tabs>
        <w:spacing w:before="43" w:after="0" w:line="240" w:lineRule="auto"/>
        <w:ind w:left="1733" w:right="0" w:hanging="421"/>
        <w:jc w:val="both"/>
        <w:rPr>
          <w:rFonts w:ascii="Times New Roman" w:eastAsia="Times New Roman"/>
          <w:sz w:val="21"/>
        </w:rPr>
      </w:pPr>
      <w:r>
        <w:rPr>
          <w:spacing w:val="-3"/>
          <w:sz w:val="21"/>
        </w:rPr>
        <w:t>护栏、围墙和检修盖板是否损坏，如发现损坏，应进行修补和更换；</w:t>
      </w:r>
    </w:p>
    <w:p>
      <w:pPr>
        <w:pStyle w:val="ListParagraph"/>
        <w:numPr>
          <w:ilvl w:val="3"/>
          <w:numId w:val="25"/>
        </w:numPr>
        <w:tabs>
          <w:tab w:val="left" w:pos="1734"/>
        </w:tabs>
        <w:spacing w:before="43" w:after="0" w:line="278" w:lineRule="auto"/>
        <w:ind w:left="1733" w:right="1152" w:hanging="420"/>
        <w:jc w:val="both"/>
        <w:rPr>
          <w:rFonts w:ascii="Times New Roman" w:eastAsia="Times New Roman"/>
          <w:sz w:val="21"/>
        </w:rPr>
      </w:pPr>
      <w:r>
        <w:rPr>
          <w:spacing w:val="-8"/>
          <w:sz w:val="21"/>
        </w:rPr>
        <w:t>泵站主体周围地坪土层是否下陷或倾斜，如发现周围地坪土层下陷或倾斜，应检查泵站主体是</w:t>
      </w:r>
      <w:r>
        <w:rPr>
          <w:spacing w:val="-12"/>
          <w:sz w:val="21"/>
        </w:rPr>
        <w:t>否下陷或倾斜，泵站进出水管是否泄漏；除顶盖部分等原设计地面以上部分，其他部分如露出</w:t>
      </w:r>
      <w:r>
        <w:rPr>
          <w:spacing w:val="-6"/>
          <w:sz w:val="21"/>
        </w:rPr>
        <w:t>地面，应及时进行回填或刷漆防护；</w:t>
      </w:r>
    </w:p>
    <w:p>
      <w:pPr>
        <w:pStyle w:val="ListParagraph"/>
        <w:numPr>
          <w:ilvl w:val="3"/>
          <w:numId w:val="25"/>
        </w:numPr>
        <w:tabs>
          <w:tab w:val="left" w:pos="1734"/>
        </w:tabs>
        <w:spacing w:before="0" w:after="0" w:line="278" w:lineRule="auto"/>
        <w:ind w:left="1733" w:right="1152" w:hanging="420"/>
        <w:jc w:val="both"/>
        <w:rPr>
          <w:rFonts w:ascii="Times New Roman" w:eastAsia="Times New Roman"/>
          <w:sz w:val="21"/>
        </w:rPr>
      </w:pPr>
      <w:r>
        <w:rPr>
          <w:spacing w:val="-2"/>
          <w:sz w:val="21"/>
        </w:rPr>
        <w:t>每年排空或清洁</w:t>
      </w:r>
      <w:r>
        <w:rPr>
          <w:rFonts w:ascii="Times New Roman" w:eastAsia="Times New Roman"/>
          <w:sz w:val="21"/>
        </w:rPr>
        <w:t>1</w:t>
      </w:r>
      <w:r>
        <w:rPr>
          <w:spacing w:val="-3"/>
          <w:sz w:val="21"/>
        </w:rPr>
        <w:t>次一体化泵站集水池，检查井筒和内部、管道和阀门等是否有渗漏和裂缝。如有渗漏和裂缝，应及时修补。</w:t>
      </w:r>
    </w:p>
    <w:p>
      <w:pPr>
        <w:pStyle w:val="ListParagraph"/>
        <w:numPr>
          <w:ilvl w:val="2"/>
          <w:numId w:val="25"/>
        </w:numPr>
        <w:tabs>
          <w:tab w:val="left" w:pos="1472"/>
        </w:tabs>
        <w:spacing w:before="0" w:after="0" w:line="269" w:lineRule="exact"/>
        <w:ind w:left="1471" w:right="0" w:hanging="580"/>
        <w:jc w:val="both"/>
        <w:rPr>
          <w:sz w:val="21"/>
        </w:rPr>
      </w:pPr>
      <w:r>
        <w:rPr>
          <w:spacing w:val="-6"/>
          <w:sz w:val="21"/>
        </w:rPr>
        <w:t xml:space="preserve">一体化预制泵站巡检养护频率为每周不应少于 </w:t>
      </w:r>
      <w:r>
        <w:rPr>
          <w:rFonts w:ascii="Calibri" w:eastAsia="Calibri"/>
          <w:sz w:val="21"/>
        </w:rPr>
        <w:t>1</w:t>
      </w:r>
      <w:r>
        <w:rPr>
          <w:rFonts w:ascii="Calibri" w:eastAsia="Calibri"/>
          <w:spacing w:val="5"/>
          <w:sz w:val="21"/>
        </w:rPr>
        <w:t xml:space="preserve"> </w:t>
      </w:r>
      <w:r>
        <w:rPr>
          <w:spacing w:val="-3"/>
          <w:sz w:val="21"/>
        </w:rPr>
        <w:t>次，巡查养护的内容应符合下列规定：</w:t>
      </w:r>
    </w:p>
    <w:p>
      <w:pPr>
        <w:pStyle w:val="ListParagraph"/>
        <w:numPr>
          <w:ilvl w:val="3"/>
          <w:numId w:val="25"/>
        </w:numPr>
        <w:tabs>
          <w:tab w:val="left" w:pos="1733"/>
          <w:tab w:val="left" w:pos="1734"/>
        </w:tabs>
        <w:spacing w:before="42" w:after="0" w:line="240" w:lineRule="auto"/>
        <w:ind w:left="1733" w:right="0" w:hanging="421"/>
        <w:jc w:val="left"/>
        <w:rPr>
          <w:rFonts w:ascii="Times New Roman" w:eastAsia="Times New Roman"/>
          <w:sz w:val="21"/>
        </w:rPr>
      </w:pPr>
      <w:r>
        <w:rPr>
          <w:spacing w:val="-3"/>
          <w:sz w:val="21"/>
        </w:rPr>
        <w:t>一体化泵站计算机和控制系统的监测仪表显示应正常，如有报警，应及时查验并处理；</w:t>
      </w:r>
    </w:p>
    <w:p>
      <w:pPr>
        <w:pStyle w:val="ListParagraph"/>
        <w:numPr>
          <w:ilvl w:val="3"/>
          <w:numId w:val="25"/>
        </w:numPr>
        <w:tabs>
          <w:tab w:val="left" w:pos="1733"/>
          <w:tab w:val="left" w:pos="1734"/>
        </w:tabs>
        <w:spacing w:before="43" w:after="0" w:line="240" w:lineRule="auto"/>
        <w:ind w:left="1733" w:right="0" w:hanging="421"/>
        <w:jc w:val="left"/>
        <w:rPr>
          <w:rFonts w:ascii="Times New Roman" w:eastAsia="Times New Roman"/>
          <w:sz w:val="21"/>
        </w:rPr>
      </w:pPr>
      <w:r>
        <w:rPr>
          <w:spacing w:val="-3"/>
          <w:sz w:val="21"/>
        </w:rPr>
        <w:t>控制柜内元器件和线路应无老化或破损的现象，并应保持柜内干净整洁；</w:t>
      </w:r>
    </w:p>
    <w:p>
      <w:pPr>
        <w:pStyle w:val="ListParagraph"/>
        <w:numPr>
          <w:ilvl w:val="3"/>
          <w:numId w:val="25"/>
        </w:numPr>
        <w:tabs>
          <w:tab w:val="left" w:pos="1733"/>
          <w:tab w:val="left" w:pos="1734"/>
        </w:tabs>
        <w:spacing w:before="44" w:after="0" w:line="240" w:lineRule="auto"/>
        <w:ind w:left="1733" w:right="0" w:hanging="421"/>
        <w:jc w:val="left"/>
        <w:rPr>
          <w:rFonts w:ascii="Times New Roman" w:eastAsia="Times New Roman"/>
          <w:sz w:val="21"/>
        </w:rPr>
      </w:pPr>
      <w:r>
        <w:rPr>
          <w:spacing w:val="-3"/>
          <w:sz w:val="21"/>
        </w:rPr>
        <w:t>水泵和格栅等一体化泵站主要设备的运行电流、电压应正常；</w:t>
      </w:r>
    </w:p>
    <w:p>
      <w:pPr>
        <w:pStyle w:val="ListParagraph"/>
        <w:numPr>
          <w:ilvl w:val="3"/>
          <w:numId w:val="25"/>
        </w:numPr>
        <w:tabs>
          <w:tab w:val="left" w:pos="1733"/>
          <w:tab w:val="left" w:pos="1734"/>
        </w:tabs>
        <w:spacing w:before="43" w:after="0" w:line="240" w:lineRule="auto"/>
        <w:ind w:left="1733" w:right="0" w:hanging="421"/>
        <w:jc w:val="left"/>
        <w:rPr>
          <w:rFonts w:ascii="Times New Roman" w:eastAsia="Times New Roman"/>
          <w:sz w:val="21"/>
        </w:rPr>
      </w:pPr>
      <w:r>
        <w:rPr>
          <w:spacing w:val="-3"/>
          <w:sz w:val="21"/>
        </w:rPr>
        <w:t>水泵和格栅等一体化泵站主要设备运行的噪声及振动应正常；</w:t>
      </w:r>
    </w:p>
    <w:p>
      <w:pPr>
        <w:pStyle w:val="ListParagraph"/>
        <w:numPr>
          <w:ilvl w:val="3"/>
          <w:numId w:val="25"/>
        </w:numPr>
        <w:tabs>
          <w:tab w:val="left" w:pos="1733"/>
          <w:tab w:val="left" w:pos="1734"/>
        </w:tabs>
        <w:spacing w:before="43" w:after="0" w:line="240" w:lineRule="auto"/>
        <w:ind w:left="1733" w:right="0" w:hanging="421"/>
        <w:jc w:val="left"/>
        <w:rPr>
          <w:rFonts w:ascii="Times New Roman" w:eastAsia="Times New Roman"/>
          <w:sz w:val="21"/>
        </w:rPr>
      </w:pPr>
      <w:r>
        <w:rPr>
          <w:spacing w:val="-3"/>
          <w:sz w:val="21"/>
        </w:rPr>
        <w:t>一体化泵站的闸门、阀门、拍门开启应正常；</w:t>
      </w:r>
    </w:p>
    <w:p>
      <w:pPr>
        <w:pStyle w:val="ListParagraph"/>
        <w:numPr>
          <w:ilvl w:val="3"/>
          <w:numId w:val="25"/>
        </w:numPr>
        <w:tabs>
          <w:tab w:val="left" w:pos="1733"/>
          <w:tab w:val="left" w:pos="1734"/>
        </w:tabs>
        <w:spacing w:before="43" w:after="0" w:line="240" w:lineRule="auto"/>
        <w:ind w:left="1733" w:right="0" w:hanging="421"/>
        <w:jc w:val="left"/>
        <w:rPr>
          <w:rFonts w:ascii="Times New Roman" w:eastAsia="Times New Roman"/>
          <w:sz w:val="21"/>
        </w:rPr>
      </w:pPr>
      <w:r>
        <w:rPr>
          <w:spacing w:val="-3"/>
          <w:sz w:val="21"/>
        </w:rPr>
        <w:t>一体化泵站入流量、出水量和出水压力应正常；</w:t>
      </w:r>
    </w:p>
    <w:p>
      <w:pPr>
        <w:pStyle w:val="ListParagraph"/>
        <w:numPr>
          <w:ilvl w:val="3"/>
          <w:numId w:val="25"/>
        </w:numPr>
        <w:tabs>
          <w:tab w:val="left" w:pos="1733"/>
          <w:tab w:val="left" w:pos="1734"/>
        </w:tabs>
        <w:spacing w:before="42" w:after="0" w:line="240" w:lineRule="auto"/>
        <w:ind w:left="1733" w:right="0" w:hanging="421"/>
        <w:jc w:val="left"/>
        <w:rPr>
          <w:rFonts w:ascii="Times New Roman" w:eastAsia="Times New Roman"/>
          <w:sz w:val="21"/>
        </w:rPr>
      </w:pPr>
      <w:r>
        <w:rPr>
          <w:spacing w:val="-3"/>
          <w:sz w:val="21"/>
        </w:rPr>
        <w:t>一体化泵站内的液位和液位控制系统应正常；</w:t>
      </w:r>
    </w:p>
    <w:p>
      <w:pPr>
        <w:pStyle w:val="ListParagraph"/>
        <w:numPr>
          <w:ilvl w:val="3"/>
          <w:numId w:val="25"/>
        </w:numPr>
        <w:tabs>
          <w:tab w:val="left" w:pos="1733"/>
          <w:tab w:val="left" w:pos="1734"/>
        </w:tabs>
        <w:spacing w:before="43" w:after="0" w:line="240" w:lineRule="auto"/>
        <w:ind w:left="1733" w:right="0" w:hanging="421"/>
        <w:jc w:val="left"/>
        <w:rPr>
          <w:rFonts w:ascii="Times New Roman" w:eastAsia="Times New Roman"/>
          <w:sz w:val="21"/>
        </w:rPr>
      </w:pPr>
      <w:r>
        <w:rPr>
          <w:spacing w:val="-3"/>
          <w:sz w:val="21"/>
        </w:rPr>
        <w:t>当集水池液面上存在漂浮物时，应进行清理；</w:t>
      </w:r>
    </w:p>
    <w:p>
      <w:pPr>
        <w:pStyle w:val="ListParagraph"/>
        <w:numPr>
          <w:ilvl w:val="3"/>
          <w:numId w:val="25"/>
        </w:numPr>
        <w:tabs>
          <w:tab w:val="left" w:pos="1733"/>
          <w:tab w:val="left" w:pos="1734"/>
        </w:tabs>
        <w:spacing w:before="43" w:after="0" w:line="278" w:lineRule="auto"/>
        <w:ind w:left="1733" w:right="1152" w:hanging="420"/>
        <w:jc w:val="left"/>
        <w:rPr>
          <w:rFonts w:ascii="Times New Roman" w:eastAsia="Times New Roman"/>
          <w:sz w:val="21"/>
        </w:rPr>
      </w:pPr>
      <w:r>
        <w:rPr>
          <w:spacing w:val="-8"/>
          <w:sz w:val="21"/>
        </w:rPr>
        <w:t>当一体化泵站配套提篮式格栅时，应根据进水水质的实际情况，每天观察并定期进行提升和清理；</w:t>
      </w:r>
    </w:p>
    <w:p>
      <w:pPr>
        <w:pStyle w:val="ListParagraph"/>
        <w:numPr>
          <w:ilvl w:val="3"/>
          <w:numId w:val="25"/>
        </w:numPr>
        <w:tabs>
          <w:tab w:val="left" w:pos="1733"/>
          <w:tab w:val="left" w:pos="1734"/>
        </w:tabs>
        <w:spacing w:before="0" w:after="0" w:line="269" w:lineRule="exact"/>
        <w:ind w:left="1733" w:right="0" w:hanging="421"/>
        <w:jc w:val="left"/>
        <w:rPr>
          <w:rFonts w:ascii="Times New Roman" w:eastAsia="Times New Roman"/>
          <w:sz w:val="21"/>
        </w:rPr>
      </w:pPr>
      <w:r>
        <w:rPr>
          <w:spacing w:val="-3"/>
          <w:sz w:val="21"/>
        </w:rPr>
        <w:t>应及时清除格栅、水泵堵塞物，定期清理集水池内积泥及浮渣；</w:t>
      </w:r>
    </w:p>
    <w:p>
      <w:pPr>
        <w:pStyle w:val="ListParagraph"/>
        <w:numPr>
          <w:ilvl w:val="3"/>
          <w:numId w:val="25"/>
        </w:numPr>
        <w:tabs>
          <w:tab w:val="left" w:pos="1733"/>
          <w:tab w:val="left" w:pos="1734"/>
        </w:tabs>
        <w:spacing w:before="43" w:after="0" w:line="278" w:lineRule="auto"/>
        <w:ind w:left="1733" w:right="1152" w:hanging="420"/>
        <w:jc w:val="left"/>
        <w:rPr>
          <w:rFonts w:ascii="Times New Roman" w:eastAsia="Times New Roman"/>
          <w:sz w:val="21"/>
        </w:rPr>
      </w:pPr>
      <w:r>
        <w:drawing>
          <wp:anchor distT="0" distB="0" distL="0" distR="0" simplePos="0" relativeHeight="251684864" behindDoc="0" locked="0" layoutInCell="1" allowOverlap="1">
            <wp:simplePos x="0" y="0"/>
            <wp:positionH relativeFrom="page">
              <wp:posOffset>215900</wp:posOffset>
            </wp:positionH>
            <wp:positionV relativeFrom="paragraph">
              <wp:posOffset>70103</wp:posOffset>
            </wp:positionV>
            <wp:extent cx="7112000" cy="4876800"/>
            <wp:effectExtent l="0" t="0" r="0" b="0"/>
            <wp:wrapNone/>
            <wp:docPr id="4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1.png"/>
                    <pic:cNvPicPr/>
                  </pic:nvPicPr>
                  <pic:blipFill>
                    <a:blip xmlns:r="http://schemas.openxmlformats.org/officeDocument/2006/relationships" r:embed="rId4" cstate="print"/>
                    <a:stretch>
                      <a:fillRect/>
                    </a:stretch>
                  </pic:blipFill>
                  <pic:spPr>
                    <a:xfrm>
                      <a:off x="0" y="0"/>
                      <a:ext cx="7112000" cy="4876800"/>
                    </a:xfrm>
                    <a:prstGeom prst="rect">
                      <a:avLst/>
                    </a:prstGeom>
                  </pic:spPr>
                </pic:pic>
              </a:graphicData>
            </a:graphic>
          </wp:anchor>
        </w:drawing>
      </w:r>
      <w:r>
        <w:rPr>
          <w:spacing w:val="-9"/>
          <w:sz w:val="21"/>
        </w:rPr>
        <w:t>应检测通气管道是否通畅，确保泵池内有毒有害气体的浓度在可控范围，谨防产生爆炸的可能</w:t>
      </w:r>
      <w:r>
        <w:rPr>
          <w:spacing w:val="-5"/>
          <w:sz w:val="21"/>
        </w:rPr>
        <w:t>性，若发现有毒有害气体浓度超标应及时采取措施。</w:t>
      </w:r>
    </w:p>
    <w:p>
      <w:pPr>
        <w:pStyle w:val="ListParagraph"/>
        <w:numPr>
          <w:ilvl w:val="2"/>
          <w:numId w:val="25"/>
        </w:numPr>
        <w:tabs>
          <w:tab w:val="left" w:pos="1472"/>
        </w:tabs>
        <w:spacing w:before="0" w:after="0" w:line="278" w:lineRule="auto"/>
        <w:ind w:left="892" w:right="1154" w:firstLine="0"/>
        <w:jc w:val="left"/>
        <w:rPr>
          <w:sz w:val="21"/>
        </w:rPr>
      </w:pPr>
      <w:r>
        <w:rPr>
          <w:spacing w:val="-5"/>
          <w:sz w:val="21"/>
        </w:rPr>
        <w:t>一体化泵站的运行应满足相应泵站操作管理手册的要求，并应符合国家现行泵站运行维护相关标</w:t>
      </w:r>
      <w:r>
        <w:rPr>
          <w:spacing w:val="-4"/>
          <w:sz w:val="21"/>
        </w:rPr>
        <w:t>准的规定。</w:t>
      </w:r>
    </w:p>
    <w:p>
      <w:pPr>
        <w:pStyle w:val="ListParagraph"/>
        <w:numPr>
          <w:ilvl w:val="2"/>
          <w:numId w:val="25"/>
        </w:numPr>
        <w:tabs>
          <w:tab w:val="left" w:pos="1472"/>
        </w:tabs>
        <w:spacing w:before="0" w:after="0" w:line="240" w:lineRule="auto"/>
        <w:ind w:left="1471" w:right="0" w:hanging="580"/>
        <w:jc w:val="left"/>
        <w:rPr>
          <w:sz w:val="21"/>
        </w:rPr>
      </w:pPr>
      <w:r>
        <w:rPr>
          <w:spacing w:val="-3"/>
          <w:sz w:val="21"/>
        </w:rPr>
        <w:t>一体化泵站的日常运行，应采用自动控制。当发生自控失效时，应及时修复。</w:t>
      </w:r>
    </w:p>
    <w:p>
      <w:pPr>
        <w:pStyle w:val="ListParagraph"/>
        <w:numPr>
          <w:ilvl w:val="2"/>
          <w:numId w:val="25"/>
        </w:numPr>
        <w:tabs>
          <w:tab w:val="left" w:pos="1472"/>
        </w:tabs>
        <w:spacing w:before="43" w:after="0" w:line="278" w:lineRule="auto"/>
        <w:ind w:left="892" w:right="1154" w:firstLine="0"/>
        <w:jc w:val="left"/>
        <w:rPr>
          <w:sz w:val="21"/>
        </w:rPr>
      </w:pPr>
      <w:r>
        <w:rPr>
          <w:spacing w:val="-5"/>
          <w:sz w:val="21"/>
        </w:rPr>
        <w:t>采用计算机监控系统实现自动监视和控制的一体化泵站，应根据各一体化泵站的具体情况制定计</w:t>
      </w:r>
      <w:r>
        <w:rPr>
          <w:spacing w:val="-4"/>
          <w:sz w:val="21"/>
        </w:rPr>
        <w:t>算机监控系统运行管理制度。</w:t>
      </w:r>
    </w:p>
    <w:p>
      <w:pPr>
        <w:pStyle w:val="ListParagraph"/>
        <w:numPr>
          <w:ilvl w:val="2"/>
          <w:numId w:val="25"/>
        </w:numPr>
        <w:tabs>
          <w:tab w:val="left" w:pos="1472"/>
        </w:tabs>
        <w:spacing w:before="0" w:after="0" w:line="278" w:lineRule="auto"/>
        <w:ind w:left="892" w:right="1154" w:firstLine="0"/>
        <w:jc w:val="left"/>
        <w:rPr>
          <w:sz w:val="21"/>
        </w:rPr>
      </w:pPr>
      <w:r>
        <w:rPr>
          <w:spacing w:val="-8"/>
          <w:sz w:val="21"/>
        </w:rPr>
        <w:t>一体化泵站的围栏、顶盖、控制柜、变配电箱等应上锁，并应设置清晰的警示标志，非操作人员</w:t>
      </w:r>
      <w:r>
        <w:rPr>
          <w:spacing w:val="-5"/>
          <w:sz w:val="21"/>
        </w:rPr>
        <w:t>不得进入或开启。</w:t>
      </w:r>
    </w:p>
    <w:p>
      <w:pPr>
        <w:pStyle w:val="ListParagraph"/>
        <w:numPr>
          <w:ilvl w:val="2"/>
          <w:numId w:val="25"/>
        </w:numPr>
        <w:tabs>
          <w:tab w:val="left" w:pos="1472"/>
        </w:tabs>
        <w:spacing w:before="0" w:after="0" w:line="269" w:lineRule="exact"/>
        <w:ind w:left="1471" w:right="0" w:hanging="580"/>
        <w:jc w:val="left"/>
        <w:rPr>
          <w:sz w:val="21"/>
        </w:rPr>
      </w:pPr>
      <w:r>
        <w:rPr>
          <w:spacing w:val="-3"/>
          <w:sz w:val="21"/>
        </w:rPr>
        <w:t>泵站起重设备、压力容器、易燃、易爆、有毒气体监测装置必须定期检测，合格后方可使用。</w:t>
      </w:r>
    </w:p>
    <w:p>
      <w:pPr>
        <w:pStyle w:val="ListParagraph"/>
        <w:numPr>
          <w:ilvl w:val="2"/>
          <w:numId w:val="25"/>
        </w:numPr>
        <w:tabs>
          <w:tab w:val="left" w:pos="1472"/>
        </w:tabs>
        <w:spacing w:before="43" w:after="0" w:line="278" w:lineRule="auto"/>
        <w:ind w:left="892" w:right="1154" w:firstLine="0"/>
        <w:jc w:val="left"/>
        <w:rPr>
          <w:sz w:val="21"/>
        </w:rPr>
      </w:pPr>
      <w:r>
        <w:rPr>
          <w:spacing w:val="-6"/>
          <w:sz w:val="21"/>
        </w:rPr>
        <w:t>当一体化泵站主要设备出现问题时，应及时采取应急处理措施，保证污水不外溢，同时安排专业</w:t>
      </w:r>
      <w:r>
        <w:rPr>
          <w:spacing w:val="-4"/>
          <w:sz w:val="21"/>
        </w:rPr>
        <w:t>维修人员进行抢修，保证污水收集系统的稳定运行。</w:t>
      </w:r>
    </w:p>
    <w:p>
      <w:pPr>
        <w:pStyle w:val="ListParagraph"/>
        <w:numPr>
          <w:ilvl w:val="2"/>
          <w:numId w:val="25"/>
        </w:numPr>
        <w:tabs>
          <w:tab w:val="left" w:pos="1578"/>
        </w:tabs>
        <w:spacing w:before="0" w:after="0" w:line="269" w:lineRule="exact"/>
        <w:ind w:left="1577" w:right="0" w:hanging="686"/>
        <w:jc w:val="left"/>
        <w:rPr>
          <w:sz w:val="21"/>
        </w:rPr>
      </w:pPr>
      <w:r>
        <w:rPr>
          <w:spacing w:val="-6"/>
          <w:sz w:val="21"/>
        </w:rPr>
        <w:t xml:space="preserve">水泵维修后，流量不应低于原设计流量的 </w:t>
      </w:r>
      <w:r>
        <w:rPr>
          <w:rFonts w:ascii="Calibri" w:eastAsia="Calibri"/>
          <w:sz w:val="21"/>
        </w:rPr>
        <w:t>90%</w:t>
      </w:r>
      <w:r>
        <w:rPr>
          <w:spacing w:val="-6"/>
          <w:sz w:val="21"/>
        </w:rPr>
        <w:t xml:space="preserve">，机组效率不应低于原机组效率的 </w:t>
      </w:r>
      <w:r>
        <w:rPr>
          <w:rFonts w:ascii="Calibri" w:eastAsia="Calibri"/>
          <w:sz w:val="21"/>
        </w:rPr>
        <w:t>90%</w:t>
      </w:r>
      <w:r>
        <w:rPr>
          <w:sz w:val="21"/>
        </w:rPr>
        <w:t>。</w:t>
      </w:r>
    </w:p>
    <w:p>
      <w:pPr>
        <w:pStyle w:val="BodyText"/>
        <w:spacing w:before="6"/>
        <w:rPr>
          <w:sz w:val="15"/>
        </w:rPr>
      </w:pPr>
    </w:p>
    <w:p>
      <w:pPr>
        <w:pStyle w:val="ListParagraph"/>
        <w:numPr>
          <w:ilvl w:val="1"/>
          <w:numId w:val="25"/>
        </w:numPr>
        <w:tabs>
          <w:tab w:val="left" w:pos="1316"/>
        </w:tabs>
        <w:spacing w:before="1" w:after="0" w:line="240" w:lineRule="auto"/>
        <w:ind w:left="1315" w:right="0" w:hanging="424"/>
        <w:jc w:val="left"/>
        <w:rPr>
          <w:rFonts w:ascii="黑体" w:eastAsia="黑体" w:hint="eastAsia"/>
          <w:sz w:val="21"/>
        </w:rPr>
      </w:pPr>
      <w:r>
        <w:rPr>
          <w:rFonts w:ascii="黑体" w:eastAsia="黑体" w:hint="eastAsia"/>
          <w:spacing w:val="-3"/>
          <w:sz w:val="21"/>
        </w:rPr>
        <w:t>非一体化预制泵站</w:t>
      </w:r>
    </w:p>
    <w:p>
      <w:pPr>
        <w:pStyle w:val="BodyText"/>
        <w:spacing w:before="7"/>
        <w:rPr>
          <w:rFonts w:ascii="黑体"/>
          <w:sz w:val="15"/>
        </w:rPr>
      </w:pPr>
    </w:p>
    <w:p>
      <w:pPr>
        <w:pStyle w:val="ListParagraph"/>
        <w:numPr>
          <w:ilvl w:val="2"/>
          <w:numId w:val="25"/>
        </w:numPr>
        <w:tabs>
          <w:tab w:val="left" w:pos="1472"/>
        </w:tabs>
        <w:spacing w:before="0" w:after="0" w:line="240" w:lineRule="auto"/>
        <w:ind w:left="1471" w:right="0" w:hanging="580"/>
        <w:jc w:val="left"/>
        <w:rPr>
          <w:sz w:val="21"/>
        </w:rPr>
      </w:pPr>
      <w:r>
        <w:rPr>
          <w:spacing w:val="-3"/>
          <w:sz w:val="21"/>
        </w:rPr>
        <w:t>集水井、泵井和调节池运行应符合下列规定：</w:t>
      </w:r>
    </w:p>
    <w:p>
      <w:pPr>
        <w:pStyle w:val="ListParagraph"/>
        <w:numPr>
          <w:ilvl w:val="3"/>
          <w:numId w:val="25"/>
        </w:numPr>
        <w:tabs>
          <w:tab w:val="left" w:pos="1733"/>
          <w:tab w:val="left" w:pos="1734"/>
        </w:tabs>
        <w:spacing w:before="43" w:after="0" w:line="278" w:lineRule="auto"/>
        <w:ind w:left="1733" w:right="1152" w:hanging="420"/>
        <w:jc w:val="left"/>
        <w:rPr>
          <w:rFonts w:ascii="Times New Roman" w:eastAsia="Times New Roman"/>
          <w:sz w:val="21"/>
        </w:rPr>
      </w:pPr>
      <w:r>
        <w:rPr>
          <w:spacing w:val="-10"/>
          <w:sz w:val="21"/>
        </w:rPr>
        <w:t>多台水泵应间隔起动，不应同时起动；操作人员在水泵首次使用或长期停用后应先检查、后启</w:t>
      </w:r>
      <w:r>
        <w:rPr>
          <w:spacing w:val="-5"/>
          <w:sz w:val="21"/>
        </w:rPr>
        <w:t>动。至水泵运行稳定后，方可离开；</w:t>
      </w:r>
    </w:p>
    <w:p>
      <w:pPr>
        <w:pStyle w:val="ListParagraph"/>
        <w:numPr>
          <w:ilvl w:val="3"/>
          <w:numId w:val="25"/>
        </w:numPr>
        <w:tabs>
          <w:tab w:val="left" w:pos="1733"/>
          <w:tab w:val="left" w:pos="1734"/>
        </w:tabs>
        <w:spacing w:before="0" w:after="0" w:line="269" w:lineRule="exact"/>
        <w:ind w:left="1733" w:right="0" w:hanging="421"/>
        <w:jc w:val="left"/>
        <w:rPr>
          <w:rFonts w:ascii="Times New Roman" w:eastAsia="Times New Roman"/>
          <w:sz w:val="21"/>
        </w:rPr>
      </w:pPr>
      <w:r>
        <w:rPr>
          <w:spacing w:val="-3"/>
          <w:sz w:val="21"/>
        </w:rPr>
        <w:t>集水井、泵井、调节池水位应定时监控，应设定在最高和最低水位范围内；</w:t>
      </w:r>
    </w:p>
    <w:p>
      <w:pPr>
        <w:pStyle w:val="ListParagraph"/>
        <w:numPr>
          <w:ilvl w:val="3"/>
          <w:numId w:val="25"/>
        </w:numPr>
        <w:tabs>
          <w:tab w:val="left" w:pos="1733"/>
          <w:tab w:val="left" w:pos="1734"/>
        </w:tabs>
        <w:spacing w:before="43" w:after="0" w:line="240" w:lineRule="auto"/>
        <w:ind w:left="1733" w:right="0" w:hanging="421"/>
        <w:jc w:val="left"/>
        <w:rPr>
          <w:rFonts w:ascii="Times New Roman" w:eastAsia="Times New Roman"/>
          <w:sz w:val="21"/>
        </w:rPr>
      </w:pPr>
      <w:r>
        <w:rPr>
          <w:spacing w:val="-3"/>
          <w:sz w:val="21"/>
        </w:rPr>
        <w:t>水泵在运行中，应严格执行巡检制度，如果发现以下异常情况，应立即停机：</w:t>
      </w:r>
    </w:p>
    <w:p>
      <w:pPr>
        <w:pStyle w:val="ListParagraph"/>
        <w:numPr>
          <w:ilvl w:val="4"/>
          <w:numId w:val="25"/>
        </w:numPr>
        <w:tabs>
          <w:tab w:val="left" w:pos="1966"/>
        </w:tabs>
        <w:spacing w:before="43" w:after="0" w:line="240" w:lineRule="auto"/>
        <w:ind w:left="1966" w:right="0" w:hanging="233"/>
        <w:jc w:val="left"/>
        <w:rPr>
          <w:sz w:val="21"/>
        </w:rPr>
      </w:pPr>
      <w:r>
        <w:rPr>
          <w:spacing w:val="-3"/>
          <w:sz w:val="21"/>
        </w:rPr>
        <w:t>水泵发生异常声响或震动；</w:t>
      </w:r>
    </w:p>
    <w:p>
      <w:pPr>
        <w:pStyle w:val="ListParagraph"/>
        <w:numPr>
          <w:ilvl w:val="4"/>
          <w:numId w:val="25"/>
        </w:numPr>
        <w:tabs>
          <w:tab w:val="left" w:pos="1966"/>
        </w:tabs>
        <w:spacing w:before="43" w:after="0" w:line="240" w:lineRule="auto"/>
        <w:ind w:left="1966" w:right="0" w:hanging="233"/>
        <w:jc w:val="left"/>
        <w:rPr>
          <w:sz w:val="21"/>
        </w:rPr>
      </w:pPr>
      <w:r>
        <w:rPr>
          <w:spacing w:val="-3"/>
          <w:sz w:val="21"/>
        </w:rPr>
        <w:t>各种仪表显示不正常、波动较大；</w:t>
      </w:r>
    </w:p>
    <w:p>
      <w:pPr>
        <w:pStyle w:val="ListParagraph"/>
        <w:numPr>
          <w:ilvl w:val="4"/>
          <w:numId w:val="25"/>
        </w:numPr>
        <w:tabs>
          <w:tab w:val="left" w:pos="1966"/>
        </w:tabs>
        <w:spacing w:before="43" w:after="0" w:line="240" w:lineRule="auto"/>
        <w:ind w:left="1966" w:right="0" w:hanging="233"/>
        <w:jc w:val="left"/>
        <w:rPr>
          <w:sz w:val="21"/>
        </w:rPr>
      </w:pPr>
      <w:r>
        <w:rPr>
          <w:spacing w:val="-3"/>
          <w:sz w:val="21"/>
        </w:rPr>
        <w:t>轴承温升超过产品规定的许用温度；</w:t>
      </w:r>
    </w:p>
    <w:p>
      <w:pPr>
        <w:spacing w:before="147"/>
        <w:ind w:left="1090" w:right="0" w:firstLine="0"/>
        <w:jc w:val="left"/>
        <w:rPr>
          <w:sz w:val="18"/>
        </w:rPr>
      </w:pPr>
      <w:r>
        <w:rPr>
          <w:sz w:val="18"/>
        </w:rPr>
        <w:t xml:space="preserve">12 </w:t>
      </w:r>
    </w:p>
    <w:p>
      <w:pPr>
        <w:spacing w:after="0"/>
        <w:jc w:val="left"/>
        <w:rPr>
          <w:sz w:val="18"/>
        </w:rPr>
      </w:pPr>
      <w:r>
        <w:rPr>
          <w:sz w:val="18"/>
        </w:rPr>
        <w:br/>
      </w:r>
      <w:r>
        <w:rPr>
          <w:sz w:val="18"/>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2" w:history="1">
        <w:r>
          <w:rPr>
            <w:rFonts w:ascii="SimSun" w:eastAsia="SimSun" w:hAnsi="SimSun" w:cs="SimSun"/>
            <w:b/>
            <w:bCs/>
            <w:color w:val="0000EE"/>
            <w:sz w:val="30"/>
            <w:szCs w:val="30"/>
            <w:u w:val="single" w:color="0000EE"/>
          </w:rPr>
          <w:t>https://d.book118.com/755242340134011042</w:t>
        </w:r>
      </w:hyperlink>
    </w:p>
    <w:p>
      <w:pPr>
        <w:spacing w:after="0"/>
        <w:jc w:val="left"/>
        <w:rPr>
          <w:sz w:val="18"/>
        </w:rPr>
      </w:pPr>
    </w:p>
    <w:sectPr>
      <w:headerReference w:type="even" r:id="rId43"/>
      <w:headerReference w:type="default" r:id="rId44"/>
      <w:pgSz w:w="11910" w:h="16840"/>
      <w:pgMar w:top="1640" w:right="260" w:bottom="280" w:left="240" w:header="1448" w:footer="0"/>
      <w:pgNumType w:start="19"/>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Arial">
    <w:altName w:val="Arial"/>
    <w:charset w:val="00"/>
    <w:family w:val="swiss"/>
    <w:pitch w:val="variable"/>
    <w:sig w:usb0="00000000" w:usb1="00000000" w:usb2="00000000" w:usb3="00000000" w:csb0="00000001" w:csb1="00000000"/>
  </w:font>
  <w:font w:name="黑体">
    <w:altName w:val="黑体"/>
    <w:charset w:val="86"/>
    <w:family w:val="modern"/>
    <w:pitch w:val="fixed"/>
    <w:sig w:usb0="00000000" w:usb1="00000000" w:usb2="00000000" w:usb3="00000000" w:csb0="00040000" w:csb1="00000000"/>
  </w:font>
  <w:font w:name="宋体">
    <w:altName w:val="宋体"/>
    <w:charset w:val="86"/>
    <w:family w:val="auto"/>
    <w:pitch w:val="variable"/>
    <w:sig w:usb0="00000000" w:usb1="00000000" w:usb2="00000000" w:usb3="00000000" w:csb0="00040000" w:csb1="00000000"/>
  </w:font>
  <w:font w:name="Calibri">
    <w:altName w:val="Calibri"/>
    <w:charset w:val="00"/>
    <w:family w:val="swiss"/>
    <w:pitch w:val="variable"/>
    <w:sig w:usb0="00000000" w:usb1="00000000" w:usb2="00000000" w:usb3="00000000" w:csb0="00000001"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width:91.45pt;height:12.6pt;margin-top:71.28pt;margin-left:448.38pt;mso-position-horizontal-relative:page;mso-position-vertical-relative:page;position:absolute;z-index:-251658240" filled="f" stroked="f">
          <v:textbox inset="0,0,0,0">
            <w:txbxContent>
              <w:p>
                <w:pPr>
                  <w:pStyle w:val="BodyText"/>
                  <w:spacing w:line="251" w:lineRule="exact"/>
                  <w:ind w:left="20"/>
                  <w:rPr>
                    <w:rFonts w:ascii="黑体" w:hAnsi="黑体"/>
                  </w:rPr>
                </w:pPr>
                <w:r>
                  <w:rPr>
                    <w:rFonts w:ascii="黑体" w:hAnsi="黑体"/>
                  </w:rPr>
                  <w:t>DB42/T 2157</w:t>
                </w:r>
                <w:r>
                  <w:t>—</w:t>
                </w:r>
                <w:r>
                  <w:rPr>
                    <w:rFonts w:ascii="黑体" w:hAnsi="黑体"/>
                  </w:rPr>
                  <w:t>2023</w:t>
                </w:r>
              </w:p>
            </w:txbxContent>
          </v:textbox>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6" type="#_x0000_t202" style="width:91.4pt;height:12.6pt;margin-top:71.28pt;margin-left:69.82pt;mso-position-horizontal-relative:page;mso-position-vertical-relative:page;position:absolute;z-index:-251651072" filled="f" stroked="f">
          <v:textbox inset="0,0,0,0">
            <w:txbxContent>
              <w:p>
                <w:pPr>
                  <w:pStyle w:val="BodyText"/>
                  <w:spacing w:line="251" w:lineRule="exact"/>
                  <w:ind w:left="20"/>
                  <w:rPr>
                    <w:rFonts w:ascii="黑体" w:hAnsi="黑体"/>
                  </w:rPr>
                </w:pPr>
                <w:r>
                  <w:rPr>
                    <w:rFonts w:ascii="黑体" w:hAnsi="黑体"/>
                  </w:rPr>
                  <w:t>DB42/T 2157</w:t>
                </w:r>
                <w:r>
                  <w:t>—</w:t>
                </w:r>
                <w:r>
                  <w:rPr>
                    <w:rFonts w:ascii="黑体" w:hAnsi="黑体"/>
                  </w:rPr>
                  <w:t>2023</w:t>
                </w:r>
              </w:p>
            </w:txbxContent>
          </v:textbox>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5" type="#_x0000_t202" style="width:91.45pt;height:12.6pt;margin-top:71.4pt;margin-left:448.5pt;mso-position-horizontal-relative:page;mso-position-vertical-relative:page;position:absolute;z-index:-251652096" filled="f" stroked="f">
          <v:textbox inset="0,0,0,0">
            <w:txbxContent>
              <w:p>
                <w:pPr>
                  <w:pStyle w:val="BodyText"/>
                  <w:spacing w:line="251" w:lineRule="exact"/>
                  <w:ind w:left="20"/>
                  <w:rPr>
                    <w:rFonts w:ascii="黑体" w:hAnsi="黑体"/>
                  </w:rPr>
                </w:pPr>
                <w:r>
                  <w:rPr>
                    <w:rFonts w:ascii="黑体" w:hAnsi="黑体"/>
                  </w:rPr>
                  <w:t>DB42/T 2157</w:t>
                </w:r>
                <w:r>
                  <w:t>—</w:t>
                </w:r>
                <w:r>
                  <w:rPr>
                    <w:rFonts w:ascii="黑体" w:hAnsi="黑体"/>
                  </w:rPr>
                  <w:t>2023</w:t>
                </w:r>
              </w:p>
            </w:txbxContent>
          </v:textbox>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8" type="#_x0000_t202" style="width:91.4pt;height:12.6pt;margin-top:71.28pt;margin-left:69.82pt;mso-position-horizontal-relative:page;mso-position-vertical-relative:page;position:absolute;z-index:-251649024" filled="f" stroked="f">
          <v:textbox inset="0,0,0,0">
            <w:txbxContent>
              <w:p>
                <w:pPr>
                  <w:pStyle w:val="BodyText"/>
                  <w:spacing w:line="251" w:lineRule="exact"/>
                  <w:ind w:left="20"/>
                  <w:rPr>
                    <w:rFonts w:ascii="黑体" w:hAnsi="黑体"/>
                  </w:rPr>
                </w:pPr>
                <w:r>
                  <w:rPr>
                    <w:rFonts w:ascii="黑体" w:hAnsi="黑体"/>
                  </w:rPr>
                  <w:t>DB42/T 2157</w:t>
                </w:r>
                <w:r>
                  <w:t>—</w:t>
                </w:r>
                <w:r>
                  <w:rPr>
                    <w:rFonts w:ascii="黑体" w:hAnsi="黑体"/>
                  </w:rPr>
                  <w:t>2023</w:t>
                </w:r>
              </w:p>
            </w:txbxContent>
          </v:textbox>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7" type="#_x0000_t202" style="width:91.45pt;height:12.6pt;margin-top:71.4pt;margin-left:448.5pt;mso-position-horizontal-relative:page;mso-position-vertical-relative:page;position:absolute;z-index:-251650048" filled="f" stroked="f">
          <v:textbox inset="0,0,0,0">
            <w:txbxContent>
              <w:p>
                <w:pPr>
                  <w:pStyle w:val="BodyText"/>
                  <w:spacing w:line="251" w:lineRule="exact"/>
                  <w:ind w:left="20"/>
                  <w:rPr>
                    <w:rFonts w:ascii="黑体" w:hAnsi="黑体"/>
                  </w:rPr>
                </w:pPr>
                <w:r>
                  <w:rPr>
                    <w:rFonts w:ascii="黑体" w:hAnsi="黑体"/>
                  </w:rPr>
                  <w:t>DB42/T 2157</w:t>
                </w:r>
                <w:r>
                  <w:t>—</w:t>
                </w:r>
                <w:r>
                  <w:rPr>
                    <w:rFonts w:ascii="黑体" w:hAnsi="黑体"/>
                  </w:rPr>
                  <w:t>2023</w:t>
                </w:r>
              </w:p>
            </w:txbxContent>
          </v:textbox>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0" type="#_x0000_t202" style="width:91.4pt;height:12.6pt;margin-top:71.28pt;margin-left:69.82pt;mso-position-horizontal-relative:page;mso-position-vertical-relative:page;position:absolute;z-index:-251646976" filled="f" stroked="f">
          <v:textbox inset="0,0,0,0">
            <w:txbxContent>
              <w:p>
                <w:pPr>
                  <w:pStyle w:val="BodyText"/>
                  <w:spacing w:line="251" w:lineRule="exact"/>
                  <w:ind w:left="20"/>
                  <w:rPr>
                    <w:rFonts w:ascii="黑体" w:hAnsi="黑体"/>
                  </w:rPr>
                </w:pPr>
                <w:r>
                  <w:rPr>
                    <w:rFonts w:ascii="黑体" w:hAnsi="黑体"/>
                  </w:rPr>
                  <w:t>DB42/T 2157</w:t>
                </w:r>
                <w:r>
                  <w:t>—</w:t>
                </w:r>
                <w:r>
                  <w:rPr>
                    <w:rFonts w:ascii="黑体" w:hAnsi="黑体"/>
                  </w:rPr>
                  <w:t>2023</w:t>
                </w:r>
              </w:p>
            </w:txbxContent>
          </v:textbox>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9" type="#_x0000_t202" style="width:91.45pt;height:12.6pt;margin-top:71.4pt;margin-left:448.5pt;mso-position-horizontal-relative:page;mso-position-vertical-relative:page;position:absolute;z-index:-251648000" filled="f" stroked="f">
          <v:textbox inset="0,0,0,0">
            <w:txbxContent>
              <w:p>
                <w:pPr>
                  <w:pStyle w:val="BodyText"/>
                  <w:spacing w:line="251" w:lineRule="exact"/>
                  <w:ind w:left="20"/>
                  <w:rPr>
                    <w:rFonts w:ascii="黑体" w:hAnsi="黑体"/>
                  </w:rPr>
                </w:pPr>
                <w:r>
                  <w:rPr>
                    <w:rFonts w:ascii="黑体" w:hAnsi="黑体"/>
                  </w:rPr>
                  <w:t>DB42/T 2157</w:t>
                </w:r>
                <w:r>
                  <w:t>—</w:t>
                </w:r>
                <w:r>
                  <w:rPr>
                    <w:rFonts w:ascii="黑体" w:hAnsi="黑体"/>
                  </w:rPr>
                  <w:t>2023</w:t>
                </w:r>
              </w:p>
            </w:txbxContent>
          </v:textbox>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2" type="#_x0000_t202" style="width:91.4pt;height:12.6pt;margin-top:71.28pt;margin-left:69.82pt;mso-position-horizontal-relative:page;mso-position-vertical-relative:page;position:absolute;z-index:-251644928" filled="f" stroked="f">
          <v:textbox inset="0,0,0,0">
            <w:txbxContent>
              <w:p>
                <w:pPr>
                  <w:pStyle w:val="BodyText"/>
                  <w:spacing w:line="251" w:lineRule="exact"/>
                  <w:ind w:left="20"/>
                  <w:rPr>
                    <w:rFonts w:ascii="黑体" w:hAnsi="黑体"/>
                  </w:rPr>
                </w:pPr>
                <w:r>
                  <w:rPr>
                    <w:rFonts w:ascii="黑体" w:hAnsi="黑体"/>
                  </w:rPr>
                  <w:t>DB42/T 2157</w:t>
                </w:r>
                <w:r>
                  <w:t>—</w:t>
                </w:r>
                <w:r>
                  <w:rPr>
                    <w:rFonts w:ascii="黑体" w:hAnsi="黑体"/>
                  </w:rPr>
                  <w:t>2023</w:t>
                </w:r>
              </w:p>
            </w:txbxContent>
          </v:textbox>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1" type="#_x0000_t202" style="width:91.45pt;height:12.6pt;margin-top:71.4pt;margin-left:448.5pt;mso-position-horizontal-relative:page;mso-position-vertical-relative:page;position:absolute;z-index:-251645952" filled="f" stroked="f">
          <v:textbox inset="0,0,0,0">
            <w:txbxContent>
              <w:p>
                <w:pPr>
                  <w:pStyle w:val="BodyText"/>
                  <w:spacing w:line="251" w:lineRule="exact"/>
                  <w:ind w:left="20"/>
                  <w:rPr>
                    <w:rFonts w:ascii="黑体" w:hAnsi="黑体"/>
                  </w:rPr>
                </w:pPr>
                <w:r>
                  <w:rPr>
                    <w:rFonts w:ascii="黑体" w:hAnsi="黑体"/>
                  </w:rPr>
                  <w:t>DB42/T 2157</w:t>
                </w:r>
                <w:r>
                  <w:t>—</w:t>
                </w:r>
                <w:r>
                  <w:rPr>
                    <w:rFonts w:ascii="黑体" w:hAnsi="黑体"/>
                  </w:rPr>
                  <w:t>2023</w:t>
                </w:r>
              </w:p>
            </w:txbxContent>
          </v:textbox>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4" type="#_x0000_t202" style="width:91.4pt;height:12.6pt;margin-top:71.28pt;margin-left:69.82pt;mso-position-horizontal-relative:page;mso-position-vertical-relative:page;position:absolute;z-index:-251642880" filled="f" stroked="f">
          <v:textbox inset="0,0,0,0">
            <w:txbxContent>
              <w:p>
                <w:pPr>
                  <w:pStyle w:val="BodyText"/>
                  <w:spacing w:line="251" w:lineRule="exact"/>
                  <w:ind w:left="20"/>
                  <w:rPr>
                    <w:rFonts w:ascii="黑体" w:hAnsi="黑体"/>
                  </w:rPr>
                </w:pPr>
                <w:r>
                  <w:rPr>
                    <w:rFonts w:ascii="黑体" w:hAnsi="黑体"/>
                  </w:rPr>
                  <w:t>DB42/T 2157</w:t>
                </w:r>
                <w:r>
                  <w:t>—</w:t>
                </w:r>
                <w:r>
                  <w:rPr>
                    <w:rFonts w:ascii="黑体" w:hAnsi="黑体"/>
                  </w:rPr>
                  <w:t>2023</w:t>
                </w:r>
              </w:p>
            </w:txbxContent>
          </v:textbox>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3" type="#_x0000_t202" style="width:91.45pt;height:12.6pt;margin-top:71.4pt;margin-left:448.5pt;mso-position-horizontal-relative:page;mso-position-vertical-relative:page;position:absolute;z-index:-251643904" filled="f" stroked="f">
          <v:textbox inset="0,0,0,0">
            <w:txbxContent>
              <w:p>
                <w:pPr>
                  <w:pStyle w:val="BodyText"/>
                  <w:spacing w:line="251" w:lineRule="exact"/>
                  <w:ind w:left="20"/>
                  <w:rPr>
                    <w:rFonts w:ascii="黑体" w:hAnsi="黑体"/>
                  </w:rPr>
                </w:pPr>
                <w:r>
                  <w:rPr>
                    <w:rFonts w:ascii="黑体" w:hAnsi="黑体"/>
                  </w:rPr>
                  <w:t>DB42/T 2157</w:t>
                </w:r>
                <w:r>
                  <w:t>—</w:t>
                </w:r>
                <w:r>
                  <w:rPr>
                    <w:rFonts w:ascii="黑体" w:hAnsi="黑体"/>
                  </w:rPr>
                  <w:t>2023</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6" type="#_x0000_t202" style="width:91.4pt;height:12.6pt;margin-top:71.28pt;margin-left:69.82pt;mso-position-horizontal-relative:page;mso-position-vertical-relative:page;position:absolute;z-index:-251640832" filled="f" stroked="f">
          <v:textbox inset="0,0,0,0">
            <w:txbxContent>
              <w:p>
                <w:pPr>
                  <w:pStyle w:val="BodyText"/>
                  <w:spacing w:line="251" w:lineRule="exact"/>
                  <w:ind w:left="20"/>
                  <w:rPr>
                    <w:rFonts w:ascii="黑体" w:hAnsi="黑体"/>
                  </w:rPr>
                </w:pPr>
                <w:r>
                  <w:rPr>
                    <w:rFonts w:ascii="黑体" w:hAnsi="黑体"/>
                  </w:rPr>
                  <w:t>DB42/T 2157</w:t>
                </w:r>
                <w:r>
                  <w:t>—</w:t>
                </w:r>
                <w:r>
                  <w:rPr>
                    <w:rFonts w:ascii="黑体" w:hAnsi="黑体"/>
                  </w:rPr>
                  <w:t>2023</w:t>
                </w:r>
              </w:p>
            </w:txbxContent>
          </v:textbox>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5" type="#_x0000_t202" style="width:91.45pt;height:12.6pt;margin-top:71.4pt;margin-left:448.5pt;mso-position-horizontal-relative:page;mso-position-vertical-relative:page;position:absolute;z-index:-251641856" filled="f" stroked="f">
          <v:textbox inset="0,0,0,0">
            <w:txbxContent>
              <w:p>
                <w:pPr>
                  <w:pStyle w:val="BodyText"/>
                  <w:spacing w:line="251" w:lineRule="exact"/>
                  <w:ind w:left="20"/>
                  <w:rPr>
                    <w:rFonts w:ascii="黑体" w:hAnsi="黑体"/>
                  </w:rPr>
                </w:pPr>
                <w:r>
                  <w:rPr>
                    <w:rFonts w:ascii="黑体" w:hAnsi="黑体"/>
                  </w:rPr>
                  <w:t>DB42/T 2157</w:t>
                </w:r>
                <w:r>
                  <w:t>—</w:t>
                </w:r>
                <w:r>
                  <w:rPr>
                    <w:rFonts w:ascii="黑体" w:hAnsi="黑体"/>
                  </w:rPr>
                  <w:t>2023</w:t>
                </w:r>
              </w:p>
            </w:txbxContent>
          </v:textbox>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8" type="#_x0000_t202" style="width:91.4pt;height:12.6pt;margin-top:71.28pt;margin-left:69.82pt;mso-position-horizontal-relative:page;mso-position-vertical-relative:page;position:absolute;z-index:-251638784" filled="f" stroked="f">
          <v:textbox inset="0,0,0,0">
            <w:txbxContent>
              <w:p>
                <w:pPr>
                  <w:pStyle w:val="BodyText"/>
                  <w:spacing w:line="251" w:lineRule="exact"/>
                  <w:ind w:left="20"/>
                  <w:rPr>
                    <w:rFonts w:ascii="黑体" w:hAnsi="黑体"/>
                  </w:rPr>
                </w:pPr>
                <w:r>
                  <w:rPr>
                    <w:rFonts w:ascii="黑体" w:hAnsi="黑体"/>
                  </w:rPr>
                  <w:t>DB42/T 2157</w:t>
                </w:r>
                <w:r>
                  <w:t>—</w:t>
                </w:r>
                <w:r>
                  <w:rPr>
                    <w:rFonts w:ascii="黑体" w:hAnsi="黑体"/>
                  </w:rPr>
                  <w:t>2023</w:t>
                </w:r>
              </w:p>
            </w:txbxContent>
          </v:textbox>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7" type="#_x0000_t202" style="width:91.45pt;height:12.6pt;margin-top:71.4pt;margin-left:448.5pt;mso-position-horizontal-relative:page;mso-position-vertical-relative:page;position:absolute;z-index:-251639808" filled="f" stroked="f">
          <v:textbox inset="0,0,0,0">
            <w:txbxContent>
              <w:p>
                <w:pPr>
                  <w:pStyle w:val="BodyText"/>
                  <w:spacing w:line="251" w:lineRule="exact"/>
                  <w:ind w:left="20"/>
                  <w:rPr>
                    <w:rFonts w:ascii="黑体" w:hAnsi="黑体"/>
                  </w:rPr>
                </w:pPr>
                <w:r>
                  <w:rPr>
                    <w:rFonts w:ascii="黑体" w:hAnsi="黑体"/>
                  </w:rPr>
                  <w:t>DB42/T 2157</w:t>
                </w:r>
                <w:r>
                  <w:t>—</w:t>
                </w:r>
                <w:r>
                  <w:rPr>
                    <w:rFonts w:ascii="黑体" w:hAnsi="黑体"/>
                  </w:rPr>
                  <w:t>2023</w:t>
                </w:r>
              </w:p>
            </w:txbxContent>
          </v:textbox>
        </v:shape>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0" type="#_x0000_t202" style="width:91.4pt;height:12.6pt;margin-top:71.28pt;margin-left:69.82pt;mso-position-horizontal-relative:page;mso-position-vertical-relative:page;position:absolute;z-index:-251636736" filled="f" stroked="f">
          <v:textbox inset="0,0,0,0">
            <w:txbxContent>
              <w:p>
                <w:pPr>
                  <w:pStyle w:val="BodyText"/>
                  <w:spacing w:line="251" w:lineRule="exact"/>
                  <w:ind w:left="20"/>
                  <w:rPr>
                    <w:rFonts w:ascii="黑体" w:hAnsi="黑体"/>
                  </w:rPr>
                </w:pPr>
                <w:r>
                  <w:rPr>
                    <w:rFonts w:ascii="黑体" w:hAnsi="黑体"/>
                  </w:rPr>
                  <w:t>DB42/T 2157</w:t>
                </w:r>
                <w:r>
                  <w:t>—</w:t>
                </w:r>
                <w:r>
                  <w:rPr>
                    <w:rFonts w:ascii="黑体" w:hAnsi="黑体"/>
                  </w:rPr>
                  <w:t>2023</w:t>
                </w:r>
              </w:p>
            </w:txbxContent>
          </v:textbox>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9" type="#_x0000_t202" style="width:91.45pt;height:12.6pt;margin-top:71.4pt;margin-left:448.5pt;mso-position-horizontal-relative:page;mso-position-vertical-relative:page;position:absolute;z-index:-251637760" filled="f" stroked="f">
          <v:textbox inset="0,0,0,0">
            <w:txbxContent>
              <w:p>
                <w:pPr>
                  <w:pStyle w:val="BodyText"/>
                  <w:spacing w:line="251" w:lineRule="exact"/>
                  <w:ind w:left="20"/>
                  <w:rPr>
                    <w:rFonts w:ascii="黑体" w:hAnsi="黑体"/>
                  </w:rPr>
                </w:pPr>
                <w:r>
                  <w:rPr>
                    <w:rFonts w:ascii="黑体" w:hAnsi="黑体"/>
                  </w:rPr>
                  <w:t>DB42/T 2157</w:t>
                </w:r>
                <w:r>
                  <w:t>—</w:t>
                </w:r>
                <w:r>
                  <w:rPr>
                    <w:rFonts w:ascii="黑体" w:hAnsi="黑体"/>
                  </w:rPr>
                  <w:t>2023</w:t>
                </w:r>
              </w:p>
            </w:txbxContent>
          </v:textbox>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2" type="#_x0000_t202" style="width:91.4pt;height:12.6pt;margin-top:71.28pt;margin-left:69.82pt;mso-position-horizontal-relative:page;mso-position-vertical-relative:page;position:absolute;z-index:-251634688" filled="f" stroked="f">
          <v:textbox inset="0,0,0,0">
            <w:txbxContent>
              <w:p>
                <w:pPr>
                  <w:pStyle w:val="BodyText"/>
                  <w:spacing w:line="251" w:lineRule="exact"/>
                  <w:ind w:left="20"/>
                  <w:rPr>
                    <w:rFonts w:ascii="黑体" w:hAnsi="黑体"/>
                  </w:rPr>
                </w:pPr>
                <w:r>
                  <w:rPr>
                    <w:rFonts w:ascii="黑体" w:hAnsi="黑体"/>
                  </w:rPr>
                  <w:t>DB42/T 2157</w:t>
                </w:r>
                <w:r>
                  <w:t>—</w:t>
                </w:r>
                <w:r>
                  <w:rPr>
                    <w:rFonts w:ascii="黑体" w:hAnsi="黑体"/>
                  </w:rPr>
                  <w:t>2023</w:t>
                </w:r>
              </w:p>
            </w:txbxContent>
          </v:textbox>
        </v:shap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1" type="#_x0000_t202" style="width:91.45pt;height:12.6pt;margin-top:71.4pt;margin-left:448.5pt;mso-position-horizontal-relative:page;mso-position-vertical-relative:page;position:absolute;z-index:-251635712" filled="f" stroked="f">
          <v:textbox inset="0,0,0,0">
            <w:txbxContent>
              <w:p>
                <w:pPr>
                  <w:pStyle w:val="BodyText"/>
                  <w:spacing w:line="251" w:lineRule="exact"/>
                  <w:ind w:left="20"/>
                  <w:rPr>
                    <w:rFonts w:ascii="黑体" w:hAnsi="黑体"/>
                  </w:rPr>
                </w:pPr>
                <w:r>
                  <w:rPr>
                    <w:rFonts w:ascii="黑体" w:hAnsi="黑体"/>
                  </w:rPr>
                  <w:t>DB42/T 2157</w:t>
                </w:r>
                <w:r>
                  <w:t>—</w:t>
                </w:r>
                <w:r>
                  <w:rPr>
                    <w:rFonts w:ascii="黑体" w:hAnsi="黑体"/>
                  </w:rPr>
                  <w:t>2023</w:t>
                </w:r>
              </w:p>
            </w:txbxContent>
          </v:textbox>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4" type="#_x0000_t202" style="width:91.4pt;height:12.6pt;margin-top:71.28pt;margin-left:69.82pt;mso-position-horizontal-relative:page;mso-position-vertical-relative:page;position:absolute;z-index:-251632640" filled="f" stroked="f">
          <v:textbox inset="0,0,0,0">
            <w:txbxContent>
              <w:p>
                <w:pPr>
                  <w:pStyle w:val="BodyText"/>
                  <w:spacing w:line="251" w:lineRule="exact"/>
                  <w:ind w:left="20"/>
                  <w:rPr>
                    <w:rFonts w:ascii="黑体" w:hAnsi="黑体"/>
                  </w:rPr>
                </w:pPr>
                <w:r>
                  <w:rPr>
                    <w:rFonts w:ascii="黑体" w:hAnsi="黑体"/>
                  </w:rPr>
                  <w:t>DB42/T 2157</w:t>
                </w:r>
                <w:r>
                  <w:t>—</w:t>
                </w:r>
                <w:r>
                  <w:rPr>
                    <w:rFonts w:ascii="黑体" w:hAnsi="黑体"/>
                  </w:rPr>
                  <w:t>2023</w:t>
                </w:r>
              </w:p>
            </w:txbxContent>
          </v:textbox>
        </v:shap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3" type="#_x0000_t202" style="width:91.45pt;height:12.6pt;margin-top:71.4pt;margin-left:448.5pt;mso-position-horizontal-relative:page;mso-position-vertical-relative:page;position:absolute;z-index:-251633664" filled="f" stroked="f">
          <v:textbox inset="0,0,0,0">
            <w:txbxContent>
              <w:p>
                <w:pPr>
                  <w:pStyle w:val="BodyText"/>
                  <w:spacing w:line="251" w:lineRule="exact"/>
                  <w:ind w:left="20"/>
                  <w:rPr>
                    <w:rFonts w:ascii="黑体" w:hAnsi="黑体"/>
                  </w:rPr>
                </w:pPr>
                <w:r>
                  <w:rPr>
                    <w:rFonts w:ascii="黑体" w:hAnsi="黑体"/>
                  </w:rPr>
                  <w:t>DB42/T 2157</w:t>
                </w:r>
                <w:r>
                  <w:t>—</w:t>
                </w:r>
                <w:r>
                  <w:rPr>
                    <w:rFonts w:ascii="黑体" w:hAnsi="黑体"/>
                  </w:rPr>
                  <w:t>2023</w:t>
                </w:r>
              </w:p>
            </w:txbxContent>
          </v:textbox>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0" type="#_x0000_t202" style="width:91.45pt;height:12.6pt;margin-top:71.28pt;margin-left:448.38pt;mso-position-horizontal-relative:page;mso-position-vertical-relative:page;position:absolute;z-index:-251657216" filled="f" stroked="f">
          <v:textbox inset="0,0,0,0">
            <w:txbxContent>
              <w:p>
                <w:pPr>
                  <w:pStyle w:val="BodyText"/>
                  <w:spacing w:line="251" w:lineRule="exact"/>
                  <w:ind w:left="20"/>
                  <w:rPr>
                    <w:rFonts w:ascii="黑体" w:hAnsi="黑体"/>
                  </w:rPr>
                </w:pPr>
                <w:r>
                  <w:rPr>
                    <w:rFonts w:ascii="黑体" w:hAnsi="黑体"/>
                  </w:rPr>
                  <w:t>DB42/T 2157</w:t>
                </w:r>
                <w:r>
                  <w:t>—</w:t>
                </w:r>
                <w:r>
                  <w:rPr>
                    <w:rFonts w:ascii="黑体" w:hAnsi="黑体"/>
                  </w:rPr>
                  <w:t>2023</w:t>
                </w:r>
              </w:p>
            </w:txbxContent>
          </v:textbox>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6" type="#_x0000_t202" style="width:91.4pt;height:12.6pt;margin-top:71.28pt;margin-left:69.82pt;mso-position-horizontal-relative:page;mso-position-vertical-relative:page;position:absolute;z-index:-251630592" filled="f" stroked="f">
          <v:textbox inset="0,0,0,0">
            <w:txbxContent>
              <w:p>
                <w:pPr>
                  <w:pStyle w:val="BodyText"/>
                  <w:spacing w:line="251" w:lineRule="exact"/>
                  <w:ind w:left="20"/>
                  <w:rPr>
                    <w:rFonts w:ascii="黑体" w:hAnsi="黑体"/>
                  </w:rPr>
                </w:pPr>
                <w:r>
                  <w:rPr>
                    <w:rFonts w:ascii="黑体" w:hAnsi="黑体"/>
                  </w:rPr>
                  <w:t>DB42/T 2157</w:t>
                </w:r>
                <w:r>
                  <w:t>—</w:t>
                </w:r>
                <w:r>
                  <w:rPr>
                    <w:rFonts w:ascii="黑体" w:hAnsi="黑体"/>
                  </w:rPr>
                  <w:t>2023</w:t>
                </w:r>
              </w:p>
            </w:txbxContent>
          </v:textbox>
        </v:shape>
      </w:pic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5" type="#_x0000_t202" style="width:91.45pt;height:12.6pt;margin-top:71.4pt;margin-left:448.5pt;mso-position-horizontal-relative:page;mso-position-vertical-relative:page;position:absolute;z-index:-251631616" filled="f" stroked="f">
          <v:textbox inset="0,0,0,0">
            <w:txbxContent>
              <w:p>
                <w:pPr>
                  <w:pStyle w:val="BodyText"/>
                  <w:spacing w:line="251" w:lineRule="exact"/>
                  <w:ind w:left="20"/>
                  <w:rPr>
                    <w:rFonts w:ascii="黑体" w:hAnsi="黑体"/>
                  </w:rPr>
                </w:pPr>
                <w:r>
                  <w:rPr>
                    <w:rFonts w:ascii="黑体" w:hAnsi="黑体"/>
                  </w:rPr>
                  <w:t>DB42/T 2157</w:t>
                </w:r>
                <w:r>
                  <w:t>—</w:t>
                </w:r>
                <w:r>
                  <w:rPr>
                    <w:rFonts w:ascii="黑体" w:hAnsi="黑体"/>
                  </w:rPr>
                  <w:t>2023</w:t>
                </w:r>
              </w:p>
            </w:txbxContent>
          </v:textbox>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style="width:91.45pt;height:12.6pt;margin-top:71.4pt;margin-left:448.5pt;mso-position-horizontal-relative:page;mso-position-vertical-relative:page;position:absolute;z-index:-251656192" filled="f" stroked="f">
          <v:textbox inset="0,0,0,0">
            <w:txbxContent>
              <w:p>
                <w:pPr>
                  <w:pStyle w:val="BodyText"/>
                  <w:spacing w:line="251" w:lineRule="exact"/>
                  <w:ind w:left="20"/>
                  <w:rPr>
                    <w:rFonts w:ascii="黑体" w:hAnsi="黑体"/>
                  </w:rPr>
                </w:pPr>
                <w:r>
                  <w:rPr>
                    <w:rFonts w:ascii="黑体" w:hAnsi="黑体"/>
                  </w:rPr>
                  <w:t>DB42/T 2157</w:t>
                </w:r>
                <w:r>
                  <w:t>—</w:t>
                </w:r>
                <w:r>
                  <w:rPr>
                    <w:rFonts w:ascii="黑体" w:hAnsi="黑体"/>
                  </w:rPr>
                  <w:t>2023</w:t>
                </w:r>
              </w:p>
            </w:txbxContent>
          </v:textbox>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2" type="#_x0000_t202" style="width:91.45pt;height:12.6pt;margin-top:71.4pt;margin-left:448.5pt;mso-position-horizontal-relative:page;mso-position-vertical-relative:page;position:absolute;z-index:-251655168" filled="f" stroked="f">
          <v:textbox inset="0,0,0,0">
            <w:txbxContent>
              <w:p>
                <w:pPr>
                  <w:pStyle w:val="BodyText"/>
                  <w:spacing w:line="251" w:lineRule="exact"/>
                  <w:ind w:left="20"/>
                  <w:rPr>
                    <w:rFonts w:ascii="黑体" w:hAnsi="黑体"/>
                  </w:rPr>
                </w:pPr>
                <w:r>
                  <w:rPr>
                    <w:rFonts w:ascii="黑体" w:hAnsi="黑体"/>
                  </w:rPr>
                  <w:t>DB42/T 2157</w:t>
                </w:r>
                <w:r>
                  <w:t>—</w:t>
                </w:r>
                <w:r>
                  <w:rPr>
                    <w:rFonts w:ascii="黑体" w:hAnsi="黑体"/>
                  </w:rPr>
                  <w:t>2023</w:t>
                </w:r>
              </w:p>
            </w:txbxContent>
          </v:textbox>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4" type="#_x0000_t202" style="width:91.4pt;height:12.6pt;margin-top:71.28pt;margin-left:69.82pt;mso-position-horizontal-relative:page;mso-position-vertical-relative:page;position:absolute;z-index:-251653120" filled="f" stroked="f">
          <v:textbox inset="0,0,0,0">
            <w:txbxContent>
              <w:p>
                <w:pPr>
                  <w:pStyle w:val="BodyText"/>
                  <w:spacing w:line="251" w:lineRule="exact"/>
                  <w:ind w:left="20"/>
                  <w:rPr>
                    <w:rFonts w:ascii="黑体" w:hAnsi="黑体"/>
                  </w:rPr>
                </w:pPr>
                <w:r>
                  <w:rPr>
                    <w:rFonts w:ascii="黑体" w:hAnsi="黑体"/>
                  </w:rPr>
                  <w:t>DB42/T 2157</w:t>
                </w:r>
                <w:r>
                  <w:t>—</w:t>
                </w:r>
                <w:r>
                  <w:rPr>
                    <w:rFonts w:ascii="黑体" w:hAnsi="黑体"/>
                  </w:rPr>
                  <w:t>2023</w:t>
                </w:r>
              </w:p>
            </w:txbxContent>
          </v:textbox>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3" type="#_x0000_t202" style="width:91.45pt;height:12.6pt;margin-top:71.4pt;margin-left:448.5pt;mso-position-horizontal-relative:page;mso-position-vertical-relative:page;position:absolute;z-index:-251654144" filled="f" stroked="f">
          <v:textbox inset="0,0,0,0">
            <w:txbxContent>
              <w:p>
                <w:pPr>
                  <w:pStyle w:val="BodyText"/>
                  <w:spacing w:line="251" w:lineRule="exact"/>
                  <w:ind w:left="20"/>
                  <w:rPr>
                    <w:rFonts w:ascii="黑体" w:hAnsi="黑体"/>
                  </w:rPr>
                </w:pPr>
                <w:r>
                  <w:rPr>
                    <w:rFonts w:ascii="黑体" w:hAnsi="黑体"/>
                  </w:rPr>
                  <w:t>DB42/T 2157</w:t>
                </w:r>
                <w:r>
                  <w:t>—</w:t>
                </w:r>
                <w:r>
                  <w:rPr>
                    <w:rFonts w:ascii="黑体" w:hAnsi="黑体"/>
                  </w:rPr>
                  <w:t>2023</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72DD9D"/>
    <w:multiLevelType w:val="hybridMultilevel"/>
    <w:tmpl w:val="00000000"/>
    <w:lvl w:ilvl="0">
      <w:start w:val="4"/>
      <w:numFmt w:val="decimal"/>
      <w:lvlText w:val="%1"/>
      <w:lvlJc w:val="left"/>
      <w:pPr>
        <w:ind w:left="1178" w:hanging="423"/>
        <w:jc w:val="left"/>
      </w:pPr>
      <w:rPr>
        <w:rFonts w:hint="default"/>
        <w:lang w:val="en-US" w:eastAsia="en-US" w:bidi="ar-SA"/>
      </w:rPr>
    </w:lvl>
    <w:lvl w:ilvl="1">
      <w:start w:val="7"/>
      <w:numFmt w:val="decimal"/>
      <w:lvlText w:val="%1.%2"/>
      <w:lvlJc w:val="left"/>
      <w:pPr>
        <w:ind w:left="1178" w:hanging="423"/>
        <w:jc w:val="right"/>
      </w:pPr>
      <w:rPr>
        <w:rFonts w:ascii="黑体" w:eastAsia="黑体" w:hAnsi="黑体" w:cs="黑体" w:hint="default"/>
        <w:w w:val="100"/>
        <w:sz w:val="21"/>
        <w:szCs w:val="21"/>
        <w:lang w:val="en-US" w:eastAsia="en-US" w:bidi="ar-SA"/>
      </w:rPr>
    </w:lvl>
    <w:lvl w:ilvl="2">
      <w:start w:val="1"/>
      <w:numFmt w:val="lowerLetter"/>
      <w:lvlText w:val="%3)"/>
      <w:lvlJc w:val="left"/>
      <w:pPr>
        <w:ind w:left="2018" w:hanging="420"/>
        <w:jc w:val="right"/>
      </w:pPr>
      <w:rPr>
        <w:rFonts w:ascii="Times New Roman" w:eastAsia="Times New Roman" w:hAnsi="Times New Roman" w:cs="Times New Roman" w:hint="default"/>
        <w:spacing w:val="-1"/>
        <w:w w:val="100"/>
        <w:sz w:val="21"/>
        <w:szCs w:val="21"/>
        <w:lang w:val="en-US" w:eastAsia="en-US" w:bidi="ar-SA"/>
      </w:rPr>
    </w:lvl>
    <w:lvl w:ilvl="3">
      <w:start w:val="0"/>
      <w:numFmt w:val="bullet"/>
      <w:lvlText w:val="•"/>
      <w:lvlJc w:val="left"/>
      <w:pPr>
        <w:ind w:left="4105" w:hanging="420"/>
      </w:pPr>
      <w:rPr>
        <w:rFonts w:hint="default"/>
        <w:lang w:val="en-US" w:eastAsia="en-US" w:bidi="ar-SA"/>
      </w:rPr>
    </w:lvl>
    <w:lvl w:ilvl="4">
      <w:start w:val="0"/>
      <w:numFmt w:val="bullet"/>
      <w:lvlText w:val="•"/>
      <w:lvlJc w:val="left"/>
      <w:pPr>
        <w:ind w:left="5148" w:hanging="420"/>
      </w:pPr>
      <w:rPr>
        <w:rFonts w:hint="default"/>
        <w:lang w:val="en-US" w:eastAsia="en-US" w:bidi="ar-SA"/>
      </w:rPr>
    </w:lvl>
    <w:lvl w:ilvl="5">
      <w:start w:val="0"/>
      <w:numFmt w:val="bullet"/>
      <w:lvlText w:val="•"/>
      <w:lvlJc w:val="left"/>
      <w:pPr>
        <w:ind w:left="6191" w:hanging="420"/>
      </w:pPr>
      <w:rPr>
        <w:rFonts w:hint="default"/>
        <w:lang w:val="en-US" w:eastAsia="en-US" w:bidi="ar-SA"/>
      </w:rPr>
    </w:lvl>
    <w:lvl w:ilvl="6">
      <w:start w:val="0"/>
      <w:numFmt w:val="bullet"/>
      <w:lvlText w:val="•"/>
      <w:lvlJc w:val="left"/>
      <w:pPr>
        <w:ind w:left="7234" w:hanging="420"/>
      </w:pPr>
      <w:rPr>
        <w:rFonts w:hint="default"/>
        <w:lang w:val="en-US" w:eastAsia="en-US" w:bidi="ar-SA"/>
      </w:rPr>
    </w:lvl>
    <w:lvl w:ilvl="7">
      <w:start w:val="0"/>
      <w:numFmt w:val="bullet"/>
      <w:lvlText w:val="•"/>
      <w:lvlJc w:val="left"/>
      <w:pPr>
        <w:ind w:left="8277" w:hanging="420"/>
      </w:pPr>
      <w:rPr>
        <w:rFonts w:hint="default"/>
        <w:lang w:val="en-US" w:eastAsia="en-US" w:bidi="ar-SA"/>
      </w:rPr>
    </w:lvl>
    <w:lvl w:ilvl="8">
      <w:start w:val="0"/>
      <w:numFmt w:val="bullet"/>
      <w:lvlText w:val="•"/>
      <w:lvlJc w:val="left"/>
      <w:pPr>
        <w:ind w:left="9320" w:hanging="420"/>
      </w:pPr>
      <w:rPr>
        <w:rFonts w:hint="default"/>
        <w:lang w:val="en-US" w:eastAsia="en-US" w:bidi="ar-SA"/>
      </w:rPr>
    </w:lvl>
  </w:abstractNum>
  <w:abstractNum w:abstractNumId="1">
    <w:nsid w:val="1359C45A"/>
    <w:multiLevelType w:val="hybridMultilevel"/>
    <w:tmpl w:val="00000000"/>
    <w:lvl w:ilvl="0">
      <w:start w:val="6"/>
      <w:numFmt w:val="decimal"/>
      <w:lvlText w:val="%1"/>
      <w:lvlJc w:val="left"/>
      <w:pPr>
        <w:ind w:left="892" w:hanging="685"/>
        <w:jc w:val="left"/>
      </w:pPr>
      <w:rPr>
        <w:rFonts w:hint="default"/>
        <w:lang w:val="en-US" w:eastAsia="en-US" w:bidi="ar-SA"/>
      </w:rPr>
    </w:lvl>
    <w:lvl w:ilvl="1">
      <w:start w:val="4"/>
      <w:numFmt w:val="decimal"/>
      <w:lvlText w:val="%1.%2"/>
      <w:lvlJc w:val="left"/>
      <w:pPr>
        <w:ind w:left="892" w:hanging="685"/>
        <w:jc w:val="left"/>
      </w:pPr>
      <w:rPr>
        <w:rFonts w:hint="default"/>
        <w:lang w:val="en-US" w:eastAsia="en-US" w:bidi="ar-SA"/>
      </w:rPr>
    </w:lvl>
    <w:lvl w:ilvl="2">
      <w:start w:val="10"/>
      <w:numFmt w:val="decimal"/>
      <w:lvlText w:val="%1.%2.%3"/>
      <w:lvlJc w:val="left"/>
      <w:pPr>
        <w:ind w:left="892" w:hanging="685"/>
        <w:jc w:val="left"/>
      </w:pPr>
      <w:rPr>
        <w:rFonts w:ascii="黑体" w:eastAsia="黑体" w:hAnsi="黑体" w:cs="黑体" w:hint="default"/>
        <w:spacing w:val="-3"/>
        <w:w w:val="100"/>
        <w:sz w:val="21"/>
        <w:szCs w:val="21"/>
        <w:lang w:val="en-US" w:eastAsia="en-US" w:bidi="ar-SA"/>
      </w:rPr>
    </w:lvl>
    <w:lvl w:ilvl="3">
      <w:start w:val="0"/>
      <w:numFmt w:val="bullet"/>
      <w:lvlText w:val="•"/>
      <w:lvlJc w:val="left"/>
      <w:pPr>
        <w:ind w:left="4051" w:hanging="685"/>
      </w:pPr>
      <w:rPr>
        <w:rFonts w:hint="default"/>
        <w:lang w:val="en-US" w:eastAsia="en-US" w:bidi="ar-SA"/>
      </w:rPr>
    </w:lvl>
    <w:lvl w:ilvl="4">
      <w:start w:val="0"/>
      <w:numFmt w:val="bullet"/>
      <w:lvlText w:val="•"/>
      <w:lvlJc w:val="left"/>
      <w:pPr>
        <w:ind w:left="5102" w:hanging="685"/>
      </w:pPr>
      <w:rPr>
        <w:rFonts w:hint="default"/>
        <w:lang w:val="en-US" w:eastAsia="en-US" w:bidi="ar-SA"/>
      </w:rPr>
    </w:lvl>
    <w:lvl w:ilvl="5">
      <w:start w:val="0"/>
      <w:numFmt w:val="bullet"/>
      <w:lvlText w:val="•"/>
      <w:lvlJc w:val="left"/>
      <w:pPr>
        <w:ind w:left="6153" w:hanging="685"/>
      </w:pPr>
      <w:rPr>
        <w:rFonts w:hint="default"/>
        <w:lang w:val="en-US" w:eastAsia="en-US" w:bidi="ar-SA"/>
      </w:rPr>
    </w:lvl>
    <w:lvl w:ilvl="6">
      <w:start w:val="0"/>
      <w:numFmt w:val="bullet"/>
      <w:lvlText w:val="•"/>
      <w:lvlJc w:val="left"/>
      <w:pPr>
        <w:ind w:left="7203" w:hanging="685"/>
      </w:pPr>
      <w:rPr>
        <w:rFonts w:hint="default"/>
        <w:lang w:val="en-US" w:eastAsia="en-US" w:bidi="ar-SA"/>
      </w:rPr>
    </w:lvl>
    <w:lvl w:ilvl="7">
      <w:start w:val="0"/>
      <w:numFmt w:val="bullet"/>
      <w:lvlText w:val="•"/>
      <w:lvlJc w:val="left"/>
      <w:pPr>
        <w:ind w:left="8254" w:hanging="685"/>
      </w:pPr>
      <w:rPr>
        <w:rFonts w:hint="default"/>
        <w:lang w:val="en-US" w:eastAsia="en-US" w:bidi="ar-SA"/>
      </w:rPr>
    </w:lvl>
    <w:lvl w:ilvl="8">
      <w:start w:val="0"/>
      <w:numFmt w:val="bullet"/>
      <w:lvlText w:val="•"/>
      <w:lvlJc w:val="left"/>
      <w:pPr>
        <w:ind w:left="9305" w:hanging="685"/>
      </w:pPr>
      <w:rPr>
        <w:rFonts w:hint="default"/>
        <w:lang w:val="en-US" w:eastAsia="en-US" w:bidi="ar-SA"/>
      </w:rPr>
    </w:lvl>
  </w:abstractNum>
  <w:abstractNum w:abstractNumId="2">
    <w:nsid w:val="183D19BD"/>
    <w:multiLevelType w:val="hybridMultilevel"/>
    <w:tmpl w:val="00000000"/>
    <w:lvl w:ilvl="0">
      <w:start w:val="1"/>
      <w:numFmt w:val="lowerLetter"/>
      <w:lvlText w:val="%1)"/>
      <w:lvlJc w:val="left"/>
      <w:pPr>
        <w:ind w:left="1733" w:hanging="420"/>
        <w:jc w:val="left"/>
      </w:pPr>
      <w:rPr>
        <w:rFonts w:ascii="Times New Roman" w:eastAsia="Times New Roman" w:hAnsi="Times New Roman" w:cs="Times New Roman" w:hint="default"/>
        <w:spacing w:val="-1"/>
        <w:w w:val="100"/>
        <w:sz w:val="21"/>
        <w:szCs w:val="21"/>
        <w:lang w:val="en-US" w:eastAsia="en-US" w:bidi="ar-SA"/>
      </w:rPr>
    </w:lvl>
    <w:lvl w:ilvl="1">
      <w:start w:val="0"/>
      <w:numFmt w:val="bullet"/>
      <w:lvlText w:val="•"/>
      <w:lvlJc w:val="left"/>
      <w:pPr>
        <w:ind w:left="2706" w:hanging="420"/>
      </w:pPr>
      <w:rPr>
        <w:rFonts w:hint="default"/>
        <w:lang w:val="en-US" w:eastAsia="en-US" w:bidi="ar-SA"/>
      </w:rPr>
    </w:lvl>
    <w:lvl w:ilvl="2">
      <w:start w:val="0"/>
      <w:numFmt w:val="bullet"/>
      <w:lvlText w:val="•"/>
      <w:lvlJc w:val="left"/>
      <w:pPr>
        <w:ind w:left="3673" w:hanging="420"/>
      </w:pPr>
      <w:rPr>
        <w:rFonts w:hint="default"/>
        <w:lang w:val="en-US" w:eastAsia="en-US" w:bidi="ar-SA"/>
      </w:rPr>
    </w:lvl>
    <w:lvl w:ilvl="3">
      <w:start w:val="0"/>
      <w:numFmt w:val="bullet"/>
      <w:lvlText w:val="•"/>
      <w:lvlJc w:val="left"/>
      <w:pPr>
        <w:ind w:left="4639" w:hanging="420"/>
      </w:pPr>
      <w:rPr>
        <w:rFonts w:hint="default"/>
        <w:lang w:val="en-US" w:eastAsia="en-US" w:bidi="ar-SA"/>
      </w:rPr>
    </w:lvl>
    <w:lvl w:ilvl="4">
      <w:start w:val="0"/>
      <w:numFmt w:val="bullet"/>
      <w:lvlText w:val="•"/>
      <w:lvlJc w:val="left"/>
      <w:pPr>
        <w:ind w:left="5606" w:hanging="420"/>
      </w:pPr>
      <w:rPr>
        <w:rFonts w:hint="default"/>
        <w:lang w:val="en-US" w:eastAsia="en-US" w:bidi="ar-SA"/>
      </w:rPr>
    </w:lvl>
    <w:lvl w:ilvl="5">
      <w:start w:val="0"/>
      <w:numFmt w:val="bullet"/>
      <w:lvlText w:val="•"/>
      <w:lvlJc w:val="left"/>
      <w:pPr>
        <w:ind w:left="6573" w:hanging="420"/>
      </w:pPr>
      <w:rPr>
        <w:rFonts w:hint="default"/>
        <w:lang w:val="en-US" w:eastAsia="en-US" w:bidi="ar-SA"/>
      </w:rPr>
    </w:lvl>
    <w:lvl w:ilvl="6">
      <w:start w:val="0"/>
      <w:numFmt w:val="bullet"/>
      <w:lvlText w:val="•"/>
      <w:lvlJc w:val="left"/>
      <w:pPr>
        <w:ind w:left="7539" w:hanging="420"/>
      </w:pPr>
      <w:rPr>
        <w:rFonts w:hint="default"/>
        <w:lang w:val="en-US" w:eastAsia="en-US" w:bidi="ar-SA"/>
      </w:rPr>
    </w:lvl>
    <w:lvl w:ilvl="7">
      <w:start w:val="0"/>
      <w:numFmt w:val="bullet"/>
      <w:lvlText w:val="•"/>
      <w:lvlJc w:val="left"/>
      <w:pPr>
        <w:ind w:left="8506" w:hanging="420"/>
      </w:pPr>
      <w:rPr>
        <w:rFonts w:hint="default"/>
        <w:lang w:val="en-US" w:eastAsia="en-US" w:bidi="ar-SA"/>
      </w:rPr>
    </w:lvl>
    <w:lvl w:ilvl="8">
      <w:start w:val="0"/>
      <w:numFmt w:val="bullet"/>
      <w:lvlText w:val="•"/>
      <w:lvlJc w:val="left"/>
      <w:pPr>
        <w:ind w:left="9473" w:hanging="420"/>
      </w:pPr>
      <w:rPr>
        <w:rFonts w:hint="default"/>
        <w:lang w:val="en-US" w:eastAsia="en-US" w:bidi="ar-SA"/>
      </w:rPr>
    </w:lvl>
  </w:abstractNum>
  <w:abstractNum w:abstractNumId="3">
    <w:nsid w:val="185ED539"/>
    <w:multiLevelType w:val="hybridMultilevel"/>
    <w:tmpl w:val="00000000"/>
    <w:lvl w:ilvl="0">
      <w:start w:val="7"/>
      <w:numFmt w:val="decimal"/>
      <w:lvlText w:val="%1"/>
      <w:lvlJc w:val="left"/>
      <w:pPr>
        <w:ind w:left="1524" w:hanging="632"/>
        <w:jc w:val="left"/>
      </w:pPr>
      <w:rPr>
        <w:rFonts w:hint="default"/>
        <w:lang w:val="en-US" w:eastAsia="en-US" w:bidi="ar-SA"/>
      </w:rPr>
    </w:lvl>
    <w:lvl w:ilvl="1">
      <w:start w:val="2"/>
      <w:numFmt w:val="decimal"/>
      <w:lvlText w:val="%1.%2"/>
      <w:lvlJc w:val="left"/>
      <w:pPr>
        <w:ind w:left="1524" w:hanging="632"/>
        <w:jc w:val="left"/>
      </w:pPr>
      <w:rPr>
        <w:rFonts w:hint="default"/>
        <w:lang w:val="en-US" w:eastAsia="en-US" w:bidi="ar-SA"/>
      </w:rPr>
    </w:lvl>
    <w:lvl w:ilvl="2">
      <w:start w:val="1"/>
      <w:numFmt w:val="decimal"/>
      <w:lvlText w:val="%1.%2.%3"/>
      <w:lvlJc w:val="left"/>
      <w:pPr>
        <w:ind w:left="1524" w:hanging="632"/>
        <w:jc w:val="right"/>
      </w:pPr>
      <w:rPr>
        <w:rFonts w:ascii="黑体" w:eastAsia="黑体" w:hAnsi="黑体" w:cs="黑体" w:hint="default"/>
        <w:w w:val="100"/>
        <w:sz w:val="21"/>
        <w:szCs w:val="21"/>
        <w:lang w:val="en-US" w:eastAsia="en-US" w:bidi="ar-SA"/>
      </w:rPr>
    </w:lvl>
    <w:lvl w:ilvl="3">
      <w:start w:val="1"/>
      <w:numFmt w:val="lowerLetter"/>
      <w:lvlText w:val="%4)"/>
      <w:lvlJc w:val="left"/>
      <w:pPr>
        <w:ind w:left="1733" w:hanging="420"/>
        <w:jc w:val="right"/>
      </w:pPr>
      <w:rPr>
        <w:rFonts w:ascii="Times New Roman" w:eastAsia="Times New Roman" w:hAnsi="Times New Roman" w:cs="Times New Roman" w:hint="default"/>
        <w:spacing w:val="-1"/>
        <w:w w:val="100"/>
        <w:sz w:val="21"/>
        <w:szCs w:val="21"/>
        <w:lang w:val="en-US" w:eastAsia="en-US" w:bidi="ar-SA"/>
      </w:rPr>
    </w:lvl>
    <w:lvl w:ilvl="4">
      <w:start w:val="0"/>
      <w:numFmt w:val="bullet"/>
      <w:lvlText w:val="•"/>
      <w:lvlJc w:val="left"/>
      <w:pPr>
        <w:ind w:left="4366" w:hanging="420"/>
      </w:pPr>
      <w:rPr>
        <w:rFonts w:hint="default"/>
        <w:lang w:val="en-US" w:eastAsia="en-US" w:bidi="ar-SA"/>
      </w:rPr>
    </w:lvl>
    <w:lvl w:ilvl="5">
      <w:start w:val="0"/>
      <w:numFmt w:val="bullet"/>
      <w:lvlText w:val="•"/>
      <w:lvlJc w:val="left"/>
      <w:pPr>
        <w:ind w:left="5539" w:hanging="420"/>
      </w:pPr>
      <w:rPr>
        <w:rFonts w:hint="default"/>
        <w:lang w:val="en-US" w:eastAsia="en-US" w:bidi="ar-SA"/>
      </w:rPr>
    </w:lvl>
    <w:lvl w:ilvl="6">
      <w:start w:val="0"/>
      <w:numFmt w:val="bullet"/>
      <w:lvlText w:val="•"/>
      <w:lvlJc w:val="left"/>
      <w:pPr>
        <w:ind w:left="6713" w:hanging="420"/>
      </w:pPr>
      <w:rPr>
        <w:rFonts w:hint="default"/>
        <w:lang w:val="en-US" w:eastAsia="en-US" w:bidi="ar-SA"/>
      </w:rPr>
    </w:lvl>
    <w:lvl w:ilvl="7">
      <w:start w:val="0"/>
      <w:numFmt w:val="bullet"/>
      <w:lvlText w:val="•"/>
      <w:lvlJc w:val="left"/>
      <w:pPr>
        <w:ind w:left="7886" w:hanging="420"/>
      </w:pPr>
      <w:rPr>
        <w:rFonts w:hint="default"/>
        <w:lang w:val="en-US" w:eastAsia="en-US" w:bidi="ar-SA"/>
      </w:rPr>
    </w:lvl>
    <w:lvl w:ilvl="8">
      <w:start w:val="0"/>
      <w:numFmt w:val="bullet"/>
      <w:lvlText w:val="•"/>
      <w:lvlJc w:val="left"/>
      <w:pPr>
        <w:ind w:left="9059" w:hanging="420"/>
      </w:pPr>
      <w:rPr>
        <w:rFonts w:hint="default"/>
        <w:lang w:val="en-US" w:eastAsia="en-US" w:bidi="ar-SA"/>
      </w:rPr>
    </w:lvl>
  </w:abstractNum>
  <w:abstractNum w:abstractNumId="4">
    <w:nsid w:val="1A14651E"/>
    <w:multiLevelType w:val="hybridMultilevel"/>
    <w:tmpl w:val="00000000"/>
    <w:lvl w:ilvl="0">
      <w:start w:val="9"/>
      <w:numFmt w:val="decimal"/>
      <w:lvlText w:val="%1"/>
      <w:lvlJc w:val="left"/>
      <w:pPr>
        <w:ind w:left="1757" w:hanging="579"/>
        <w:jc w:val="left"/>
      </w:pPr>
      <w:rPr>
        <w:rFonts w:hint="default"/>
        <w:lang w:val="en-US" w:eastAsia="en-US" w:bidi="ar-SA"/>
      </w:rPr>
    </w:lvl>
    <w:lvl w:ilvl="1">
      <w:start w:val="3"/>
      <w:numFmt w:val="decimal"/>
      <w:lvlText w:val="%1.%2"/>
      <w:lvlJc w:val="left"/>
      <w:pPr>
        <w:ind w:left="1757" w:hanging="579"/>
        <w:jc w:val="left"/>
      </w:pPr>
      <w:rPr>
        <w:rFonts w:hint="default"/>
        <w:lang w:val="en-US" w:eastAsia="en-US" w:bidi="ar-SA"/>
      </w:rPr>
    </w:lvl>
    <w:lvl w:ilvl="2">
      <w:start w:val="1"/>
      <w:numFmt w:val="decimal"/>
      <w:lvlText w:val="%1.%2.%3"/>
      <w:lvlJc w:val="left"/>
      <w:pPr>
        <w:ind w:left="1757" w:hanging="579"/>
        <w:jc w:val="left"/>
      </w:pPr>
      <w:rPr>
        <w:rFonts w:ascii="黑体" w:eastAsia="黑体" w:hAnsi="黑体" w:cs="黑体" w:hint="default"/>
        <w:w w:val="100"/>
        <w:sz w:val="21"/>
        <w:szCs w:val="21"/>
        <w:lang w:val="en-US" w:eastAsia="en-US" w:bidi="ar-SA"/>
      </w:rPr>
    </w:lvl>
    <w:lvl w:ilvl="3">
      <w:start w:val="1"/>
      <w:numFmt w:val="lowerLetter"/>
      <w:lvlText w:val="%4)"/>
      <w:lvlJc w:val="left"/>
      <w:pPr>
        <w:ind w:left="2018" w:hanging="420"/>
        <w:jc w:val="left"/>
      </w:pPr>
      <w:rPr>
        <w:rFonts w:ascii="Times New Roman" w:eastAsia="Times New Roman" w:hAnsi="Times New Roman" w:cs="Times New Roman" w:hint="default"/>
        <w:spacing w:val="-1"/>
        <w:w w:val="100"/>
        <w:sz w:val="21"/>
        <w:szCs w:val="21"/>
        <w:lang w:val="en-US" w:eastAsia="en-US" w:bidi="ar-SA"/>
      </w:rPr>
    </w:lvl>
    <w:lvl w:ilvl="4">
      <w:start w:val="0"/>
      <w:numFmt w:val="bullet"/>
      <w:lvlText w:val="•"/>
      <w:lvlJc w:val="left"/>
      <w:pPr>
        <w:ind w:left="5148" w:hanging="420"/>
      </w:pPr>
      <w:rPr>
        <w:rFonts w:hint="default"/>
        <w:lang w:val="en-US" w:eastAsia="en-US" w:bidi="ar-SA"/>
      </w:rPr>
    </w:lvl>
    <w:lvl w:ilvl="5">
      <w:start w:val="0"/>
      <w:numFmt w:val="bullet"/>
      <w:lvlText w:val="•"/>
      <w:lvlJc w:val="left"/>
      <w:pPr>
        <w:ind w:left="6191" w:hanging="420"/>
      </w:pPr>
      <w:rPr>
        <w:rFonts w:hint="default"/>
        <w:lang w:val="en-US" w:eastAsia="en-US" w:bidi="ar-SA"/>
      </w:rPr>
    </w:lvl>
    <w:lvl w:ilvl="6">
      <w:start w:val="0"/>
      <w:numFmt w:val="bullet"/>
      <w:lvlText w:val="•"/>
      <w:lvlJc w:val="left"/>
      <w:pPr>
        <w:ind w:left="7234" w:hanging="420"/>
      </w:pPr>
      <w:rPr>
        <w:rFonts w:hint="default"/>
        <w:lang w:val="en-US" w:eastAsia="en-US" w:bidi="ar-SA"/>
      </w:rPr>
    </w:lvl>
    <w:lvl w:ilvl="7">
      <w:start w:val="0"/>
      <w:numFmt w:val="bullet"/>
      <w:lvlText w:val="•"/>
      <w:lvlJc w:val="left"/>
      <w:pPr>
        <w:ind w:left="8277" w:hanging="420"/>
      </w:pPr>
      <w:rPr>
        <w:rFonts w:hint="default"/>
        <w:lang w:val="en-US" w:eastAsia="en-US" w:bidi="ar-SA"/>
      </w:rPr>
    </w:lvl>
    <w:lvl w:ilvl="8">
      <w:start w:val="0"/>
      <w:numFmt w:val="bullet"/>
      <w:lvlText w:val="•"/>
      <w:lvlJc w:val="left"/>
      <w:pPr>
        <w:ind w:left="9320" w:hanging="420"/>
      </w:pPr>
      <w:rPr>
        <w:rFonts w:hint="default"/>
        <w:lang w:val="en-US" w:eastAsia="en-US" w:bidi="ar-SA"/>
      </w:rPr>
    </w:lvl>
  </w:abstractNum>
  <w:abstractNum w:abstractNumId="5">
    <w:nsid w:val="1ACB22A1"/>
    <w:multiLevelType w:val="hybridMultilevel"/>
    <w:tmpl w:val="00000000"/>
    <w:lvl w:ilvl="0">
      <w:start w:val="1"/>
      <w:numFmt w:val="decimal"/>
      <w:lvlText w:val="%1"/>
      <w:lvlJc w:val="left"/>
      <w:pPr>
        <w:ind w:left="1493" w:hanging="315"/>
        <w:jc w:val="right"/>
      </w:pPr>
      <w:rPr>
        <w:rFonts w:ascii="黑体" w:eastAsia="黑体" w:hAnsi="黑体" w:cs="黑体" w:hint="default"/>
        <w:w w:val="100"/>
        <w:sz w:val="21"/>
        <w:szCs w:val="21"/>
        <w:lang w:val="en-US" w:eastAsia="en-US" w:bidi="ar-SA"/>
      </w:rPr>
    </w:lvl>
    <w:lvl w:ilvl="1">
      <w:start w:val="1"/>
      <w:numFmt w:val="decimal"/>
      <w:lvlText w:val="%1.%2"/>
      <w:lvlJc w:val="left"/>
      <w:pPr>
        <w:ind w:left="892" w:hanging="423"/>
        <w:jc w:val="right"/>
      </w:pPr>
      <w:rPr>
        <w:rFonts w:ascii="黑体" w:eastAsia="黑体" w:hAnsi="黑体" w:cs="黑体" w:hint="default"/>
        <w:w w:val="100"/>
        <w:sz w:val="21"/>
        <w:szCs w:val="21"/>
        <w:lang w:val="en-US" w:eastAsia="en-US" w:bidi="ar-SA"/>
      </w:rPr>
    </w:lvl>
    <w:lvl w:ilvl="2">
      <w:start w:val="1"/>
      <w:numFmt w:val="decimal"/>
      <w:lvlText w:val="%1.%2.%3"/>
      <w:lvlJc w:val="left"/>
      <w:pPr>
        <w:ind w:left="1178" w:hanging="579"/>
        <w:jc w:val="left"/>
      </w:pPr>
      <w:rPr>
        <w:rFonts w:ascii="黑体" w:eastAsia="黑体" w:hAnsi="黑体" w:cs="黑体" w:hint="default"/>
        <w:w w:val="100"/>
        <w:sz w:val="21"/>
        <w:szCs w:val="21"/>
        <w:lang w:val="en-US" w:eastAsia="en-US" w:bidi="ar-SA"/>
      </w:rPr>
    </w:lvl>
    <w:lvl w:ilvl="3">
      <w:start w:val="1"/>
      <w:numFmt w:val="lowerLetter"/>
      <w:lvlText w:val="%4)"/>
      <w:lvlJc w:val="left"/>
      <w:pPr>
        <w:ind w:left="1733" w:hanging="420"/>
        <w:jc w:val="left"/>
      </w:pPr>
      <w:rPr>
        <w:rFonts w:hint="default"/>
        <w:spacing w:val="-1"/>
        <w:w w:val="100"/>
        <w:lang w:val="en-US" w:eastAsia="en-US" w:bidi="ar-SA"/>
      </w:rPr>
    </w:lvl>
    <w:lvl w:ilvl="4">
      <w:start w:val="1"/>
      <w:numFmt w:val="decimal"/>
      <w:lvlText w:val="%5)"/>
      <w:lvlJc w:val="left"/>
      <w:pPr>
        <w:ind w:left="1966" w:hanging="420"/>
        <w:jc w:val="right"/>
      </w:pPr>
      <w:rPr>
        <w:rFonts w:ascii="Times New Roman" w:eastAsia="Times New Roman" w:hAnsi="Times New Roman" w:cs="Times New Roman" w:hint="default"/>
        <w:w w:val="100"/>
        <w:sz w:val="21"/>
        <w:szCs w:val="21"/>
        <w:lang w:val="en-US" w:eastAsia="en-US" w:bidi="ar-SA"/>
      </w:rPr>
    </w:lvl>
    <w:lvl w:ilvl="5">
      <w:start w:val="0"/>
      <w:numFmt w:val="bullet"/>
      <w:lvlText w:val="•"/>
      <w:lvlJc w:val="left"/>
      <w:pPr>
        <w:ind w:left="1740" w:hanging="420"/>
      </w:pPr>
      <w:rPr>
        <w:rFonts w:hint="default"/>
        <w:lang w:val="en-US" w:eastAsia="en-US" w:bidi="ar-SA"/>
      </w:rPr>
    </w:lvl>
    <w:lvl w:ilvl="6">
      <w:start w:val="0"/>
      <w:numFmt w:val="bullet"/>
      <w:lvlText w:val="•"/>
      <w:lvlJc w:val="left"/>
      <w:pPr>
        <w:ind w:left="1760" w:hanging="420"/>
      </w:pPr>
      <w:rPr>
        <w:rFonts w:hint="default"/>
        <w:lang w:val="en-US" w:eastAsia="en-US" w:bidi="ar-SA"/>
      </w:rPr>
    </w:lvl>
    <w:lvl w:ilvl="7">
      <w:start w:val="0"/>
      <w:numFmt w:val="bullet"/>
      <w:lvlText w:val="•"/>
      <w:lvlJc w:val="left"/>
      <w:pPr>
        <w:ind w:left="1960" w:hanging="420"/>
      </w:pPr>
      <w:rPr>
        <w:rFonts w:hint="default"/>
        <w:lang w:val="en-US" w:eastAsia="en-US" w:bidi="ar-SA"/>
      </w:rPr>
    </w:lvl>
    <w:lvl w:ilvl="8">
      <w:start w:val="0"/>
      <w:numFmt w:val="bullet"/>
      <w:lvlText w:val="•"/>
      <w:lvlJc w:val="left"/>
      <w:pPr>
        <w:ind w:left="2020" w:hanging="420"/>
      </w:pPr>
      <w:rPr>
        <w:rFonts w:hint="default"/>
        <w:lang w:val="en-US" w:eastAsia="en-US" w:bidi="ar-SA"/>
      </w:rPr>
    </w:lvl>
  </w:abstractNum>
  <w:abstractNum w:abstractNumId="6">
    <w:nsid w:val="1B02F928"/>
    <w:multiLevelType w:val="hybridMultilevel"/>
    <w:tmpl w:val="00000000"/>
    <w:lvl w:ilvl="0">
      <w:start w:val="7"/>
      <w:numFmt w:val="decimal"/>
      <w:lvlText w:val="%1"/>
      <w:lvlJc w:val="left"/>
      <w:pPr>
        <w:ind w:left="529" w:hanging="318"/>
        <w:jc w:val="left"/>
      </w:pPr>
      <w:rPr>
        <w:rFonts w:hint="default"/>
        <w:lang w:val="en-US" w:eastAsia="en-US" w:bidi="ar-SA"/>
      </w:rPr>
    </w:lvl>
    <w:lvl w:ilvl="1">
      <w:start w:val="1"/>
      <w:numFmt w:val="decimal"/>
      <w:lvlText w:val="%1.%2"/>
      <w:lvlJc w:val="left"/>
      <w:pPr>
        <w:ind w:left="529" w:hanging="318"/>
        <w:jc w:val="left"/>
      </w:pPr>
      <w:rPr>
        <w:rFonts w:ascii="宋体" w:eastAsia="宋体" w:hAnsi="宋体" w:cs="宋体" w:hint="default"/>
        <w:w w:val="100"/>
        <w:sz w:val="19"/>
        <w:szCs w:val="19"/>
        <w:lang w:val="en-US" w:eastAsia="en-US" w:bidi="ar-SA"/>
      </w:rPr>
    </w:lvl>
    <w:lvl w:ilvl="2">
      <w:start w:val="0"/>
      <w:numFmt w:val="bullet"/>
      <w:lvlText w:val="•"/>
      <w:lvlJc w:val="left"/>
      <w:pPr>
        <w:ind w:left="2312" w:hanging="318"/>
      </w:pPr>
      <w:rPr>
        <w:rFonts w:hint="default"/>
        <w:lang w:val="en-US" w:eastAsia="en-US" w:bidi="ar-SA"/>
      </w:rPr>
    </w:lvl>
    <w:lvl w:ilvl="3">
      <w:start w:val="0"/>
      <w:numFmt w:val="bullet"/>
      <w:lvlText w:val="•"/>
      <w:lvlJc w:val="left"/>
      <w:pPr>
        <w:ind w:left="3208" w:hanging="318"/>
      </w:pPr>
      <w:rPr>
        <w:rFonts w:hint="default"/>
        <w:lang w:val="en-US" w:eastAsia="en-US" w:bidi="ar-SA"/>
      </w:rPr>
    </w:lvl>
    <w:lvl w:ilvl="4">
      <w:start w:val="0"/>
      <w:numFmt w:val="bullet"/>
      <w:lvlText w:val="•"/>
      <w:lvlJc w:val="left"/>
      <w:pPr>
        <w:ind w:left="4104" w:hanging="318"/>
      </w:pPr>
      <w:rPr>
        <w:rFonts w:hint="default"/>
        <w:lang w:val="en-US" w:eastAsia="en-US" w:bidi="ar-SA"/>
      </w:rPr>
    </w:lvl>
    <w:lvl w:ilvl="5">
      <w:start w:val="0"/>
      <w:numFmt w:val="bullet"/>
      <w:lvlText w:val="•"/>
      <w:lvlJc w:val="left"/>
      <w:pPr>
        <w:ind w:left="5001" w:hanging="318"/>
      </w:pPr>
      <w:rPr>
        <w:rFonts w:hint="default"/>
        <w:lang w:val="en-US" w:eastAsia="en-US" w:bidi="ar-SA"/>
      </w:rPr>
    </w:lvl>
    <w:lvl w:ilvl="6">
      <w:start w:val="0"/>
      <w:numFmt w:val="bullet"/>
      <w:lvlText w:val="•"/>
      <w:lvlJc w:val="left"/>
      <w:pPr>
        <w:ind w:left="5897" w:hanging="318"/>
      </w:pPr>
      <w:rPr>
        <w:rFonts w:hint="default"/>
        <w:lang w:val="en-US" w:eastAsia="en-US" w:bidi="ar-SA"/>
      </w:rPr>
    </w:lvl>
    <w:lvl w:ilvl="7">
      <w:start w:val="0"/>
      <w:numFmt w:val="bullet"/>
      <w:lvlText w:val="•"/>
      <w:lvlJc w:val="left"/>
      <w:pPr>
        <w:ind w:left="6793" w:hanging="318"/>
      </w:pPr>
      <w:rPr>
        <w:rFonts w:hint="default"/>
        <w:lang w:val="en-US" w:eastAsia="en-US" w:bidi="ar-SA"/>
      </w:rPr>
    </w:lvl>
    <w:lvl w:ilvl="8">
      <w:start w:val="0"/>
      <w:numFmt w:val="bullet"/>
      <w:lvlText w:val="•"/>
      <w:lvlJc w:val="left"/>
      <w:pPr>
        <w:ind w:left="7689" w:hanging="318"/>
      </w:pPr>
      <w:rPr>
        <w:rFonts w:hint="default"/>
        <w:lang w:val="en-US" w:eastAsia="en-US" w:bidi="ar-SA"/>
      </w:rPr>
    </w:lvl>
  </w:abstractNum>
  <w:abstractNum w:abstractNumId="7">
    <w:nsid w:val="1BA78A79"/>
    <w:multiLevelType w:val="hybridMultilevel"/>
    <w:tmpl w:val="00000000"/>
    <w:lvl w:ilvl="0">
      <w:start w:val="5"/>
      <w:numFmt w:val="decimal"/>
      <w:lvlText w:val="%1"/>
      <w:lvlJc w:val="left"/>
      <w:pPr>
        <w:ind w:left="892" w:hanging="579"/>
        <w:jc w:val="left"/>
      </w:pPr>
      <w:rPr>
        <w:rFonts w:hint="default"/>
        <w:lang w:val="en-US" w:eastAsia="en-US" w:bidi="ar-SA"/>
      </w:rPr>
    </w:lvl>
    <w:lvl w:ilvl="1">
      <w:start w:val="1"/>
      <w:numFmt w:val="decimal"/>
      <w:lvlText w:val="%1.%2"/>
      <w:lvlJc w:val="left"/>
      <w:pPr>
        <w:ind w:left="892" w:hanging="579"/>
        <w:jc w:val="left"/>
      </w:pPr>
      <w:rPr>
        <w:rFonts w:hint="default"/>
        <w:lang w:val="en-US" w:eastAsia="en-US" w:bidi="ar-SA"/>
      </w:rPr>
    </w:lvl>
    <w:lvl w:ilvl="2">
      <w:start w:val="2"/>
      <w:numFmt w:val="decimal"/>
      <w:lvlText w:val="%1.%2.%3"/>
      <w:lvlJc w:val="left"/>
      <w:pPr>
        <w:ind w:left="892" w:hanging="579"/>
        <w:jc w:val="left"/>
      </w:pPr>
      <w:rPr>
        <w:rFonts w:ascii="黑体" w:eastAsia="黑体" w:hAnsi="黑体" w:cs="黑体" w:hint="default"/>
        <w:w w:val="100"/>
        <w:sz w:val="21"/>
        <w:szCs w:val="21"/>
        <w:lang w:val="en-US" w:eastAsia="en-US" w:bidi="ar-SA"/>
      </w:rPr>
    </w:lvl>
    <w:lvl w:ilvl="3">
      <w:start w:val="0"/>
      <w:numFmt w:val="bullet"/>
      <w:lvlText w:val="•"/>
      <w:lvlJc w:val="left"/>
      <w:pPr>
        <w:ind w:left="4051" w:hanging="579"/>
      </w:pPr>
      <w:rPr>
        <w:rFonts w:hint="default"/>
        <w:lang w:val="en-US" w:eastAsia="en-US" w:bidi="ar-SA"/>
      </w:rPr>
    </w:lvl>
    <w:lvl w:ilvl="4">
      <w:start w:val="0"/>
      <w:numFmt w:val="bullet"/>
      <w:lvlText w:val="•"/>
      <w:lvlJc w:val="left"/>
      <w:pPr>
        <w:ind w:left="5102" w:hanging="579"/>
      </w:pPr>
      <w:rPr>
        <w:rFonts w:hint="default"/>
        <w:lang w:val="en-US" w:eastAsia="en-US" w:bidi="ar-SA"/>
      </w:rPr>
    </w:lvl>
    <w:lvl w:ilvl="5">
      <w:start w:val="0"/>
      <w:numFmt w:val="bullet"/>
      <w:lvlText w:val="•"/>
      <w:lvlJc w:val="left"/>
      <w:pPr>
        <w:ind w:left="6153" w:hanging="579"/>
      </w:pPr>
      <w:rPr>
        <w:rFonts w:hint="default"/>
        <w:lang w:val="en-US" w:eastAsia="en-US" w:bidi="ar-SA"/>
      </w:rPr>
    </w:lvl>
    <w:lvl w:ilvl="6">
      <w:start w:val="0"/>
      <w:numFmt w:val="bullet"/>
      <w:lvlText w:val="•"/>
      <w:lvlJc w:val="left"/>
      <w:pPr>
        <w:ind w:left="7203" w:hanging="579"/>
      </w:pPr>
      <w:rPr>
        <w:rFonts w:hint="default"/>
        <w:lang w:val="en-US" w:eastAsia="en-US" w:bidi="ar-SA"/>
      </w:rPr>
    </w:lvl>
    <w:lvl w:ilvl="7">
      <w:start w:val="0"/>
      <w:numFmt w:val="bullet"/>
      <w:lvlText w:val="•"/>
      <w:lvlJc w:val="left"/>
      <w:pPr>
        <w:ind w:left="8254" w:hanging="579"/>
      </w:pPr>
      <w:rPr>
        <w:rFonts w:hint="default"/>
        <w:lang w:val="en-US" w:eastAsia="en-US" w:bidi="ar-SA"/>
      </w:rPr>
    </w:lvl>
    <w:lvl w:ilvl="8">
      <w:start w:val="0"/>
      <w:numFmt w:val="bullet"/>
      <w:lvlText w:val="•"/>
      <w:lvlJc w:val="left"/>
      <w:pPr>
        <w:ind w:left="9305" w:hanging="579"/>
      </w:pPr>
      <w:rPr>
        <w:rFonts w:hint="default"/>
        <w:lang w:val="en-US" w:eastAsia="en-US" w:bidi="ar-SA"/>
      </w:rPr>
    </w:lvl>
  </w:abstractNum>
  <w:abstractNum w:abstractNumId="8">
    <w:nsid w:val="1CD14341"/>
    <w:multiLevelType w:val="hybridMultilevel"/>
    <w:tmpl w:val="00000000"/>
    <w:lvl w:ilvl="0">
      <w:start w:val="2"/>
      <w:numFmt w:val="upperLetter"/>
      <w:lvlText w:val="%1"/>
      <w:lvlJc w:val="left"/>
      <w:pPr>
        <w:ind w:left="1315" w:hanging="423"/>
        <w:jc w:val="left"/>
      </w:pPr>
      <w:rPr>
        <w:rFonts w:hint="default"/>
        <w:lang w:val="en-US" w:eastAsia="en-US" w:bidi="ar-SA"/>
      </w:rPr>
    </w:lvl>
    <w:lvl w:ilvl="1">
      <w:start w:val="1"/>
      <w:numFmt w:val="decimal"/>
      <w:lvlText w:val="%1.%2"/>
      <w:lvlJc w:val="left"/>
      <w:pPr>
        <w:ind w:left="1315" w:hanging="423"/>
        <w:jc w:val="right"/>
      </w:pPr>
      <w:rPr>
        <w:rFonts w:ascii="黑体" w:eastAsia="黑体" w:hAnsi="黑体" w:cs="黑体" w:hint="default"/>
        <w:w w:val="100"/>
        <w:sz w:val="21"/>
        <w:szCs w:val="21"/>
        <w:lang w:val="en-US" w:eastAsia="en-US" w:bidi="ar-SA"/>
      </w:rPr>
    </w:lvl>
    <w:lvl w:ilvl="2">
      <w:start w:val="1"/>
      <w:numFmt w:val="lowerLetter"/>
      <w:lvlText w:val="%3)"/>
      <w:lvlJc w:val="left"/>
      <w:pPr>
        <w:ind w:left="1733" w:hanging="420"/>
        <w:jc w:val="left"/>
      </w:pPr>
      <w:rPr>
        <w:rFonts w:ascii="Times New Roman" w:eastAsia="Times New Roman" w:hAnsi="Times New Roman" w:cs="Times New Roman" w:hint="default"/>
        <w:spacing w:val="-1"/>
        <w:w w:val="100"/>
        <w:sz w:val="21"/>
        <w:szCs w:val="21"/>
        <w:lang w:val="en-US" w:eastAsia="en-US" w:bidi="ar-SA"/>
      </w:rPr>
    </w:lvl>
    <w:lvl w:ilvl="3">
      <w:start w:val="0"/>
      <w:numFmt w:val="bullet"/>
      <w:lvlText w:val="•"/>
      <w:lvlJc w:val="left"/>
      <w:pPr>
        <w:ind w:left="3193" w:hanging="420"/>
      </w:pPr>
      <w:rPr>
        <w:rFonts w:hint="default"/>
        <w:lang w:val="en-US" w:eastAsia="en-US" w:bidi="ar-SA"/>
      </w:rPr>
    </w:lvl>
    <w:lvl w:ilvl="4">
      <w:start w:val="0"/>
      <w:numFmt w:val="bullet"/>
      <w:lvlText w:val="•"/>
      <w:lvlJc w:val="left"/>
      <w:pPr>
        <w:ind w:left="4366" w:hanging="420"/>
      </w:pPr>
      <w:rPr>
        <w:rFonts w:hint="default"/>
        <w:lang w:val="en-US" w:eastAsia="en-US" w:bidi="ar-SA"/>
      </w:rPr>
    </w:lvl>
    <w:lvl w:ilvl="5">
      <w:start w:val="0"/>
      <w:numFmt w:val="bullet"/>
      <w:lvlText w:val="•"/>
      <w:lvlJc w:val="left"/>
      <w:pPr>
        <w:ind w:left="5539" w:hanging="420"/>
      </w:pPr>
      <w:rPr>
        <w:rFonts w:hint="default"/>
        <w:lang w:val="en-US" w:eastAsia="en-US" w:bidi="ar-SA"/>
      </w:rPr>
    </w:lvl>
    <w:lvl w:ilvl="6">
      <w:start w:val="0"/>
      <w:numFmt w:val="bullet"/>
      <w:lvlText w:val="•"/>
      <w:lvlJc w:val="left"/>
      <w:pPr>
        <w:ind w:left="6713" w:hanging="420"/>
      </w:pPr>
      <w:rPr>
        <w:rFonts w:hint="default"/>
        <w:lang w:val="en-US" w:eastAsia="en-US" w:bidi="ar-SA"/>
      </w:rPr>
    </w:lvl>
    <w:lvl w:ilvl="7">
      <w:start w:val="0"/>
      <w:numFmt w:val="bullet"/>
      <w:lvlText w:val="•"/>
      <w:lvlJc w:val="left"/>
      <w:pPr>
        <w:ind w:left="7886" w:hanging="420"/>
      </w:pPr>
      <w:rPr>
        <w:rFonts w:hint="default"/>
        <w:lang w:val="en-US" w:eastAsia="en-US" w:bidi="ar-SA"/>
      </w:rPr>
    </w:lvl>
    <w:lvl w:ilvl="8">
      <w:start w:val="0"/>
      <w:numFmt w:val="bullet"/>
      <w:lvlText w:val="•"/>
      <w:lvlJc w:val="left"/>
      <w:pPr>
        <w:ind w:left="9059" w:hanging="420"/>
      </w:pPr>
      <w:rPr>
        <w:rFonts w:hint="default"/>
        <w:lang w:val="en-US" w:eastAsia="en-US" w:bidi="ar-SA"/>
      </w:rPr>
    </w:lvl>
  </w:abstractNum>
  <w:abstractNum w:abstractNumId="9">
    <w:nsid w:val="1CDA99A2"/>
    <w:multiLevelType w:val="hybridMultilevel"/>
    <w:tmpl w:val="00000000"/>
    <w:lvl w:ilvl="0">
      <w:start w:val="4"/>
      <w:numFmt w:val="upperLetter"/>
      <w:lvlText w:val="%1"/>
      <w:lvlJc w:val="left"/>
      <w:pPr>
        <w:ind w:left="892" w:hanging="527"/>
        <w:jc w:val="left"/>
      </w:pPr>
      <w:rPr>
        <w:rFonts w:hint="default"/>
        <w:lang w:val="en-US" w:eastAsia="en-US" w:bidi="ar-SA"/>
      </w:rPr>
    </w:lvl>
    <w:lvl w:ilvl="1">
      <w:start w:val="1"/>
      <w:numFmt w:val="decimal"/>
      <w:lvlText w:val="%1.%2"/>
      <w:lvlJc w:val="left"/>
      <w:pPr>
        <w:ind w:left="892" w:hanging="527"/>
        <w:jc w:val="left"/>
      </w:pPr>
      <w:rPr>
        <w:rFonts w:ascii="黑体" w:eastAsia="黑体" w:hAnsi="黑体" w:cs="黑体" w:hint="default"/>
        <w:w w:val="100"/>
        <w:sz w:val="21"/>
        <w:szCs w:val="21"/>
        <w:lang w:val="en-US" w:eastAsia="en-US" w:bidi="ar-SA"/>
      </w:rPr>
    </w:lvl>
    <w:lvl w:ilvl="2">
      <w:start w:val="1"/>
      <w:numFmt w:val="decimal"/>
      <w:lvlText w:val="[%3]"/>
      <w:lvlJc w:val="left"/>
      <w:pPr>
        <w:ind w:left="1687" w:hanging="375"/>
        <w:jc w:val="left"/>
      </w:pPr>
      <w:rPr>
        <w:rFonts w:ascii="宋体" w:eastAsia="宋体" w:hAnsi="宋体" w:cs="宋体" w:hint="default"/>
        <w:w w:val="100"/>
        <w:sz w:val="21"/>
        <w:szCs w:val="21"/>
        <w:lang w:val="en-US" w:eastAsia="en-US" w:bidi="ar-SA"/>
      </w:rPr>
    </w:lvl>
    <w:lvl w:ilvl="3">
      <w:start w:val="0"/>
      <w:numFmt w:val="bullet"/>
      <w:lvlText w:val="•"/>
      <w:lvlJc w:val="left"/>
      <w:pPr>
        <w:ind w:left="3841" w:hanging="375"/>
      </w:pPr>
      <w:rPr>
        <w:rFonts w:hint="default"/>
        <w:lang w:val="en-US" w:eastAsia="en-US" w:bidi="ar-SA"/>
      </w:rPr>
    </w:lvl>
    <w:lvl w:ilvl="4">
      <w:start w:val="0"/>
      <w:numFmt w:val="bullet"/>
      <w:lvlText w:val="•"/>
      <w:lvlJc w:val="left"/>
      <w:pPr>
        <w:ind w:left="4922" w:hanging="375"/>
      </w:pPr>
      <w:rPr>
        <w:rFonts w:hint="default"/>
        <w:lang w:val="en-US" w:eastAsia="en-US" w:bidi="ar-SA"/>
      </w:rPr>
    </w:lvl>
    <w:lvl w:ilvl="5">
      <w:start w:val="0"/>
      <w:numFmt w:val="bullet"/>
      <w:lvlText w:val="•"/>
      <w:lvlJc w:val="left"/>
      <w:pPr>
        <w:ind w:left="6002" w:hanging="375"/>
      </w:pPr>
      <w:rPr>
        <w:rFonts w:hint="default"/>
        <w:lang w:val="en-US" w:eastAsia="en-US" w:bidi="ar-SA"/>
      </w:rPr>
    </w:lvl>
    <w:lvl w:ilvl="6">
      <w:start w:val="0"/>
      <w:numFmt w:val="bullet"/>
      <w:lvlText w:val="•"/>
      <w:lvlJc w:val="left"/>
      <w:pPr>
        <w:ind w:left="7083" w:hanging="375"/>
      </w:pPr>
      <w:rPr>
        <w:rFonts w:hint="default"/>
        <w:lang w:val="en-US" w:eastAsia="en-US" w:bidi="ar-SA"/>
      </w:rPr>
    </w:lvl>
    <w:lvl w:ilvl="7">
      <w:start w:val="0"/>
      <w:numFmt w:val="bullet"/>
      <w:lvlText w:val="•"/>
      <w:lvlJc w:val="left"/>
      <w:pPr>
        <w:ind w:left="8164" w:hanging="375"/>
      </w:pPr>
      <w:rPr>
        <w:rFonts w:hint="default"/>
        <w:lang w:val="en-US" w:eastAsia="en-US" w:bidi="ar-SA"/>
      </w:rPr>
    </w:lvl>
    <w:lvl w:ilvl="8">
      <w:start w:val="0"/>
      <w:numFmt w:val="bullet"/>
      <w:lvlText w:val="•"/>
      <w:lvlJc w:val="left"/>
      <w:pPr>
        <w:ind w:left="9244" w:hanging="375"/>
      </w:pPr>
      <w:rPr>
        <w:rFonts w:hint="default"/>
        <w:lang w:val="en-US" w:eastAsia="en-US" w:bidi="ar-SA"/>
      </w:rPr>
    </w:lvl>
  </w:abstractNum>
  <w:abstractNum w:abstractNumId="10">
    <w:nsid w:val="316D438E"/>
    <w:multiLevelType w:val="hybridMultilevel"/>
    <w:tmpl w:val="00000000"/>
    <w:lvl w:ilvl="0">
      <w:start w:val="6"/>
      <w:numFmt w:val="decimal"/>
      <w:lvlText w:val="%1"/>
      <w:lvlJc w:val="left"/>
      <w:pPr>
        <w:ind w:left="892" w:hanging="579"/>
        <w:jc w:val="left"/>
      </w:pPr>
      <w:rPr>
        <w:rFonts w:hint="default"/>
        <w:lang w:val="en-US" w:eastAsia="en-US" w:bidi="ar-SA"/>
      </w:rPr>
    </w:lvl>
    <w:lvl w:ilvl="1">
      <w:start w:val="1"/>
      <w:numFmt w:val="decimal"/>
      <w:lvlText w:val="%1.%2"/>
      <w:lvlJc w:val="left"/>
      <w:pPr>
        <w:ind w:left="892" w:hanging="579"/>
        <w:jc w:val="left"/>
      </w:pPr>
      <w:rPr>
        <w:rFonts w:hint="default"/>
        <w:lang w:val="en-US" w:eastAsia="en-US" w:bidi="ar-SA"/>
      </w:rPr>
    </w:lvl>
    <w:lvl w:ilvl="2">
      <w:start w:val="1"/>
      <w:numFmt w:val="decimal"/>
      <w:lvlText w:val="%1.%2.%3"/>
      <w:lvlJc w:val="left"/>
      <w:pPr>
        <w:ind w:left="892" w:hanging="579"/>
        <w:jc w:val="left"/>
      </w:pPr>
      <w:rPr>
        <w:rFonts w:ascii="黑体" w:eastAsia="黑体" w:hAnsi="黑体" w:cs="黑体" w:hint="default"/>
        <w:w w:val="100"/>
        <w:sz w:val="21"/>
        <w:szCs w:val="21"/>
        <w:lang w:val="en-US" w:eastAsia="en-US" w:bidi="ar-SA"/>
      </w:rPr>
    </w:lvl>
    <w:lvl w:ilvl="3">
      <w:start w:val="1"/>
      <w:numFmt w:val="lowerLetter"/>
      <w:lvlText w:val="%4)"/>
      <w:lvlJc w:val="left"/>
      <w:pPr>
        <w:ind w:left="1733" w:hanging="420"/>
        <w:jc w:val="left"/>
      </w:pPr>
      <w:rPr>
        <w:rFonts w:ascii="Times New Roman" w:eastAsia="Times New Roman" w:hAnsi="Times New Roman" w:cs="Times New Roman" w:hint="default"/>
        <w:spacing w:val="-1"/>
        <w:w w:val="100"/>
        <w:sz w:val="21"/>
        <w:szCs w:val="21"/>
        <w:lang w:val="en-US" w:eastAsia="en-US" w:bidi="ar-SA"/>
      </w:rPr>
    </w:lvl>
    <w:lvl w:ilvl="4">
      <w:start w:val="0"/>
      <w:numFmt w:val="bullet"/>
      <w:lvlText w:val="•"/>
      <w:lvlJc w:val="left"/>
      <w:pPr>
        <w:ind w:left="4962" w:hanging="420"/>
      </w:pPr>
      <w:rPr>
        <w:rFonts w:hint="default"/>
        <w:lang w:val="en-US" w:eastAsia="en-US" w:bidi="ar-SA"/>
      </w:rPr>
    </w:lvl>
    <w:lvl w:ilvl="5">
      <w:start w:val="0"/>
      <w:numFmt w:val="bullet"/>
      <w:lvlText w:val="•"/>
      <w:lvlJc w:val="left"/>
      <w:pPr>
        <w:ind w:left="6036" w:hanging="420"/>
      </w:pPr>
      <w:rPr>
        <w:rFonts w:hint="default"/>
        <w:lang w:val="en-US" w:eastAsia="en-US" w:bidi="ar-SA"/>
      </w:rPr>
    </w:lvl>
    <w:lvl w:ilvl="6">
      <w:start w:val="0"/>
      <w:numFmt w:val="bullet"/>
      <w:lvlText w:val="•"/>
      <w:lvlJc w:val="left"/>
      <w:pPr>
        <w:ind w:left="7110" w:hanging="420"/>
      </w:pPr>
      <w:rPr>
        <w:rFonts w:hint="default"/>
        <w:lang w:val="en-US" w:eastAsia="en-US" w:bidi="ar-SA"/>
      </w:rPr>
    </w:lvl>
    <w:lvl w:ilvl="7">
      <w:start w:val="0"/>
      <w:numFmt w:val="bullet"/>
      <w:lvlText w:val="•"/>
      <w:lvlJc w:val="left"/>
      <w:pPr>
        <w:ind w:left="8184" w:hanging="420"/>
      </w:pPr>
      <w:rPr>
        <w:rFonts w:hint="default"/>
        <w:lang w:val="en-US" w:eastAsia="en-US" w:bidi="ar-SA"/>
      </w:rPr>
    </w:lvl>
    <w:lvl w:ilvl="8">
      <w:start w:val="0"/>
      <w:numFmt w:val="bullet"/>
      <w:lvlText w:val="•"/>
      <w:lvlJc w:val="left"/>
      <w:pPr>
        <w:ind w:left="9258" w:hanging="420"/>
      </w:pPr>
      <w:rPr>
        <w:rFonts w:hint="default"/>
        <w:lang w:val="en-US" w:eastAsia="en-US" w:bidi="ar-SA"/>
      </w:rPr>
    </w:lvl>
  </w:abstractNum>
  <w:abstractNum w:abstractNumId="11">
    <w:nsid w:val="379AF2FD"/>
    <w:multiLevelType w:val="hybridMultilevel"/>
    <w:tmpl w:val="00000000"/>
    <w:lvl w:ilvl="0">
      <w:start w:val="10"/>
      <w:numFmt w:val="decimal"/>
      <w:lvlText w:val="%1"/>
      <w:lvlJc w:val="left"/>
      <w:pPr>
        <w:ind w:left="1178" w:hanging="737"/>
        <w:jc w:val="left"/>
      </w:pPr>
      <w:rPr>
        <w:rFonts w:hint="default"/>
        <w:lang w:val="en-US" w:eastAsia="en-US" w:bidi="ar-SA"/>
      </w:rPr>
    </w:lvl>
    <w:lvl w:ilvl="1">
      <w:start w:val="1"/>
      <w:numFmt w:val="decimal"/>
      <w:lvlText w:val="%1.%2"/>
      <w:lvlJc w:val="left"/>
      <w:pPr>
        <w:ind w:left="1178" w:hanging="737"/>
        <w:jc w:val="left"/>
      </w:pPr>
      <w:rPr>
        <w:rFonts w:hint="default"/>
        <w:lang w:val="en-US" w:eastAsia="en-US" w:bidi="ar-SA"/>
      </w:rPr>
    </w:lvl>
    <w:lvl w:ilvl="2">
      <w:start w:val="1"/>
      <w:numFmt w:val="decimal"/>
      <w:lvlText w:val="%1.%2.%3"/>
      <w:lvlJc w:val="left"/>
      <w:pPr>
        <w:ind w:left="1178" w:hanging="737"/>
        <w:jc w:val="right"/>
      </w:pPr>
      <w:rPr>
        <w:rFonts w:ascii="黑体" w:eastAsia="黑体" w:hAnsi="黑体" w:cs="黑体" w:hint="default"/>
        <w:spacing w:val="-3"/>
        <w:w w:val="100"/>
        <w:sz w:val="21"/>
        <w:szCs w:val="21"/>
        <w:lang w:val="en-US" w:eastAsia="en-US" w:bidi="ar-SA"/>
      </w:rPr>
    </w:lvl>
    <w:lvl w:ilvl="3">
      <w:start w:val="1"/>
      <w:numFmt w:val="lowerLetter"/>
      <w:lvlText w:val="%4)"/>
      <w:lvlJc w:val="left"/>
      <w:pPr>
        <w:ind w:left="2018" w:hanging="420"/>
        <w:jc w:val="left"/>
      </w:pPr>
      <w:rPr>
        <w:rFonts w:ascii="Times New Roman" w:eastAsia="Times New Roman" w:hAnsi="Times New Roman" w:cs="Times New Roman" w:hint="default"/>
        <w:spacing w:val="-1"/>
        <w:w w:val="100"/>
        <w:sz w:val="21"/>
        <w:szCs w:val="21"/>
        <w:lang w:val="en-US" w:eastAsia="en-US" w:bidi="ar-SA"/>
      </w:rPr>
    </w:lvl>
    <w:lvl w:ilvl="4">
      <w:start w:val="0"/>
      <w:numFmt w:val="bullet"/>
      <w:lvlText w:val="•"/>
      <w:lvlJc w:val="left"/>
      <w:pPr>
        <w:ind w:left="4366" w:hanging="420"/>
      </w:pPr>
      <w:rPr>
        <w:rFonts w:hint="default"/>
        <w:lang w:val="en-US" w:eastAsia="en-US" w:bidi="ar-SA"/>
      </w:rPr>
    </w:lvl>
    <w:lvl w:ilvl="5">
      <w:start w:val="0"/>
      <w:numFmt w:val="bullet"/>
      <w:lvlText w:val="•"/>
      <w:lvlJc w:val="left"/>
      <w:pPr>
        <w:ind w:left="5539" w:hanging="420"/>
      </w:pPr>
      <w:rPr>
        <w:rFonts w:hint="default"/>
        <w:lang w:val="en-US" w:eastAsia="en-US" w:bidi="ar-SA"/>
      </w:rPr>
    </w:lvl>
    <w:lvl w:ilvl="6">
      <w:start w:val="0"/>
      <w:numFmt w:val="bullet"/>
      <w:lvlText w:val="•"/>
      <w:lvlJc w:val="left"/>
      <w:pPr>
        <w:ind w:left="6713" w:hanging="420"/>
      </w:pPr>
      <w:rPr>
        <w:rFonts w:hint="default"/>
        <w:lang w:val="en-US" w:eastAsia="en-US" w:bidi="ar-SA"/>
      </w:rPr>
    </w:lvl>
    <w:lvl w:ilvl="7">
      <w:start w:val="0"/>
      <w:numFmt w:val="bullet"/>
      <w:lvlText w:val="•"/>
      <w:lvlJc w:val="left"/>
      <w:pPr>
        <w:ind w:left="7886" w:hanging="420"/>
      </w:pPr>
      <w:rPr>
        <w:rFonts w:hint="default"/>
        <w:lang w:val="en-US" w:eastAsia="en-US" w:bidi="ar-SA"/>
      </w:rPr>
    </w:lvl>
    <w:lvl w:ilvl="8">
      <w:start w:val="0"/>
      <w:numFmt w:val="bullet"/>
      <w:lvlText w:val="•"/>
      <w:lvlJc w:val="left"/>
      <w:pPr>
        <w:ind w:left="9059" w:hanging="420"/>
      </w:pPr>
      <w:rPr>
        <w:rFonts w:hint="default"/>
        <w:lang w:val="en-US" w:eastAsia="en-US" w:bidi="ar-SA"/>
      </w:rPr>
    </w:lvl>
  </w:abstractNum>
  <w:abstractNum w:abstractNumId="12">
    <w:nsid w:val="3F2B9C8F"/>
    <w:multiLevelType w:val="hybridMultilevel"/>
    <w:tmpl w:val="00000000"/>
    <w:lvl w:ilvl="0">
      <w:start w:val="6"/>
      <w:numFmt w:val="decimal"/>
      <w:lvlText w:val="%1"/>
      <w:lvlJc w:val="left"/>
      <w:pPr>
        <w:ind w:left="1757" w:hanging="579"/>
        <w:jc w:val="left"/>
      </w:pPr>
      <w:rPr>
        <w:rFonts w:hint="default"/>
        <w:lang w:val="en-US" w:eastAsia="en-US" w:bidi="ar-SA"/>
      </w:rPr>
    </w:lvl>
    <w:lvl w:ilvl="1">
      <w:start w:val="2"/>
      <w:numFmt w:val="decimal"/>
      <w:lvlText w:val="%1.%2"/>
      <w:lvlJc w:val="left"/>
      <w:pPr>
        <w:ind w:left="1757" w:hanging="579"/>
        <w:jc w:val="left"/>
      </w:pPr>
      <w:rPr>
        <w:rFonts w:hint="default"/>
        <w:lang w:val="en-US" w:eastAsia="en-US" w:bidi="ar-SA"/>
      </w:rPr>
    </w:lvl>
    <w:lvl w:ilvl="2">
      <w:start w:val="4"/>
      <w:numFmt w:val="decimal"/>
      <w:lvlText w:val="%1.%2.%3"/>
      <w:lvlJc w:val="left"/>
      <w:pPr>
        <w:ind w:left="1757" w:hanging="579"/>
        <w:jc w:val="left"/>
      </w:pPr>
      <w:rPr>
        <w:rFonts w:ascii="黑体" w:eastAsia="黑体" w:hAnsi="黑体" w:cs="黑体" w:hint="default"/>
        <w:w w:val="100"/>
        <w:sz w:val="21"/>
        <w:szCs w:val="21"/>
        <w:lang w:val="en-US" w:eastAsia="en-US" w:bidi="ar-SA"/>
      </w:rPr>
    </w:lvl>
    <w:lvl w:ilvl="3">
      <w:start w:val="1"/>
      <w:numFmt w:val="lowerLetter"/>
      <w:lvlText w:val="%4)"/>
      <w:lvlJc w:val="left"/>
      <w:pPr>
        <w:ind w:left="2018" w:hanging="420"/>
        <w:jc w:val="left"/>
      </w:pPr>
      <w:rPr>
        <w:rFonts w:ascii="Times New Roman" w:eastAsia="Times New Roman" w:hAnsi="Times New Roman" w:cs="Times New Roman" w:hint="default"/>
        <w:spacing w:val="-1"/>
        <w:w w:val="100"/>
        <w:sz w:val="21"/>
        <w:szCs w:val="21"/>
        <w:lang w:val="en-US" w:eastAsia="en-US" w:bidi="ar-SA"/>
      </w:rPr>
    </w:lvl>
    <w:lvl w:ilvl="4">
      <w:start w:val="0"/>
      <w:numFmt w:val="bullet"/>
      <w:lvlText w:val="•"/>
      <w:lvlJc w:val="left"/>
      <w:pPr>
        <w:ind w:left="5148" w:hanging="420"/>
      </w:pPr>
      <w:rPr>
        <w:rFonts w:hint="default"/>
        <w:lang w:val="en-US" w:eastAsia="en-US" w:bidi="ar-SA"/>
      </w:rPr>
    </w:lvl>
    <w:lvl w:ilvl="5">
      <w:start w:val="0"/>
      <w:numFmt w:val="bullet"/>
      <w:lvlText w:val="•"/>
      <w:lvlJc w:val="left"/>
      <w:pPr>
        <w:ind w:left="6191" w:hanging="420"/>
      </w:pPr>
      <w:rPr>
        <w:rFonts w:hint="default"/>
        <w:lang w:val="en-US" w:eastAsia="en-US" w:bidi="ar-SA"/>
      </w:rPr>
    </w:lvl>
    <w:lvl w:ilvl="6">
      <w:start w:val="0"/>
      <w:numFmt w:val="bullet"/>
      <w:lvlText w:val="•"/>
      <w:lvlJc w:val="left"/>
      <w:pPr>
        <w:ind w:left="7234" w:hanging="420"/>
      </w:pPr>
      <w:rPr>
        <w:rFonts w:hint="default"/>
        <w:lang w:val="en-US" w:eastAsia="en-US" w:bidi="ar-SA"/>
      </w:rPr>
    </w:lvl>
    <w:lvl w:ilvl="7">
      <w:start w:val="0"/>
      <w:numFmt w:val="bullet"/>
      <w:lvlText w:val="•"/>
      <w:lvlJc w:val="left"/>
      <w:pPr>
        <w:ind w:left="8277" w:hanging="420"/>
      </w:pPr>
      <w:rPr>
        <w:rFonts w:hint="default"/>
        <w:lang w:val="en-US" w:eastAsia="en-US" w:bidi="ar-SA"/>
      </w:rPr>
    </w:lvl>
    <w:lvl w:ilvl="8">
      <w:start w:val="0"/>
      <w:numFmt w:val="bullet"/>
      <w:lvlText w:val="•"/>
      <w:lvlJc w:val="left"/>
      <w:pPr>
        <w:ind w:left="9320" w:hanging="420"/>
      </w:pPr>
      <w:rPr>
        <w:rFonts w:hint="default"/>
        <w:lang w:val="en-US" w:eastAsia="en-US" w:bidi="ar-SA"/>
      </w:rPr>
    </w:lvl>
  </w:abstractNum>
  <w:abstractNum w:abstractNumId="13">
    <w:nsid w:val="4277B131"/>
    <w:multiLevelType w:val="hybridMultilevel"/>
    <w:tmpl w:val="00000000"/>
    <w:lvl w:ilvl="0">
      <w:start w:val="11"/>
      <w:numFmt w:val="decimal"/>
      <w:lvlText w:val="%1"/>
      <w:lvlJc w:val="left"/>
      <w:pPr>
        <w:ind w:left="1178" w:hanging="840"/>
        <w:jc w:val="left"/>
      </w:pPr>
      <w:rPr>
        <w:rFonts w:hint="default"/>
        <w:lang w:val="en-US" w:eastAsia="en-US" w:bidi="ar-SA"/>
      </w:rPr>
    </w:lvl>
    <w:lvl w:ilvl="1">
      <w:start w:val="1"/>
      <w:numFmt w:val="decimal"/>
      <w:lvlText w:val="%1.%2"/>
      <w:lvlJc w:val="left"/>
      <w:pPr>
        <w:ind w:left="1178" w:hanging="840"/>
        <w:jc w:val="left"/>
      </w:pPr>
      <w:rPr>
        <w:rFonts w:hint="default"/>
        <w:lang w:val="en-US" w:eastAsia="en-US" w:bidi="ar-SA"/>
      </w:rPr>
    </w:lvl>
    <w:lvl w:ilvl="2">
      <w:start w:val="1"/>
      <w:numFmt w:val="decimal"/>
      <w:lvlText w:val="%1.%2.%3"/>
      <w:lvlJc w:val="left"/>
      <w:pPr>
        <w:ind w:left="1178" w:hanging="840"/>
        <w:jc w:val="right"/>
      </w:pPr>
      <w:rPr>
        <w:rFonts w:ascii="黑体" w:eastAsia="黑体" w:hAnsi="黑体" w:cs="黑体" w:hint="default"/>
        <w:w w:val="100"/>
        <w:sz w:val="21"/>
        <w:szCs w:val="21"/>
        <w:lang w:val="en-US" w:eastAsia="en-US" w:bidi="ar-SA"/>
      </w:rPr>
    </w:lvl>
    <w:lvl w:ilvl="3">
      <w:start w:val="1"/>
      <w:numFmt w:val="lowerLetter"/>
      <w:lvlText w:val="%4)"/>
      <w:lvlJc w:val="left"/>
      <w:pPr>
        <w:ind w:left="1733" w:hanging="420"/>
        <w:jc w:val="left"/>
      </w:pPr>
      <w:rPr>
        <w:rFonts w:ascii="Times New Roman" w:eastAsia="Times New Roman" w:hAnsi="Times New Roman" w:cs="Times New Roman" w:hint="default"/>
        <w:spacing w:val="-1"/>
        <w:w w:val="100"/>
        <w:sz w:val="21"/>
        <w:szCs w:val="21"/>
        <w:lang w:val="en-US" w:eastAsia="en-US" w:bidi="ar-SA"/>
      </w:rPr>
    </w:lvl>
    <w:lvl w:ilvl="4">
      <w:start w:val="0"/>
      <w:numFmt w:val="bullet"/>
      <w:lvlText w:val="•"/>
      <w:lvlJc w:val="left"/>
      <w:pPr>
        <w:ind w:left="4962" w:hanging="420"/>
      </w:pPr>
      <w:rPr>
        <w:rFonts w:hint="default"/>
        <w:lang w:val="en-US" w:eastAsia="en-US" w:bidi="ar-SA"/>
      </w:rPr>
    </w:lvl>
    <w:lvl w:ilvl="5">
      <w:start w:val="0"/>
      <w:numFmt w:val="bullet"/>
      <w:lvlText w:val="•"/>
      <w:lvlJc w:val="left"/>
      <w:pPr>
        <w:ind w:left="6036" w:hanging="420"/>
      </w:pPr>
      <w:rPr>
        <w:rFonts w:hint="default"/>
        <w:lang w:val="en-US" w:eastAsia="en-US" w:bidi="ar-SA"/>
      </w:rPr>
    </w:lvl>
    <w:lvl w:ilvl="6">
      <w:start w:val="0"/>
      <w:numFmt w:val="bullet"/>
      <w:lvlText w:val="•"/>
      <w:lvlJc w:val="left"/>
      <w:pPr>
        <w:ind w:left="7110" w:hanging="420"/>
      </w:pPr>
      <w:rPr>
        <w:rFonts w:hint="default"/>
        <w:lang w:val="en-US" w:eastAsia="en-US" w:bidi="ar-SA"/>
      </w:rPr>
    </w:lvl>
    <w:lvl w:ilvl="7">
      <w:start w:val="0"/>
      <w:numFmt w:val="bullet"/>
      <w:lvlText w:val="•"/>
      <w:lvlJc w:val="left"/>
      <w:pPr>
        <w:ind w:left="8184" w:hanging="420"/>
      </w:pPr>
      <w:rPr>
        <w:rFonts w:hint="default"/>
        <w:lang w:val="en-US" w:eastAsia="en-US" w:bidi="ar-SA"/>
      </w:rPr>
    </w:lvl>
    <w:lvl w:ilvl="8">
      <w:start w:val="0"/>
      <w:numFmt w:val="bullet"/>
      <w:lvlText w:val="•"/>
      <w:lvlJc w:val="left"/>
      <w:pPr>
        <w:ind w:left="9258" w:hanging="420"/>
      </w:pPr>
      <w:rPr>
        <w:rFonts w:hint="default"/>
        <w:lang w:val="en-US" w:eastAsia="en-US" w:bidi="ar-SA"/>
      </w:rPr>
    </w:lvl>
  </w:abstractNum>
  <w:abstractNum w:abstractNumId="14">
    <w:nsid w:val="4E11BFE1"/>
    <w:multiLevelType w:val="hybridMultilevel"/>
    <w:tmpl w:val="00000000"/>
    <w:lvl w:ilvl="0">
      <w:start w:val="9"/>
      <w:numFmt w:val="decimal"/>
      <w:lvlText w:val="%1"/>
      <w:lvlJc w:val="left"/>
      <w:pPr>
        <w:ind w:left="892" w:hanging="579"/>
        <w:jc w:val="left"/>
      </w:pPr>
      <w:rPr>
        <w:rFonts w:hint="default"/>
        <w:lang w:val="en-US" w:eastAsia="en-US" w:bidi="ar-SA"/>
      </w:rPr>
    </w:lvl>
    <w:lvl w:ilvl="1">
      <w:start w:val="1"/>
      <w:numFmt w:val="decimal"/>
      <w:lvlText w:val="%1.%2"/>
      <w:lvlJc w:val="left"/>
      <w:pPr>
        <w:ind w:left="892" w:hanging="579"/>
        <w:jc w:val="left"/>
      </w:pPr>
      <w:rPr>
        <w:rFonts w:hint="default"/>
        <w:lang w:val="en-US" w:eastAsia="en-US" w:bidi="ar-SA"/>
      </w:rPr>
    </w:lvl>
    <w:lvl w:ilvl="2">
      <w:start w:val="1"/>
      <w:numFmt w:val="decimal"/>
      <w:lvlText w:val="%1.%2.%3"/>
      <w:lvlJc w:val="left"/>
      <w:pPr>
        <w:ind w:left="892" w:hanging="579"/>
        <w:jc w:val="left"/>
      </w:pPr>
      <w:rPr>
        <w:rFonts w:ascii="黑体" w:eastAsia="黑体" w:hAnsi="黑体" w:cs="黑体" w:hint="default"/>
        <w:w w:val="100"/>
        <w:sz w:val="21"/>
        <w:szCs w:val="21"/>
        <w:lang w:val="en-US" w:eastAsia="en-US" w:bidi="ar-SA"/>
      </w:rPr>
    </w:lvl>
    <w:lvl w:ilvl="3">
      <w:start w:val="0"/>
      <w:numFmt w:val="bullet"/>
      <w:lvlText w:val="•"/>
      <w:lvlJc w:val="left"/>
      <w:pPr>
        <w:ind w:left="4051" w:hanging="579"/>
      </w:pPr>
      <w:rPr>
        <w:rFonts w:hint="default"/>
        <w:lang w:val="en-US" w:eastAsia="en-US" w:bidi="ar-SA"/>
      </w:rPr>
    </w:lvl>
    <w:lvl w:ilvl="4">
      <w:start w:val="0"/>
      <w:numFmt w:val="bullet"/>
      <w:lvlText w:val="•"/>
      <w:lvlJc w:val="left"/>
      <w:pPr>
        <w:ind w:left="5102" w:hanging="579"/>
      </w:pPr>
      <w:rPr>
        <w:rFonts w:hint="default"/>
        <w:lang w:val="en-US" w:eastAsia="en-US" w:bidi="ar-SA"/>
      </w:rPr>
    </w:lvl>
    <w:lvl w:ilvl="5">
      <w:start w:val="0"/>
      <w:numFmt w:val="bullet"/>
      <w:lvlText w:val="•"/>
      <w:lvlJc w:val="left"/>
      <w:pPr>
        <w:ind w:left="6153" w:hanging="579"/>
      </w:pPr>
      <w:rPr>
        <w:rFonts w:hint="default"/>
        <w:lang w:val="en-US" w:eastAsia="en-US" w:bidi="ar-SA"/>
      </w:rPr>
    </w:lvl>
    <w:lvl w:ilvl="6">
      <w:start w:val="0"/>
      <w:numFmt w:val="bullet"/>
      <w:lvlText w:val="•"/>
      <w:lvlJc w:val="left"/>
      <w:pPr>
        <w:ind w:left="7203" w:hanging="579"/>
      </w:pPr>
      <w:rPr>
        <w:rFonts w:hint="default"/>
        <w:lang w:val="en-US" w:eastAsia="en-US" w:bidi="ar-SA"/>
      </w:rPr>
    </w:lvl>
    <w:lvl w:ilvl="7">
      <w:start w:val="0"/>
      <w:numFmt w:val="bullet"/>
      <w:lvlText w:val="•"/>
      <w:lvlJc w:val="left"/>
      <w:pPr>
        <w:ind w:left="8254" w:hanging="579"/>
      </w:pPr>
      <w:rPr>
        <w:rFonts w:hint="default"/>
        <w:lang w:val="en-US" w:eastAsia="en-US" w:bidi="ar-SA"/>
      </w:rPr>
    </w:lvl>
    <w:lvl w:ilvl="8">
      <w:start w:val="0"/>
      <w:numFmt w:val="bullet"/>
      <w:lvlText w:val="•"/>
      <w:lvlJc w:val="left"/>
      <w:pPr>
        <w:ind w:left="9305" w:hanging="579"/>
      </w:pPr>
      <w:rPr>
        <w:rFonts w:hint="default"/>
        <w:lang w:val="en-US" w:eastAsia="en-US" w:bidi="ar-SA"/>
      </w:rPr>
    </w:lvl>
  </w:abstractNum>
  <w:abstractNum w:abstractNumId="15">
    <w:nsid w:val="4E492CB9"/>
    <w:multiLevelType w:val="hybridMultilevel"/>
    <w:tmpl w:val="00000000"/>
    <w:lvl w:ilvl="0">
      <w:start w:val="10"/>
      <w:numFmt w:val="decimal"/>
      <w:lvlText w:val="%1"/>
      <w:lvlJc w:val="left"/>
      <w:pPr>
        <w:ind w:left="1178" w:hanging="684"/>
        <w:jc w:val="left"/>
      </w:pPr>
      <w:rPr>
        <w:rFonts w:hint="default"/>
        <w:lang w:val="en-US" w:eastAsia="en-US" w:bidi="ar-SA"/>
      </w:rPr>
    </w:lvl>
    <w:lvl w:ilvl="1">
      <w:start w:val="2"/>
      <w:numFmt w:val="decimal"/>
      <w:lvlText w:val="%1.%2"/>
      <w:lvlJc w:val="left"/>
      <w:pPr>
        <w:ind w:left="1178" w:hanging="684"/>
        <w:jc w:val="left"/>
      </w:pPr>
      <w:rPr>
        <w:rFonts w:hint="default"/>
        <w:lang w:val="en-US" w:eastAsia="en-US" w:bidi="ar-SA"/>
      </w:rPr>
    </w:lvl>
    <w:lvl w:ilvl="2">
      <w:start w:val="1"/>
      <w:numFmt w:val="decimal"/>
      <w:lvlText w:val="%1.%2.%3"/>
      <w:lvlJc w:val="left"/>
      <w:pPr>
        <w:ind w:left="1178" w:hanging="684"/>
        <w:jc w:val="left"/>
      </w:pPr>
      <w:rPr>
        <w:rFonts w:ascii="黑体" w:eastAsia="黑体" w:hAnsi="黑体" w:cs="黑体" w:hint="default"/>
        <w:spacing w:val="-3"/>
        <w:w w:val="100"/>
        <w:sz w:val="21"/>
        <w:szCs w:val="21"/>
        <w:lang w:val="en-US" w:eastAsia="en-US" w:bidi="ar-SA"/>
      </w:rPr>
    </w:lvl>
    <w:lvl w:ilvl="3">
      <w:start w:val="1"/>
      <w:numFmt w:val="lowerLetter"/>
      <w:lvlText w:val="%4)"/>
      <w:lvlJc w:val="left"/>
      <w:pPr>
        <w:ind w:left="2018" w:hanging="420"/>
        <w:jc w:val="left"/>
      </w:pPr>
      <w:rPr>
        <w:rFonts w:ascii="Times New Roman" w:eastAsia="Times New Roman" w:hAnsi="Times New Roman" w:cs="Times New Roman" w:hint="default"/>
        <w:spacing w:val="-1"/>
        <w:w w:val="100"/>
        <w:sz w:val="21"/>
        <w:szCs w:val="21"/>
        <w:lang w:val="en-US" w:eastAsia="en-US" w:bidi="ar-SA"/>
      </w:rPr>
    </w:lvl>
    <w:lvl w:ilvl="4">
      <w:start w:val="0"/>
      <w:numFmt w:val="bullet"/>
      <w:lvlText w:val="•"/>
      <w:lvlJc w:val="left"/>
      <w:pPr>
        <w:ind w:left="5148" w:hanging="420"/>
      </w:pPr>
      <w:rPr>
        <w:rFonts w:hint="default"/>
        <w:lang w:val="en-US" w:eastAsia="en-US" w:bidi="ar-SA"/>
      </w:rPr>
    </w:lvl>
    <w:lvl w:ilvl="5">
      <w:start w:val="0"/>
      <w:numFmt w:val="bullet"/>
      <w:lvlText w:val="•"/>
      <w:lvlJc w:val="left"/>
      <w:pPr>
        <w:ind w:left="6191" w:hanging="420"/>
      </w:pPr>
      <w:rPr>
        <w:rFonts w:hint="default"/>
        <w:lang w:val="en-US" w:eastAsia="en-US" w:bidi="ar-SA"/>
      </w:rPr>
    </w:lvl>
    <w:lvl w:ilvl="6">
      <w:start w:val="0"/>
      <w:numFmt w:val="bullet"/>
      <w:lvlText w:val="•"/>
      <w:lvlJc w:val="left"/>
      <w:pPr>
        <w:ind w:left="7234" w:hanging="420"/>
      </w:pPr>
      <w:rPr>
        <w:rFonts w:hint="default"/>
        <w:lang w:val="en-US" w:eastAsia="en-US" w:bidi="ar-SA"/>
      </w:rPr>
    </w:lvl>
    <w:lvl w:ilvl="7">
      <w:start w:val="0"/>
      <w:numFmt w:val="bullet"/>
      <w:lvlText w:val="•"/>
      <w:lvlJc w:val="left"/>
      <w:pPr>
        <w:ind w:left="8277" w:hanging="420"/>
      </w:pPr>
      <w:rPr>
        <w:rFonts w:hint="default"/>
        <w:lang w:val="en-US" w:eastAsia="en-US" w:bidi="ar-SA"/>
      </w:rPr>
    </w:lvl>
    <w:lvl w:ilvl="8">
      <w:start w:val="0"/>
      <w:numFmt w:val="bullet"/>
      <w:lvlText w:val="•"/>
      <w:lvlJc w:val="left"/>
      <w:pPr>
        <w:ind w:left="9320" w:hanging="420"/>
      </w:pPr>
      <w:rPr>
        <w:rFonts w:hint="default"/>
        <w:lang w:val="en-US" w:eastAsia="en-US" w:bidi="ar-SA"/>
      </w:rPr>
    </w:lvl>
  </w:abstractNum>
  <w:abstractNum w:abstractNumId="16">
    <w:nsid w:val="512C1225"/>
    <w:multiLevelType w:val="hybridMultilevel"/>
    <w:tmpl w:val="00000000"/>
    <w:lvl w:ilvl="0">
      <w:start w:val="1"/>
      <w:numFmt w:val="lowerLetter"/>
      <w:lvlText w:val="%1)"/>
      <w:lvlJc w:val="left"/>
      <w:pPr>
        <w:ind w:left="2018" w:hanging="420"/>
        <w:jc w:val="left"/>
      </w:pPr>
      <w:rPr>
        <w:rFonts w:ascii="Times New Roman" w:eastAsia="Times New Roman" w:hAnsi="Times New Roman" w:cs="Times New Roman" w:hint="default"/>
        <w:spacing w:val="-1"/>
        <w:w w:val="100"/>
        <w:sz w:val="21"/>
        <w:szCs w:val="21"/>
        <w:lang w:val="en-US" w:eastAsia="en-US" w:bidi="ar-SA"/>
      </w:rPr>
    </w:lvl>
    <w:lvl w:ilvl="1">
      <w:start w:val="0"/>
      <w:numFmt w:val="bullet"/>
      <w:lvlText w:val="•"/>
      <w:lvlJc w:val="left"/>
      <w:pPr>
        <w:ind w:left="2958" w:hanging="420"/>
      </w:pPr>
      <w:rPr>
        <w:rFonts w:hint="default"/>
        <w:lang w:val="en-US" w:eastAsia="en-US" w:bidi="ar-SA"/>
      </w:rPr>
    </w:lvl>
    <w:lvl w:ilvl="2">
      <w:start w:val="0"/>
      <w:numFmt w:val="bullet"/>
      <w:lvlText w:val="•"/>
      <w:lvlJc w:val="left"/>
      <w:pPr>
        <w:ind w:left="3897" w:hanging="420"/>
      </w:pPr>
      <w:rPr>
        <w:rFonts w:hint="default"/>
        <w:lang w:val="en-US" w:eastAsia="en-US" w:bidi="ar-SA"/>
      </w:rPr>
    </w:lvl>
    <w:lvl w:ilvl="3">
      <w:start w:val="0"/>
      <w:numFmt w:val="bullet"/>
      <w:lvlText w:val="•"/>
      <w:lvlJc w:val="left"/>
      <w:pPr>
        <w:ind w:left="4835" w:hanging="420"/>
      </w:pPr>
      <w:rPr>
        <w:rFonts w:hint="default"/>
        <w:lang w:val="en-US" w:eastAsia="en-US" w:bidi="ar-SA"/>
      </w:rPr>
    </w:lvl>
    <w:lvl w:ilvl="4">
      <w:start w:val="0"/>
      <w:numFmt w:val="bullet"/>
      <w:lvlText w:val="•"/>
      <w:lvlJc w:val="left"/>
      <w:pPr>
        <w:ind w:left="5774" w:hanging="420"/>
      </w:pPr>
      <w:rPr>
        <w:rFonts w:hint="default"/>
        <w:lang w:val="en-US" w:eastAsia="en-US" w:bidi="ar-SA"/>
      </w:rPr>
    </w:lvl>
    <w:lvl w:ilvl="5">
      <w:start w:val="0"/>
      <w:numFmt w:val="bullet"/>
      <w:lvlText w:val="•"/>
      <w:lvlJc w:val="left"/>
      <w:pPr>
        <w:ind w:left="6713" w:hanging="420"/>
      </w:pPr>
      <w:rPr>
        <w:rFonts w:hint="default"/>
        <w:lang w:val="en-US" w:eastAsia="en-US" w:bidi="ar-SA"/>
      </w:rPr>
    </w:lvl>
    <w:lvl w:ilvl="6">
      <w:start w:val="0"/>
      <w:numFmt w:val="bullet"/>
      <w:lvlText w:val="•"/>
      <w:lvlJc w:val="left"/>
      <w:pPr>
        <w:ind w:left="7651" w:hanging="420"/>
      </w:pPr>
      <w:rPr>
        <w:rFonts w:hint="default"/>
        <w:lang w:val="en-US" w:eastAsia="en-US" w:bidi="ar-SA"/>
      </w:rPr>
    </w:lvl>
    <w:lvl w:ilvl="7">
      <w:start w:val="0"/>
      <w:numFmt w:val="bullet"/>
      <w:lvlText w:val="•"/>
      <w:lvlJc w:val="left"/>
      <w:pPr>
        <w:ind w:left="8590" w:hanging="420"/>
      </w:pPr>
      <w:rPr>
        <w:rFonts w:hint="default"/>
        <w:lang w:val="en-US" w:eastAsia="en-US" w:bidi="ar-SA"/>
      </w:rPr>
    </w:lvl>
    <w:lvl w:ilvl="8">
      <w:start w:val="0"/>
      <w:numFmt w:val="bullet"/>
      <w:lvlText w:val="•"/>
      <w:lvlJc w:val="left"/>
      <w:pPr>
        <w:ind w:left="9529" w:hanging="420"/>
      </w:pPr>
      <w:rPr>
        <w:rFonts w:hint="default"/>
        <w:lang w:val="en-US" w:eastAsia="en-US" w:bidi="ar-SA"/>
      </w:rPr>
    </w:lvl>
  </w:abstractNum>
  <w:abstractNum w:abstractNumId="17">
    <w:nsid w:val="52BBF2D4"/>
    <w:multiLevelType w:val="hybridMultilevel"/>
    <w:tmpl w:val="00000000"/>
    <w:lvl w:ilvl="0">
      <w:start w:val="1"/>
      <w:numFmt w:val="decimal"/>
      <w:lvlText w:val="%1"/>
      <w:lvlJc w:val="left"/>
      <w:pPr>
        <w:ind w:left="1493" w:hanging="315"/>
        <w:jc w:val="right"/>
      </w:pPr>
      <w:rPr>
        <w:rFonts w:ascii="黑体" w:eastAsia="黑体" w:hAnsi="黑体" w:cs="黑体" w:hint="default"/>
        <w:w w:val="100"/>
        <w:sz w:val="21"/>
        <w:szCs w:val="21"/>
        <w:lang w:val="en-US" w:eastAsia="en-US" w:bidi="ar-SA"/>
      </w:rPr>
    </w:lvl>
    <w:lvl w:ilvl="1">
      <w:start w:val="1"/>
      <w:numFmt w:val="decimal"/>
      <w:lvlText w:val="%1.%2"/>
      <w:lvlJc w:val="left"/>
      <w:pPr>
        <w:ind w:left="892" w:hanging="423"/>
        <w:jc w:val="right"/>
      </w:pPr>
      <w:rPr>
        <w:rFonts w:ascii="黑体" w:eastAsia="黑体" w:hAnsi="黑体" w:cs="黑体" w:hint="default"/>
        <w:w w:val="100"/>
        <w:sz w:val="21"/>
        <w:szCs w:val="21"/>
        <w:lang w:val="en-US" w:eastAsia="en-US" w:bidi="ar-SA"/>
      </w:rPr>
    </w:lvl>
    <w:lvl w:ilvl="2">
      <w:start w:val="1"/>
      <w:numFmt w:val="decimal"/>
      <w:lvlText w:val="%1.%2.%3"/>
      <w:lvlJc w:val="left"/>
      <w:pPr>
        <w:ind w:left="1178" w:hanging="579"/>
        <w:jc w:val="left"/>
      </w:pPr>
      <w:rPr>
        <w:rFonts w:ascii="黑体" w:eastAsia="黑体" w:hAnsi="黑体" w:cs="黑体" w:hint="default"/>
        <w:w w:val="100"/>
        <w:sz w:val="21"/>
        <w:szCs w:val="21"/>
        <w:lang w:val="en-US" w:eastAsia="en-US" w:bidi="ar-SA"/>
      </w:rPr>
    </w:lvl>
    <w:lvl w:ilvl="3">
      <w:start w:val="1"/>
      <w:numFmt w:val="lowerLetter"/>
      <w:lvlText w:val="%4)"/>
      <w:lvlJc w:val="left"/>
      <w:pPr>
        <w:ind w:left="1733" w:hanging="420"/>
        <w:jc w:val="left"/>
      </w:pPr>
      <w:rPr>
        <w:rFonts w:hint="default"/>
        <w:spacing w:val="-1"/>
        <w:w w:val="100"/>
        <w:lang w:val="en-US" w:eastAsia="en-US" w:bidi="ar-SA"/>
      </w:rPr>
    </w:lvl>
    <w:lvl w:ilvl="4">
      <w:start w:val="1"/>
      <w:numFmt w:val="decimal"/>
      <w:lvlText w:val="%5)"/>
      <w:lvlJc w:val="left"/>
      <w:pPr>
        <w:ind w:left="1966" w:hanging="420"/>
        <w:jc w:val="right"/>
      </w:pPr>
      <w:rPr>
        <w:rFonts w:ascii="Times New Roman" w:eastAsia="Times New Roman" w:hAnsi="Times New Roman" w:cs="Times New Roman" w:hint="default"/>
        <w:w w:val="100"/>
        <w:sz w:val="21"/>
        <w:szCs w:val="21"/>
        <w:lang w:val="en-US" w:eastAsia="en-US" w:bidi="ar-SA"/>
      </w:rPr>
    </w:lvl>
    <w:lvl w:ilvl="5">
      <w:start w:val="0"/>
      <w:numFmt w:val="bullet"/>
      <w:lvlText w:val="•"/>
      <w:lvlJc w:val="left"/>
      <w:pPr>
        <w:ind w:left="1740" w:hanging="420"/>
      </w:pPr>
      <w:rPr>
        <w:rFonts w:hint="default"/>
        <w:lang w:val="en-US" w:eastAsia="en-US" w:bidi="ar-SA"/>
      </w:rPr>
    </w:lvl>
    <w:lvl w:ilvl="6">
      <w:start w:val="0"/>
      <w:numFmt w:val="bullet"/>
      <w:lvlText w:val="•"/>
      <w:lvlJc w:val="left"/>
      <w:pPr>
        <w:ind w:left="1760" w:hanging="420"/>
      </w:pPr>
      <w:rPr>
        <w:rFonts w:hint="default"/>
        <w:lang w:val="en-US" w:eastAsia="en-US" w:bidi="ar-SA"/>
      </w:rPr>
    </w:lvl>
    <w:lvl w:ilvl="7">
      <w:start w:val="0"/>
      <w:numFmt w:val="bullet"/>
      <w:lvlText w:val="•"/>
      <w:lvlJc w:val="left"/>
      <w:pPr>
        <w:ind w:left="1960" w:hanging="420"/>
      </w:pPr>
      <w:rPr>
        <w:rFonts w:hint="default"/>
        <w:lang w:val="en-US" w:eastAsia="en-US" w:bidi="ar-SA"/>
      </w:rPr>
    </w:lvl>
    <w:lvl w:ilvl="8">
      <w:start w:val="0"/>
      <w:numFmt w:val="bullet"/>
      <w:lvlText w:val="•"/>
      <w:lvlJc w:val="left"/>
      <w:pPr>
        <w:ind w:left="2020" w:hanging="420"/>
      </w:pPr>
      <w:rPr>
        <w:rFonts w:hint="default"/>
        <w:lang w:val="en-US" w:eastAsia="en-US" w:bidi="ar-SA"/>
      </w:rPr>
    </w:lvl>
  </w:abstractNum>
  <w:abstractNum w:abstractNumId="18">
    <w:nsid w:val="54263AA7"/>
    <w:multiLevelType w:val="hybridMultilevel"/>
    <w:tmpl w:val="00000000"/>
    <w:lvl w:ilvl="0">
      <w:start w:val="6"/>
      <w:numFmt w:val="decimal"/>
      <w:lvlText w:val="%1"/>
      <w:lvlJc w:val="left"/>
      <w:pPr>
        <w:ind w:left="1757" w:hanging="579"/>
        <w:jc w:val="left"/>
      </w:pPr>
      <w:rPr>
        <w:rFonts w:hint="default"/>
        <w:lang w:val="en-US" w:eastAsia="en-US" w:bidi="ar-SA"/>
      </w:rPr>
    </w:lvl>
    <w:lvl w:ilvl="1">
      <w:start w:val="1"/>
      <w:numFmt w:val="decimal"/>
      <w:lvlText w:val="%1.%2"/>
      <w:lvlJc w:val="left"/>
      <w:pPr>
        <w:ind w:left="1757" w:hanging="579"/>
        <w:jc w:val="left"/>
      </w:pPr>
      <w:rPr>
        <w:rFonts w:hint="default"/>
        <w:lang w:val="en-US" w:eastAsia="en-US" w:bidi="ar-SA"/>
      </w:rPr>
    </w:lvl>
    <w:lvl w:ilvl="2">
      <w:start w:val="4"/>
      <w:numFmt w:val="decimal"/>
      <w:lvlText w:val="%1.%2.%3"/>
      <w:lvlJc w:val="left"/>
      <w:pPr>
        <w:ind w:left="1757" w:hanging="579"/>
        <w:jc w:val="left"/>
      </w:pPr>
      <w:rPr>
        <w:rFonts w:ascii="黑体" w:eastAsia="黑体" w:hAnsi="黑体" w:cs="黑体" w:hint="default"/>
        <w:w w:val="100"/>
        <w:sz w:val="21"/>
        <w:szCs w:val="21"/>
        <w:lang w:val="en-US" w:eastAsia="en-US" w:bidi="ar-SA"/>
      </w:rPr>
    </w:lvl>
    <w:lvl w:ilvl="3">
      <w:start w:val="0"/>
      <w:numFmt w:val="bullet"/>
      <w:lvlText w:val="•"/>
      <w:lvlJc w:val="left"/>
      <w:pPr>
        <w:ind w:left="4653" w:hanging="579"/>
      </w:pPr>
      <w:rPr>
        <w:rFonts w:hint="default"/>
        <w:lang w:val="en-US" w:eastAsia="en-US" w:bidi="ar-SA"/>
      </w:rPr>
    </w:lvl>
    <w:lvl w:ilvl="4">
      <w:start w:val="0"/>
      <w:numFmt w:val="bullet"/>
      <w:lvlText w:val="•"/>
      <w:lvlJc w:val="left"/>
      <w:pPr>
        <w:ind w:left="5618" w:hanging="579"/>
      </w:pPr>
      <w:rPr>
        <w:rFonts w:hint="default"/>
        <w:lang w:val="en-US" w:eastAsia="en-US" w:bidi="ar-SA"/>
      </w:rPr>
    </w:lvl>
    <w:lvl w:ilvl="5">
      <w:start w:val="0"/>
      <w:numFmt w:val="bullet"/>
      <w:lvlText w:val="•"/>
      <w:lvlJc w:val="left"/>
      <w:pPr>
        <w:ind w:left="6583" w:hanging="579"/>
      </w:pPr>
      <w:rPr>
        <w:rFonts w:hint="default"/>
        <w:lang w:val="en-US" w:eastAsia="en-US" w:bidi="ar-SA"/>
      </w:rPr>
    </w:lvl>
    <w:lvl w:ilvl="6">
      <w:start w:val="0"/>
      <w:numFmt w:val="bullet"/>
      <w:lvlText w:val="•"/>
      <w:lvlJc w:val="left"/>
      <w:pPr>
        <w:ind w:left="7547" w:hanging="579"/>
      </w:pPr>
      <w:rPr>
        <w:rFonts w:hint="default"/>
        <w:lang w:val="en-US" w:eastAsia="en-US" w:bidi="ar-SA"/>
      </w:rPr>
    </w:lvl>
    <w:lvl w:ilvl="7">
      <w:start w:val="0"/>
      <w:numFmt w:val="bullet"/>
      <w:lvlText w:val="•"/>
      <w:lvlJc w:val="left"/>
      <w:pPr>
        <w:ind w:left="8512" w:hanging="579"/>
      </w:pPr>
      <w:rPr>
        <w:rFonts w:hint="default"/>
        <w:lang w:val="en-US" w:eastAsia="en-US" w:bidi="ar-SA"/>
      </w:rPr>
    </w:lvl>
    <w:lvl w:ilvl="8">
      <w:start w:val="0"/>
      <w:numFmt w:val="bullet"/>
      <w:lvlText w:val="•"/>
      <w:lvlJc w:val="left"/>
      <w:pPr>
        <w:ind w:left="9477" w:hanging="579"/>
      </w:pPr>
      <w:rPr>
        <w:rFonts w:hint="default"/>
        <w:lang w:val="en-US" w:eastAsia="en-US" w:bidi="ar-SA"/>
      </w:rPr>
    </w:lvl>
  </w:abstractNum>
  <w:abstractNum w:abstractNumId="19">
    <w:nsid w:val="5B584E44"/>
    <w:multiLevelType w:val="hybridMultilevel"/>
    <w:tmpl w:val="00000000"/>
    <w:lvl w:ilvl="0">
      <w:start w:val="1"/>
      <w:numFmt w:val="lowerLetter"/>
      <w:lvlText w:val="%1)"/>
      <w:lvlJc w:val="left"/>
      <w:pPr>
        <w:ind w:left="2018" w:hanging="420"/>
        <w:jc w:val="right"/>
      </w:pPr>
      <w:rPr>
        <w:rFonts w:ascii="Times New Roman" w:eastAsia="Times New Roman" w:hAnsi="Times New Roman" w:cs="Times New Roman" w:hint="default"/>
        <w:spacing w:val="-1"/>
        <w:w w:val="100"/>
        <w:sz w:val="21"/>
        <w:szCs w:val="21"/>
        <w:lang w:val="en-US" w:eastAsia="en-US" w:bidi="ar-SA"/>
      </w:rPr>
    </w:lvl>
    <w:lvl w:ilvl="1">
      <w:start w:val="0"/>
      <w:numFmt w:val="bullet"/>
      <w:lvlText w:val="•"/>
      <w:lvlJc w:val="left"/>
      <w:pPr>
        <w:ind w:left="2958" w:hanging="420"/>
      </w:pPr>
      <w:rPr>
        <w:rFonts w:hint="default"/>
        <w:lang w:val="en-US" w:eastAsia="en-US" w:bidi="ar-SA"/>
      </w:rPr>
    </w:lvl>
    <w:lvl w:ilvl="2">
      <w:start w:val="0"/>
      <w:numFmt w:val="bullet"/>
      <w:lvlText w:val="•"/>
      <w:lvlJc w:val="left"/>
      <w:pPr>
        <w:ind w:left="3897" w:hanging="420"/>
      </w:pPr>
      <w:rPr>
        <w:rFonts w:hint="default"/>
        <w:lang w:val="en-US" w:eastAsia="en-US" w:bidi="ar-SA"/>
      </w:rPr>
    </w:lvl>
    <w:lvl w:ilvl="3">
      <w:start w:val="0"/>
      <w:numFmt w:val="bullet"/>
      <w:lvlText w:val="•"/>
      <w:lvlJc w:val="left"/>
      <w:pPr>
        <w:ind w:left="4835" w:hanging="420"/>
      </w:pPr>
      <w:rPr>
        <w:rFonts w:hint="default"/>
        <w:lang w:val="en-US" w:eastAsia="en-US" w:bidi="ar-SA"/>
      </w:rPr>
    </w:lvl>
    <w:lvl w:ilvl="4">
      <w:start w:val="0"/>
      <w:numFmt w:val="bullet"/>
      <w:lvlText w:val="•"/>
      <w:lvlJc w:val="left"/>
      <w:pPr>
        <w:ind w:left="5774" w:hanging="420"/>
      </w:pPr>
      <w:rPr>
        <w:rFonts w:hint="default"/>
        <w:lang w:val="en-US" w:eastAsia="en-US" w:bidi="ar-SA"/>
      </w:rPr>
    </w:lvl>
    <w:lvl w:ilvl="5">
      <w:start w:val="0"/>
      <w:numFmt w:val="bullet"/>
      <w:lvlText w:val="•"/>
      <w:lvlJc w:val="left"/>
      <w:pPr>
        <w:ind w:left="6713" w:hanging="420"/>
      </w:pPr>
      <w:rPr>
        <w:rFonts w:hint="default"/>
        <w:lang w:val="en-US" w:eastAsia="en-US" w:bidi="ar-SA"/>
      </w:rPr>
    </w:lvl>
    <w:lvl w:ilvl="6">
      <w:start w:val="0"/>
      <w:numFmt w:val="bullet"/>
      <w:lvlText w:val="•"/>
      <w:lvlJc w:val="left"/>
      <w:pPr>
        <w:ind w:left="7651" w:hanging="420"/>
      </w:pPr>
      <w:rPr>
        <w:rFonts w:hint="default"/>
        <w:lang w:val="en-US" w:eastAsia="en-US" w:bidi="ar-SA"/>
      </w:rPr>
    </w:lvl>
    <w:lvl w:ilvl="7">
      <w:start w:val="0"/>
      <w:numFmt w:val="bullet"/>
      <w:lvlText w:val="•"/>
      <w:lvlJc w:val="left"/>
      <w:pPr>
        <w:ind w:left="8590" w:hanging="420"/>
      </w:pPr>
      <w:rPr>
        <w:rFonts w:hint="default"/>
        <w:lang w:val="en-US" w:eastAsia="en-US" w:bidi="ar-SA"/>
      </w:rPr>
    </w:lvl>
    <w:lvl w:ilvl="8">
      <w:start w:val="0"/>
      <w:numFmt w:val="bullet"/>
      <w:lvlText w:val="•"/>
      <w:lvlJc w:val="left"/>
      <w:pPr>
        <w:ind w:left="9529" w:hanging="420"/>
      </w:pPr>
      <w:rPr>
        <w:rFonts w:hint="default"/>
        <w:lang w:val="en-US" w:eastAsia="en-US" w:bidi="ar-SA"/>
      </w:rPr>
    </w:lvl>
  </w:abstractNum>
  <w:abstractNum w:abstractNumId="20">
    <w:nsid w:val="5D03F593"/>
    <w:multiLevelType w:val="hybridMultilevel"/>
    <w:tmpl w:val="00000000"/>
    <w:lvl w:ilvl="0">
      <w:start w:val="10"/>
      <w:numFmt w:val="decimal"/>
      <w:lvlText w:val="%1"/>
      <w:lvlJc w:val="left"/>
      <w:pPr>
        <w:ind w:left="683" w:hanging="684"/>
        <w:jc w:val="left"/>
      </w:pPr>
      <w:rPr>
        <w:rFonts w:hint="default"/>
        <w:lang w:val="en-US" w:eastAsia="en-US" w:bidi="ar-SA"/>
      </w:rPr>
    </w:lvl>
    <w:lvl w:ilvl="1">
      <w:start w:val="2"/>
      <w:numFmt w:val="decimal"/>
      <w:lvlText w:val="%1.%2"/>
      <w:lvlJc w:val="left"/>
      <w:pPr>
        <w:ind w:left="683" w:hanging="684"/>
        <w:jc w:val="left"/>
      </w:pPr>
      <w:rPr>
        <w:rFonts w:hint="default"/>
        <w:lang w:val="en-US" w:eastAsia="en-US" w:bidi="ar-SA"/>
      </w:rPr>
    </w:lvl>
    <w:lvl w:ilvl="2">
      <w:start w:val="3"/>
      <w:numFmt w:val="decimal"/>
      <w:lvlText w:val="%1.%2.%3"/>
      <w:lvlJc w:val="left"/>
      <w:pPr>
        <w:ind w:left="683" w:hanging="684"/>
        <w:jc w:val="left"/>
      </w:pPr>
      <w:rPr>
        <w:rFonts w:ascii="黑体" w:eastAsia="黑体" w:hAnsi="黑体" w:cs="黑体" w:hint="default"/>
        <w:spacing w:val="-3"/>
        <w:w w:val="100"/>
        <w:sz w:val="21"/>
        <w:szCs w:val="21"/>
        <w:lang w:val="en-US" w:eastAsia="en-US" w:bidi="ar-SA"/>
      </w:rPr>
    </w:lvl>
    <w:lvl w:ilvl="3">
      <w:start w:val="0"/>
      <w:numFmt w:val="bullet"/>
      <w:lvlText w:val="•"/>
      <w:lvlJc w:val="left"/>
      <w:pPr>
        <w:ind w:left="3289" w:hanging="684"/>
      </w:pPr>
      <w:rPr>
        <w:rFonts w:hint="default"/>
        <w:lang w:val="en-US" w:eastAsia="en-US" w:bidi="ar-SA"/>
      </w:rPr>
    </w:lvl>
    <w:lvl w:ilvl="4">
      <w:start w:val="0"/>
      <w:numFmt w:val="bullet"/>
      <w:lvlText w:val="•"/>
      <w:lvlJc w:val="left"/>
      <w:pPr>
        <w:ind w:left="4158" w:hanging="684"/>
      </w:pPr>
      <w:rPr>
        <w:rFonts w:hint="default"/>
        <w:lang w:val="en-US" w:eastAsia="en-US" w:bidi="ar-SA"/>
      </w:rPr>
    </w:lvl>
    <w:lvl w:ilvl="5">
      <w:start w:val="0"/>
      <w:numFmt w:val="bullet"/>
      <w:lvlText w:val="•"/>
      <w:lvlJc w:val="left"/>
      <w:pPr>
        <w:ind w:left="5028" w:hanging="684"/>
      </w:pPr>
      <w:rPr>
        <w:rFonts w:hint="default"/>
        <w:lang w:val="en-US" w:eastAsia="en-US" w:bidi="ar-SA"/>
      </w:rPr>
    </w:lvl>
    <w:lvl w:ilvl="6">
      <w:start w:val="0"/>
      <w:numFmt w:val="bullet"/>
      <w:lvlText w:val="•"/>
      <w:lvlJc w:val="left"/>
      <w:pPr>
        <w:ind w:left="5898" w:hanging="684"/>
      </w:pPr>
      <w:rPr>
        <w:rFonts w:hint="default"/>
        <w:lang w:val="en-US" w:eastAsia="en-US" w:bidi="ar-SA"/>
      </w:rPr>
    </w:lvl>
    <w:lvl w:ilvl="7">
      <w:start w:val="0"/>
      <w:numFmt w:val="bullet"/>
      <w:lvlText w:val="•"/>
      <w:lvlJc w:val="left"/>
      <w:pPr>
        <w:ind w:left="6767" w:hanging="684"/>
      </w:pPr>
      <w:rPr>
        <w:rFonts w:hint="default"/>
        <w:lang w:val="en-US" w:eastAsia="en-US" w:bidi="ar-SA"/>
      </w:rPr>
    </w:lvl>
    <w:lvl w:ilvl="8">
      <w:start w:val="0"/>
      <w:numFmt w:val="bullet"/>
      <w:lvlText w:val="•"/>
      <w:lvlJc w:val="left"/>
      <w:pPr>
        <w:ind w:left="7637" w:hanging="684"/>
      </w:pPr>
      <w:rPr>
        <w:rFonts w:hint="default"/>
        <w:lang w:val="en-US" w:eastAsia="en-US" w:bidi="ar-SA"/>
      </w:rPr>
    </w:lvl>
  </w:abstractNum>
  <w:abstractNum w:abstractNumId="21">
    <w:nsid w:val="61DC6FA1"/>
    <w:multiLevelType w:val="hybridMultilevel"/>
    <w:tmpl w:val="00000000"/>
    <w:lvl w:ilvl="0">
      <w:start w:val="4"/>
      <w:numFmt w:val="decimal"/>
      <w:lvlText w:val="%1"/>
      <w:lvlJc w:val="left"/>
      <w:pPr>
        <w:ind w:left="1390" w:hanging="212"/>
        <w:jc w:val="right"/>
      </w:pPr>
      <w:rPr>
        <w:rFonts w:ascii="黑体" w:eastAsia="黑体" w:hAnsi="黑体" w:cs="黑体" w:hint="default"/>
        <w:w w:val="100"/>
        <w:sz w:val="21"/>
        <w:szCs w:val="21"/>
        <w:lang w:val="en-US" w:eastAsia="en-US" w:bidi="ar-SA"/>
      </w:rPr>
    </w:lvl>
    <w:lvl w:ilvl="1">
      <w:start w:val="1"/>
      <w:numFmt w:val="decimal"/>
      <w:lvlText w:val="%1.%2"/>
      <w:lvlJc w:val="left"/>
      <w:pPr>
        <w:ind w:left="1315" w:hanging="423"/>
        <w:jc w:val="left"/>
      </w:pPr>
      <w:rPr>
        <w:rFonts w:hint="default"/>
        <w:w w:val="100"/>
        <w:lang w:val="en-US" w:eastAsia="en-US" w:bidi="ar-SA"/>
      </w:rPr>
    </w:lvl>
    <w:lvl w:ilvl="2">
      <w:start w:val="1"/>
      <w:numFmt w:val="lowerLetter"/>
      <w:lvlText w:val="%3)"/>
      <w:lvlJc w:val="left"/>
      <w:pPr>
        <w:ind w:left="2018" w:hanging="423"/>
        <w:jc w:val="left"/>
      </w:pPr>
      <w:rPr>
        <w:rFonts w:ascii="Times New Roman" w:eastAsia="Times New Roman" w:hAnsi="Times New Roman" w:cs="Times New Roman" w:hint="default"/>
        <w:spacing w:val="-1"/>
        <w:w w:val="100"/>
        <w:sz w:val="21"/>
        <w:szCs w:val="21"/>
        <w:lang w:val="en-US" w:eastAsia="en-US" w:bidi="ar-SA"/>
      </w:rPr>
    </w:lvl>
    <w:lvl w:ilvl="3">
      <w:start w:val="0"/>
      <w:numFmt w:val="bullet"/>
      <w:lvlText w:val="•"/>
      <w:lvlJc w:val="left"/>
      <w:pPr>
        <w:ind w:left="1400" w:hanging="423"/>
      </w:pPr>
      <w:rPr>
        <w:rFonts w:hint="default"/>
        <w:lang w:val="en-US" w:eastAsia="en-US" w:bidi="ar-SA"/>
      </w:rPr>
    </w:lvl>
    <w:lvl w:ilvl="4">
      <w:start w:val="0"/>
      <w:numFmt w:val="bullet"/>
      <w:lvlText w:val="•"/>
      <w:lvlJc w:val="left"/>
      <w:pPr>
        <w:ind w:left="1560" w:hanging="423"/>
      </w:pPr>
      <w:rPr>
        <w:rFonts w:hint="default"/>
        <w:lang w:val="en-US" w:eastAsia="en-US" w:bidi="ar-SA"/>
      </w:rPr>
    </w:lvl>
    <w:lvl w:ilvl="5">
      <w:start w:val="0"/>
      <w:numFmt w:val="bullet"/>
      <w:lvlText w:val="•"/>
      <w:lvlJc w:val="left"/>
      <w:pPr>
        <w:ind w:left="2020" w:hanging="423"/>
      </w:pPr>
      <w:rPr>
        <w:rFonts w:hint="default"/>
        <w:lang w:val="en-US" w:eastAsia="en-US" w:bidi="ar-SA"/>
      </w:rPr>
    </w:lvl>
    <w:lvl w:ilvl="6">
      <w:start w:val="0"/>
      <w:numFmt w:val="bullet"/>
      <w:lvlText w:val="•"/>
      <w:lvlJc w:val="left"/>
      <w:pPr>
        <w:ind w:left="3897" w:hanging="423"/>
      </w:pPr>
      <w:rPr>
        <w:rFonts w:hint="default"/>
        <w:lang w:val="en-US" w:eastAsia="en-US" w:bidi="ar-SA"/>
      </w:rPr>
    </w:lvl>
    <w:lvl w:ilvl="7">
      <w:start w:val="0"/>
      <w:numFmt w:val="bullet"/>
      <w:lvlText w:val="•"/>
      <w:lvlJc w:val="left"/>
      <w:pPr>
        <w:ind w:left="5774" w:hanging="423"/>
      </w:pPr>
      <w:rPr>
        <w:rFonts w:hint="default"/>
        <w:lang w:val="en-US" w:eastAsia="en-US" w:bidi="ar-SA"/>
      </w:rPr>
    </w:lvl>
    <w:lvl w:ilvl="8">
      <w:start w:val="0"/>
      <w:numFmt w:val="bullet"/>
      <w:lvlText w:val="•"/>
      <w:lvlJc w:val="left"/>
      <w:pPr>
        <w:ind w:left="7651" w:hanging="423"/>
      </w:pPr>
      <w:rPr>
        <w:rFonts w:hint="default"/>
        <w:lang w:val="en-US" w:eastAsia="en-US" w:bidi="ar-SA"/>
      </w:rPr>
    </w:lvl>
  </w:abstractNum>
  <w:abstractNum w:abstractNumId="22">
    <w:nsid w:val="63B9C257"/>
    <w:multiLevelType w:val="hybridMultilevel"/>
    <w:tmpl w:val="00000000"/>
    <w:lvl w:ilvl="0">
      <w:start w:val="11"/>
      <w:numFmt w:val="decimal"/>
      <w:lvlText w:val="%1"/>
      <w:lvlJc w:val="left"/>
      <w:pPr>
        <w:ind w:left="1178" w:hanging="840"/>
        <w:jc w:val="left"/>
      </w:pPr>
      <w:rPr>
        <w:rFonts w:hint="default"/>
        <w:lang w:val="en-US" w:eastAsia="en-US" w:bidi="ar-SA"/>
      </w:rPr>
    </w:lvl>
    <w:lvl w:ilvl="1">
      <w:start w:val="2"/>
      <w:numFmt w:val="decimal"/>
      <w:lvlText w:val="%1.%2"/>
      <w:lvlJc w:val="left"/>
      <w:pPr>
        <w:ind w:left="1178" w:hanging="840"/>
        <w:jc w:val="left"/>
      </w:pPr>
      <w:rPr>
        <w:rFonts w:hint="default"/>
        <w:lang w:val="en-US" w:eastAsia="en-US" w:bidi="ar-SA"/>
      </w:rPr>
    </w:lvl>
    <w:lvl w:ilvl="2">
      <w:start w:val="1"/>
      <w:numFmt w:val="decimal"/>
      <w:lvlText w:val="%1.%2.%3"/>
      <w:lvlJc w:val="left"/>
      <w:pPr>
        <w:ind w:left="1178" w:hanging="840"/>
        <w:jc w:val="left"/>
      </w:pPr>
      <w:rPr>
        <w:rFonts w:ascii="黑体" w:eastAsia="黑体" w:hAnsi="黑体" w:cs="黑体" w:hint="default"/>
        <w:w w:val="100"/>
        <w:sz w:val="21"/>
        <w:szCs w:val="21"/>
        <w:lang w:val="en-US" w:eastAsia="en-US" w:bidi="ar-SA"/>
      </w:rPr>
    </w:lvl>
    <w:lvl w:ilvl="3">
      <w:start w:val="0"/>
      <w:numFmt w:val="bullet"/>
      <w:lvlText w:val="•"/>
      <w:lvlJc w:val="left"/>
      <w:pPr>
        <w:ind w:left="4247" w:hanging="840"/>
      </w:pPr>
      <w:rPr>
        <w:rFonts w:hint="default"/>
        <w:lang w:val="en-US" w:eastAsia="en-US" w:bidi="ar-SA"/>
      </w:rPr>
    </w:lvl>
    <w:lvl w:ilvl="4">
      <w:start w:val="0"/>
      <w:numFmt w:val="bullet"/>
      <w:lvlText w:val="•"/>
      <w:lvlJc w:val="left"/>
      <w:pPr>
        <w:ind w:left="5270" w:hanging="840"/>
      </w:pPr>
      <w:rPr>
        <w:rFonts w:hint="default"/>
        <w:lang w:val="en-US" w:eastAsia="en-US" w:bidi="ar-SA"/>
      </w:rPr>
    </w:lvl>
    <w:lvl w:ilvl="5">
      <w:start w:val="0"/>
      <w:numFmt w:val="bullet"/>
      <w:lvlText w:val="•"/>
      <w:lvlJc w:val="left"/>
      <w:pPr>
        <w:ind w:left="6293" w:hanging="840"/>
      </w:pPr>
      <w:rPr>
        <w:rFonts w:hint="default"/>
        <w:lang w:val="en-US" w:eastAsia="en-US" w:bidi="ar-SA"/>
      </w:rPr>
    </w:lvl>
    <w:lvl w:ilvl="6">
      <w:start w:val="0"/>
      <w:numFmt w:val="bullet"/>
      <w:lvlText w:val="•"/>
      <w:lvlJc w:val="left"/>
      <w:pPr>
        <w:ind w:left="7315" w:hanging="840"/>
      </w:pPr>
      <w:rPr>
        <w:rFonts w:hint="default"/>
        <w:lang w:val="en-US" w:eastAsia="en-US" w:bidi="ar-SA"/>
      </w:rPr>
    </w:lvl>
    <w:lvl w:ilvl="7">
      <w:start w:val="0"/>
      <w:numFmt w:val="bullet"/>
      <w:lvlText w:val="•"/>
      <w:lvlJc w:val="left"/>
      <w:pPr>
        <w:ind w:left="8338" w:hanging="840"/>
      </w:pPr>
      <w:rPr>
        <w:rFonts w:hint="default"/>
        <w:lang w:val="en-US" w:eastAsia="en-US" w:bidi="ar-SA"/>
      </w:rPr>
    </w:lvl>
    <w:lvl w:ilvl="8">
      <w:start w:val="0"/>
      <w:numFmt w:val="bullet"/>
      <w:lvlText w:val="•"/>
      <w:lvlJc w:val="left"/>
      <w:pPr>
        <w:ind w:left="9361" w:hanging="840"/>
      </w:pPr>
      <w:rPr>
        <w:rFonts w:hint="default"/>
        <w:lang w:val="en-US" w:eastAsia="en-US" w:bidi="ar-SA"/>
      </w:rPr>
    </w:lvl>
  </w:abstractNum>
  <w:abstractNum w:abstractNumId="23">
    <w:nsid w:val="6579BD29"/>
    <w:multiLevelType w:val="hybridMultilevel"/>
    <w:tmpl w:val="00000000"/>
    <w:lvl w:ilvl="0">
      <w:start w:val="6"/>
      <w:numFmt w:val="decimal"/>
      <w:lvlText w:val="%1"/>
      <w:lvlJc w:val="left"/>
      <w:pPr>
        <w:ind w:left="1705" w:hanging="318"/>
        <w:jc w:val="left"/>
      </w:pPr>
      <w:rPr>
        <w:rFonts w:hint="default"/>
        <w:lang w:val="en-US" w:eastAsia="en-US" w:bidi="ar-SA"/>
      </w:rPr>
    </w:lvl>
    <w:lvl w:ilvl="1">
      <w:start w:val="4"/>
      <w:numFmt w:val="decimal"/>
      <w:lvlText w:val="%1.%2"/>
      <w:lvlJc w:val="left"/>
      <w:pPr>
        <w:ind w:left="1705" w:hanging="318"/>
        <w:jc w:val="left"/>
      </w:pPr>
      <w:rPr>
        <w:rFonts w:ascii="宋体" w:eastAsia="宋体" w:hAnsi="宋体" w:cs="宋体" w:hint="default"/>
        <w:w w:val="100"/>
        <w:sz w:val="19"/>
        <w:szCs w:val="19"/>
        <w:lang w:val="en-US" w:eastAsia="en-US" w:bidi="ar-SA"/>
      </w:rPr>
    </w:lvl>
    <w:lvl w:ilvl="2">
      <w:start w:val="0"/>
      <w:numFmt w:val="bullet"/>
      <w:lvlText w:val="•"/>
      <w:lvlJc w:val="left"/>
      <w:pPr>
        <w:ind w:left="3641" w:hanging="318"/>
      </w:pPr>
      <w:rPr>
        <w:rFonts w:hint="default"/>
        <w:lang w:val="en-US" w:eastAsia="en-US" w:bidi="ar-SA"/>
      </w:rPr>
    </w:lvl>
    <w:lvl w:ilvl="3">
      <w:start w:val="0"/>
      <w:numFmt w:val="bullet"/>
      <w:lvlText w:val="•"/>
      <w:lvlJc w:val="left"/>
      <w:pPr>
        <w:ind w:left="4611" w:hanging="318"/>
      </w:pPr>
      <w:rPr>
        <w:rFonts w:hint="default"/>
        <w:lang w:val="en-US" w:eastAsia="en-US" w:bidi="ar-SA"/>
      </w:rPr>
    </w:lvl>
    <w:lvl w:ilvl="4">
      <w:start w:val="0"/>
      <w:numFmt w:val="bullet"/>
      <w:lvlText w:val="•"/>
      <w:lvlJc w:val="left"/>
      <w:pPr>
        <w:ind w:left="5582" w:hanging="318"/>
      </w:pPr>
      <w:rPr>
        <w:rFonts w:hint="default"/>
        <w:lang w:val="en-US" w:eastAsia="en-US" w:bidi="ar-SA"/>
      </w:rPr>
    </w:lvl>
    <w:lvl w:ilvl="5">
      <w:start w:val="0"/>
      <w:numFmt w:val="bullet"/>
      <w:lvlText w:val="•"/>
      <w:lvlJc w:val="left"/>
      <w:pPr>
        <w:ind w:left="6553" w:hanging="318"/>
      </w:pPr>
      <w:rPr>
        <w:rFonts w:hint="default"/>
        <w:lang w:val="en-US" w:eastAsia="en-US" w:bidi="ar-SA"/>
      </w:rPr>
    </w:lvl>
    <w:lvl w:ilvl="6">
      <w:start w:val="0"/>
      <w:numFmt w:val="bullet"/>
      <w:lvlText w:val="•"/>
      <w:lvlJc w:val="left"/>
      <w:pPr>
        <w:ind w:left="7523" w:hanging="318"/>
      </w:pPr>
      <w:rPr>
        <w:rFonts w:hint="default"/>
        <w:lang w:val="en-US" w:eastAsia="en-US" w:bidi="ar-SA"/>
      </w:rPr>
    </w:lvl>
    <w:lvl w:ilvl="7">
      <w:start w:val="0"/>
      <w:numFmt w:val="bullet"/>
      <w:lvlText w:val="•"/>
      <w:lvlJc w:val="left"/>
      <w:pPr>
        <w:ind w:left="8494" w:hanging="318"/>
      </w:pPr>
      <w:rPr>
        <w:rFonts w:hint="default"/>
        <w:lang w:val="en-US" w:eastAsia="en-US" w:bidi="ar-SA"/>
      </w:rPr>
    </w:lvl>
    <w:lvl w:ilvl="8">
      <w:start w:val="0"/>
      <w:numFmt w:val="bullet"/>
      <w:lvlText w:val="•"/>
      <w:lvlJc w:val="left"/>
      <w:pPr>
        <w:ind w:left="9465" w:hanging="318"/>
      </w:pPr>
      <w:rPr>
        <w:rFonts w:hint="default"/>
        <w:lang w:val="en-US" w:eastAsia="en-US" w:bidi="ar-SA"/>
      </w:rPr>
    </w:lvl>
  </w:abstractNum>
  <w:abstractNum w:abstractNumId="24">
    <w:nsid w:val="6615023E"/>
    <w:multiLevelType w:val="hybridMultilevel"/>
    <w:tmpl w:val="00000000"/>
    <w:lvl w:ilvl="0">
      <w:start w:val="9"/>
      <w:numFmt w:val="decimal"/>
      <w:lvlText w:val="%1"/>
      <w:lvlJc w:val="left"/>
      <w:pPr>
        <w:ind w:left="892" w:hanging="579"/>
        <w:jc w:val="left"/>
      </w:pPr>
      <w:rPr>
        <w:rFonts w:hint="default"/>
        <w:lang w:val="en-US" w:eastAsia="en-US" w:bidi="ar-SA"/>
      </w:rPr>
    </w:lvl>
    <w:lvl w:ilvl="1">
      <w:start w:val="2"/>
      <w:numFmt w:val="decimal"/>
      <w:lvlText w:val="%1.%2"/>
      <w:lvlJc w:val="left"/>
      <w:pPr>
        <w:ind w:left="892" w:hanging="579"/>
        <w:jc w:val="left"/>
      </w:pPr>
      <w:rPr>
        <w:rFonts w:hint="default"/>
        <w:lang w:val="en-US" w:eastAsia="en-US" w:bidi="ar-SA"/>
      </w:rPr>
    </w:lvl>
    <w:lvl w:ilvl="2">
      <w:start w:val="1"/>
      <w:numFmt w:val="decimal"/>
      <w:lvlText w:val="%1.%2.%3"/>
      <w:lvlJc w:val="left"/>
      <w:pPr>
        <w:ind w:left="892" w:hanging="579"/>
        <w:jc w:val="right"/>
      </w:pPr>
      <w:rPr>
        <w:rFonts w:ascii="黑体" w:eastAsia="黑体" w:hAnsi="黑体" w:cs="黑体" w:hint="default"/>
        <w:w w:val="100"/>
        <w:sz w:val="21"/>
        <w:szCs w:val="21"/>
        <w:lang w:val="en-US" w:eastAsia="en-US" w:bidi="ar-SA"/>
      </w:rPr>
    </w:lvl>
    <w:lvl w:ilvl="3">
      <w:start w:val="0"/>
      <w:numFmt w:val="bullet"/>
      <w:lvlText w:val="•"/>
      <w:lvlJc w:val="left"/>
      <w:pPr>
        <w:ind w:left="4051" w:hanging="579"/>
      </w:pPr>
      <w:rPr>
        <w:rFonts w:hint="default"/>
        <w:lang w:val="en-US" w:eastAsia="en-US" w:bidi="ar-SA"/>
      </w:rPr>
    </w:lvl>
    <w:lvl w:ilvl="4">
      <w:start w:val="0"/>
      <w:numFmt w:val="bullet"/>
      <w:lvlText w:val="•"/>
      <w:lvlJc w:val="left"/>
      <w:pPr>
        <w:ind w:left="5102" w:hanging="579"/>
      </w:pPr>
      <w:rPr>
        <w:rFonts w:hint="default"/>
        <w:lang w:val="en-US" w:eastAsia="en-US" w:bidi="ar-SA"/>
      </w:rPr>
    </w:lvl>
    <w:lvl w:ilvl="5">
      <w:start w:val="0"/>
      <w:numFmt w:val="bullet"/>
      <w:lvlText w:val="•"/>
      <w:lvlJc w:val="left"/>
      <w:pPr>
        <w:ind w:left="6153" w:hanging="579"/>
      </w:pPr>
      <w:rPr>
        <w:rFonts w:hint="default"/>
        <w:lang w:val="en-US" w:eastAsia="en-US" w:bidi="ar-SA"/>
      </w:rPr>
    </w:lvl>
    <w:lvl w:ilvl="6">
      <w:start w:val="0"/>
      <w:numFmt w:val="bullet"/>
      <w:lvlText w:val="•"/>
      <w:lvlJc w:val="left"/>
      <w:pPr>
        <w:ind w:left="7203" w:hanging="579"/>
      </w:pPr>
      <w:rPr>
        <w:rFonts w:hint="default"/>
        <w:lang w:val="en-US" w:eastAsia="en-US" w:bidi="ar-SA"/>
      </w:rPr>
    </w:lvl>
    <w:lvl w:ilvl="7">
      <w:start w:val="0"/>
      <w:numFmt w:val="bullet"/>
      <w:lvlText w:val="•"/>
      <w:lvlJc w:val="left"/>
      <w:pPr>
        <w:ind w:left="8254" w:hanging="579"/>
      </w:pPr>
      <w:rPr>
        <w:rFonts w:hint="default"/>
        <w:lang w:val="en-US" w:eastAsia="en-US" w:bidi="ar-SA"/>
      </w:rPr>
    </w:lvl>
    <w:lvl w:ilvl="8">
      <w:start w:val="0"/>
      <w:numFmt w:val="bullet"/>
      <w:lvlText w:val="•"/>
      <w:lvlJc w:val="left"/>
      <w:pPr>
        <w:ind w:left="9305" w:hanging="579"/>
      </w:pPr>
      <w:rPr>
        <w:rFonts w:hint="default"/>
        <w:lang w:val="en-US" w:eastAsia="en-US" w:bidi="ar-SA"/>
      </w:rPr>
    </w:lvl>
  </w:abstractNum>
  <w:abstractNum w:abstractNumId="25">
    <w:nsid w:val="6DE77CF5"/>
    <w:multiLevelType w:val="hybridMultilevel"/>
    <w:tmpl w:val="00000000"/>
    <w:lvl w:ilvl="0">
      <w:start w:val="10"/>
      <w:numFmt w:val="decimal"/>
      <w:lvlText w:val="%1"/>
      <w:lvlJc w:val="left"/>
      <w:pPr>
        <w:ind w:left="525" w:hanging="526"/>
        <w:jc w:val="left"/>
      </w:pPr>
      <w:rPr>
        <w:rFonts w:hint="default"/>
        <w:lang w:val="en-US" w:eastAsia="en-US" w:bidi="ar-SA"/>
      </w:rPr>
    </w:lvl>
    <w:lvl w:ilvl="1">
      <w:start w:val="2"/>
      <w:numFmt w:val="decimal"/>
      <w:lvlText w:val="%1.%2"/>
      <w:lvlJc w:val="left"/>
      <w:pPr>
        <w:ind w:left="525" w:hanging="526"/>
        <w:jc w:val="left"/>
      </w:pPr>
      <w:rPr>
        <w:rFonts w:ascii="黑体" w:eastAsia="黑体" w:hAnsi="黑体" w:cs="黑体" w:hint="default"/>
        <w:w w:val="100"/>
        <w:sz w:val="21"/>
        <w:szCs w:val="21"/>
        <w:lang w:val="en-US" w:eastAsia="en-US" w:bidi="ar-SA"/>
      </w:rPr>
    </w:lvl>
    <w:lvl w:ilvl="2">
      <w:start w:val="1"/>
      <w:numFmt w:val="decimal"/>
      <w:lvlText w:val="%1.%2.%3"/>
      <w:lvlJc w:val="left"/>
      <w:pPr>
        <w:ind w:left="683" w:hanging="684"/>
        <w:jc w:val="left"/>
      </w:pPr>
      <w:rPr>
        <w:rFonts w:ascii="黑体" w:eastAsia="黑体" w:hAnsi="黑体" w:cs="黑体" w:hint="default"/>
        <w:spacing w:val="-3"/>
        <w:w w:val="100"/>
        <w:sz w:val="21"/>
        <w:szCs w:val="21"/>
        <w:lang w:val="en-US" w:eastAsia="en-US" w:bidi="ar-SA"/>
      </w:rPr>
    </w:lvl>
    <w:lvl w:ilvl="3">
      <w:start w:val="0"/>
      <w:numFmt w:val="bullet"/>
      <w:lvlText w:val="•"/>
      <w:lvlJc w:val="left"/>
      <w:pPr>
        <w:ind w:left="2612" w:hanging="684"/>
      </w:pPr>
      <w:rPr>
        <w:rFonts w:hint="default"/>
        <w:lang w:val="en-US" w:eastAsia="en-US" w:bidi="ar-SA"/>
      </w:rPr>
    </w:lvl>
    <w:lvl w:ilvl="4">
      <w:start w:val="0"/>
      <w:numFmt w:val="bullet"/>
      <w:lvlText w:val="•"/>
      <w:lvlJc w:val="left"/>
      <w:pPr>
        <w:ind w:left="3578" w:hanging="684"/>
      </w:pPr>
      <w:rPr>
        <w:rFonts w:hint="default"/>
        <w:lang w:val="en-US" w:eastAsia="en-US" w:bidi="ar-SA"/>
      </w:rPr>
    </w:lvl>
    <w:lvl w:ilvl="5">
      <w:start w:val="0"/>
      <w:numFmt w:val="bullet"/>
      <w:lvlText w:val="•"/>
      <w:lvlJc w:val="left"/>
      <w:pPr>
        <w:ind w:left="4545" w:hanging="684"/>
      </w:pPr>
      <w:rPr>
        <w:rFonts w:hint="default"/>
        <w:lang w:val="en-US" w:eastAsia="en-US" w:bidi="ar-SA"/>
      </w:rPr>
    </w:lvl>
    <w:lvl w:ilvl="6">
      <w:start w:val="0"/>
      <w:numFmt w:val="bullet"/>
      <w:lvlText w:val="•"/>
      <w:lvlJc w:val="left"/>
      <w:pPr>
        <w:ind w:left="5511" w:hanging="684"/>
      </w:pPr>
      <w:rPr>
        <w:rFonts w:hint="default"/>
        <w:lang w:val="en-US" w:eastAsia="en-US" w:bidi="ar-SA"/>
      </w:rPr>
    </w:lvl>
    <w:lvl w:ilvl="7">
      <w:start w:val="0"/>
      <w:numFmt w:val="bullet"/>
      <w:lvlText w:val="•"/>
      <w:lvlJc w:val="left"/>
      <w:pPr>
        <w:ind w:left="6477" w:hanging="684"/>
      </w:pPr>
      <w:rPr>
        <w:rFonts w:hint="default"/>
        <w:lang w:val="en-US" w:eastAsia="en-US" w:bidi="ar-SA"/>
      </w:rPr>
    </w:lvl>
    <w:lvl w:ilvl="8">
      <w:start w:val="0"/>
      <w:numFmt w:val="bullet"/>
      <w:lvlText w:val="•"/>
      <w:lvlJc w:val="left"/>
      <w:pPr>
        <w:ind w:left="7444" w:hanging="684"/>
      </w:pPr>
      <w:rPr>
        <w:rFonts w:hint="default"/>
        <w:lang w:val="en-US" w:eastAsia="en-US" w:bidi="ar-SA"/>
      </w:rPr>
    </w:lvl>
  </w:abstractNum>
  <w:num w:numId="1">
    <w:abstractNumId w:val="20"/>
  </w:num>
  <w:num w:numId="2">
    <w:abstractNumId w:val="25"/>
  </w:num>
  <w:num w:numId="3">
    <w:abstractNumId w:val="3"/>
  </w:num>
  <w:num w:numId="4">
    <w:abstractNumId w:val="1"/>
  </w:num>
  <w:num w:numId="5">
    <w:abstractNumId w:val="12"/>
  </w:num>
  <w:num w:numId="6">
    <w:abstractNumId w:val="18"/>
  </w:num>
  <w:num w:numId="7">
    <w:abstractNumId w:val="7"/>
  </w:num>
  <w:num w:numId="8">
    <w:abstractNumId w:val="2"/>
  </w:num>
  <w:num w:numId="9">
    <w:abstractNumId w:val="0"/>
  </w:num>
  <w:num w:numId="10">
    <w:abstractNumId w:val="21"/>
  </w:num>
  <w:num w:numId="11">
    <w:abstractNumId w:val="6"/>
  </w:num>
  <w:num w:numId="12">
    <w:abstractNumId w:val="23"/>
  </w:num>
  <w:num w:numId="13">
    <w:abstractNumId w:val="9"/>
  </w:num>
  <w:num w:numId="14">
    <w:abstractNumId w:val="8"/>
  </w:num>
  <w:num w:numId="15">
    <w:abstractNumId w:val="22"/>
  </w:num>
  <w:num w:numId="16">
    <w:abstractNumId w:val="13"/>
  </w:num>
  <w:num w:numId="17">
    <w:abstractNumId w:val="15"/>
  </w:num>
  <w:num w:numId="18">
    <w:abstractNumId w:val="11"/>
  </w:num>
  <w:num w:numId="19">
    <w:abstractNumId w:val="4"/>
  </w:num>
  <w:num w:numId="20">
    <w:abstractNumId w:val="24"/>
  </w:num>
  <w:num w:numId="21">
    <w:abstractNumId w:val="14"/>
  </w:num>
  <w:num w:numId="22">
    <w:abstractNumId w:val="19"/>
  </w:num>
  <w:num w:numId="23">
    <w:abstractNumId w:val="16"/>
  </w:num>
  <w:num w:numId="24">
    <w:abstractNumId w:val="10"/>
  </w:num>
  <w:num w:numId="25">
    <w:abstractNumId w:val="5"/>
  </w:num>
  <w:num w:numId="26">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lang w:val="en-US" w:eastAsia="en-US" w:bidi="ar-SA"/>
    </w:rPr>
  </w:style>
  <w:style w:type="paragraph" w:styleId="Heading1">
    <w:name w:val="heading 1"/>
    <w:basedOn w:val="Normal"/>
    <w:uiPriority w:val="1"/>
    <w:qFormat/>
    <w:pPr>
      <w:spacing w:before="54"/>
      <w:ind w:left="298"/>
      <w:jc w:val="center"/>
      <w:outlineLvl w:val="0"/>
    </w:pPr>
    <w:rPr>
      <w:rFonts w:ascii="黑体" w:eastAsia="黑体" w:hAnsi="黑体" w:cs="黑体"/>
      <w:sz w:val="32"/>
      <w:szCs w:val="32"/>
      <w:lang w:val="en-US" w:eastAsia="en-US" w:bidi="ar-SA"/>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宋体" w:eastAsia="宋体" w:hAnsi="宋体" w:cs="宋体"/>
      <w:sz w:val="21"/>
      <w:szCs w:val="21"/>
      <w:lang w:val="en-US" w:eastAsia="en-US" w:bidi="ar-SA"/>
    </w:rPr>
  </w:style>
  <w:style w:type="paragraph" w:styleId="Title">
    <w:name w:val="Title"/>
    <w:basedOn w:val="Normal"/>
    <w:uiPriority w:val="1"/>
    <w:qFormat/>
    <w:pPr>
      <w:spacing w:before="59"/>
      <w:ind w:left="6995"/>
    </w:pPr>
    <w:rPr>
      <w:rFonts w:ascii="Times New Roman" w:eastAsia="Times New Roman" w:hAnsi="Times New Roman" w:cs="Times New Roman"/>
      <w:b/>
      <w:bCs/>
      <w:sz w:val="96"/>
      <w:szCs w:val="96"/>
      <w:lang w:val="en-US" w:eastAsia="en-US" w:bidi="ar-SA"/>
    </w:rPr>
  </w:style>
  <w:style w:type="paragraph" w:styleId="ListParagraph">
    <w:name w:val="List Paragraph"/>
    <w:basedOn w:val="Normal"/>
    <w:uiPriority w:val="1"/>
    <w:qFormat/>
    <w:pPr>
      <w:spacing w:before="43"/>
      <w:ind w:left="1733" w:hanging="421"/>
    </w:pPr>
    <w:rPr>
      <w:rFonts w:ascii="宋体" w:eastAsia="宋体" w:hAnsi="宋体" w:cs="宋体"/>
      <w:lang w:val="en-US" w:eastAsia="en-US" w:bidi="ar-SA"/>
    </w:rPr>
  </w:style>
  <w:style w:type="paragraph" w:customStyle="1" w:styleId="TableParagraph">
    <w:name w:val="Table Paragraph"/>
    <w:basedOn w:val="Normal"/>
    <w:uiPriority w:val="1"/>
    <w:qFormat/>
    <w:pPr>
      <w:spacing w:before="40"/>
      <w:jc w:val="center"/>
    </w:pPr>
    <w:rPr>
      <w:rFonts w:ascii="宋体" w:eastAsia="宋体" w:hAnsi="宋体" w:cs="宋体"/>
      <w:lang w:val="en-US" w:eastAsia="en-US"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5.xml" /><Relationship Id="rId11" Type="http://schemas.openxmlformats.org/officeDocument/2006/relationships/header" Target="header6.xml" /><Relationship Id="rId12" Type="http://schemas.openxmlformats.org/officeDocument/2006/relationships/header" Target="header7.xml" /><Relationship Id="rId13" Type="http://schemas.openxmlformats.org/officeDocument/2006/relationships/header" Target="header8.xml" /><Relationship Id="rId14" Type="http://schemas.openxmlformats.org/officeDocument/2006/relationships/header" Target="header9.xml" /><Relationship Id="rId15" Type="http://schemas.openxmlformats.org/officeDocument/2006/relationships/image" Target="media/image3.png" /><Relationship Id="rId16" Type="http://schemas.openxmlformats.org/officeDocument/2006/relationships/image" Target="media/image4.png" /><Relationship Id="rId17" Type="http://schemas.openxmlformats.org/officeDocument/2006/relationships/image" Target="media/image5.png" /><Relationship Id="rId18" Type="http://schemas.openxmlformats.org/officeDocument/2006/relationships/image" Target="media/image6.png" /><Relationship Id="rId19" Type="http://schemas.openxmlformats.org/officeDocument/2006/relationships/image" Target="media/image7.png" /><Relationship Id="rId2" Type="http://schemas.openxmlformats.org/officeDocument/2006/relationships/webSettings" Target="webSettings.xml" /><Relationship Id="rId20" Type="http://schemas.openxmlformats.org/officeDocument/2006/relationships/image" Target="media/image8.png" /><Relationship Id="rId21" Type="http://schemas.openxmlformats.org/officeDocument/2006/relationships/image" Target="media/image9.png"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header" Target="header12.xml" /><Relationship Id="rId25" Type="http://schemas.openxmlformats.org/officeDocument/2006/relationships/header" Target="header13.xml" /><Relationship Id="rId26" Type="http://schemas.openxmlformats.org/officeDocument/2006/relationships/header" Target="header14.xml" /><Relationship Id="rId27" Type="http://schemas.openxmlformats.org/officeDocument/2006/relationships/header" Target="header15.xml" /><Relationship Id="rId28" Type="http://schemas.openxmlformats.org/officeDocument/2006/relationships/header" Target="header16.xml" /><Relationship Id="rId29" Type="http://schemas.openxmlformats.org/officeDocument/2006/relationships/header" Target="header17.xml" /><Relationship Id="rId3" Type="http://schemas.openxmlformats.org/officeDocument/2006/relationships/fontTable" Target="fontTable.xml" /><Relationship Id="rId30" Type="http://schemas.openxmlformats.org/officeDocument/2006/relationships/header" Target="header18.xml" /><Relationship Id="rId31" Type="http://schemas.openxmlformats.org/officeDocument/2006/relationships/header" Target="header19.xml" /><Relationship Id="rId32" Type="http://schemas.openxmlformats.org/officeDocument/2006/relationships/header" Target="header20.xml" /><Relationship Id="rId33" Type="http://schemas.openxmlformats.org/officeDocument/2006/relationships/header" Target="header21.xml" /><Relationship Id="rId34" Type="http://schemas.openxmlformats.org/officeDocument/2006/relationships/header" Target="header22.xml" /><Relationship Id="rId35" Type="http://schemas.openxmlformats.org/officeDocument/2006/relationships/header" Target="header23.xml" /><Relationship Id="rId36" Type="http://schemas.openxmlformats.org/officeDocument/2006/relationships/header" Target="header24.xml" /><Relationship Id="rId37" Type="http://schemas.openxmlformats.org/officeDocument/2006/relationships/header" Target="header25.xml" /><Relationship Id="rId38" Type="http://schemas.openxmlformats.org/officeDocument/2006/relationships/header" Target="header26.xml" /><Relationship Id="rId39" Type="http://schemas.openxmlformats.org/officeDocument/2006/relationships/header" Target="header27.xml" /><Relationship Id="rId4" Type="http://schemas.openxmlformats.org/officeDocument/2006/relationships/image" Target="media/image1.png" /><Relationship Id="rId40" Type="http://schemas.openxmlformats.org/officeDocument/2006/relationships/header" Target="header28.xml" /><Relationship Id="rId41" Type="http://schemas.openxmlformats.org/officeDocument/2006/relationships/header" Target="header29.xml" /><Relationship Id="rId42" Type="http://schemas.openxmlformats.org/officeDocument/2006/relationships/hyperlink" Target="https://d.book118.com/755242340134011042" TargetMode="External" /><Relationship Id="rId43" Type="http://schemas.openxmlformats.org/officeDocument/2006/relationships/header" Target="header30.xml" /><Relationship Id="rId44" Type="http://schemas.openxmlformats.org/officeDocument/2006/relationships/header" Target="header31.xml" /><Relationship Id="rId45" Type="http://schemas.openxmlformats.org/officeDocument/2006/relationships/theme" Target="theme/theme1.xml" /><Relationship Id="rId46" Type="http://schemas.openxmlformats.org/officeDocument/2006/relationships/numbering" Target="numbering.xml" /><Relationship Id="rId47" Type="http://schemas.openxmlformats.org/officeDocument/2006/relationships/styles" Target="styles.xml" /><Relationship Id="rId5" Type="http://schemas.openxmlformats.org/officeDocument/2006/relationships/image" Target="media/image2.png"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header" Target="header3.xml" /><Relationship Id="rId9" Type="http://schemas.openxmlformats.org/officeDocument/2006/relationships/header" Target="header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地方标准</dc:title>
  <dc:creator>余梅</dc:creator>
  <cp:revision>0</cp:revision>
  <dcterms:created xsi:type="dcterms:W3CDTF">2024-01-15T12:53:50Z</dcterms:created>
  <dcterms:modified xsi:type="dcterms:W3CDTF">2024-01-15T12:53:50Z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2024-01-02T00:00:00Z</vt:filetime>
  </property>
  <property fmtid="{D5CDD505-2E9C-101B-9397-08002B2CF9AE}" pid="3" name="Creator">
    <vt:lpwstr>Microsoft® Word 2021</vt:lpwstr>
  </property>
  <property fmtid="{D5CDD505-2E9C-101B-9397-08002B2CF9AE}" pid="4" name="LastSaved">
    <vt:filetime>2024-01-15T00:00:00Z</vt:filetime>
  </property>
</Properties>
</file>