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造价工程师（建设部）：建设工程造价管理题库考点（最新版）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1、多选 有关IRR的说法正确的有（）。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A.内部收益率是使净现值为零的折现率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B.内部收益率是使项目到计算期末正好将未收回的资金全部收回来的折现率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C.内部收益</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率是项目投资的真实收益率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D.内部收益率是项目为其所占有的资金所提供的盈利率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E.具有非常规现金流量的投资项目内部收益率不唯一</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D,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答案A，使净现值为零仅是内部收益率的必要条件，同时还需满足，项目寿命期结束前始终存在未收回的投资，到项目寿命期结束时投资全部收回。此时的折现率才是内部收益率；答案C，内部收益率表示的是尚未回收资金的获利能力，而不是全部投资的收益水平；答案E，只有常规投资项目内部收益率才是唯一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2、单选 某建设项目借款500万元，期限三年，年利率为8%（单利），则三年内应计利息为（）。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A.40万元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B.120万元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C.130万元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D.100万元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3、多选 下面关于功能分析说法正确的有（）。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A.功能分析是价值工程的核心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B.功能分析的目的是量化功能值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C.功能分析的目的是弄清功能之间的关系，调整功能间比重，使产品的功能结构更合理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D.功能分析只分析重要功能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E.功能分析的依据是功能系统图</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价值工程的核心是功能分析，功能分析的目的是使产品功能结构更合理，研究功能结构需借助功能系统图。价值工程中的功能是必要功能，而不仅仅是重要功能。另外．功能量化主要是功能评价的内容。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4、单选 根据《关于实行建设项目法人责任制的暂行规定》，以下不属于项目总经理职权的是（）。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A.提出项目竣工验收申请报告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B.编制并组织实施年度用款计划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C.组织单项工程预验收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D.拟定企业内部机构设置</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pgSz w:w="11906" w:h="16839"/>
          <w:pgMar w:top="1440" w:right="1080" w:bottom="1440" w:left="1080" w:header="851" w:footer="992" w:gutter="0"/>
          <w:cols w:num="1" w: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1）项目董事会的职权：①负责筹措建设资金；②审核、上报项目初步设计和概算文件；③审核、上报年度投资计划并落实年度资金；④提出项目开工报告；⑤研究解决建设过程中出现的重大问题；⑥负责提出项目竣工验收申请报告；⑦审定偿还债务计划和生产经营方针，并负责按时偿还债务；⑧聘任或解聘项目总经理，并根据总经理的提名，聘任或解聘其他高级管理人员。（2）项目总经理的职权：组织编制项目初步设计文件，对项目工艺流程、设备选型、建设标准、总图布置提出意见，提交董事会审查；组织工程设计、施工监理、施工队伍和设备材料采购的招标工作，编制和确定招标方案、标底和评标标准，评选和确定投、中标单位。编制并组织实施项目年度投资计划、用款计划、建设进度计划；编制项目财务预、决算；编制并组织实施归还贷款和其他债务计划；组织工程建设实施，负责控制工程投资、工期和质量；在项目建设过程中，在批准的概算范围内对单项工程的设计进行局部调整；根据董事会授权处理项目实施中的重大紧急事件，并及时向董事会报告；负责生产准备工作和培训有关人员；负责组织项目试生产和单项工程预验收；拟订生产经营计划、企业内部机构设置、劳动定员定额方案及工资福利方案；组织项目后评价，提出项目后评价报告；按时向有关部门报送项目建设、生产信息和统计资料；提请董事会聘任或解聘项目高级管理人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5、单选 表明流水施工的速度和节奏性的流水施工参数称为（）。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A.流水步距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B.流水节拍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C.流水施工工期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D.工作面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6</w:t>
      </w:r>
      <w:r>
        <w:rPr>
          <w:rFonts w:ascii="宋体" w:eastAsia="宋体" w:hAnsi="宋体" w:cs="宋体" w:hint="eastAsia"/>
          <w:outline w:val="0"/>
          <w:shadow w:val="0"/>
          <w:emboss w:val="0"/>
          <w:imprint w:val="0"/>
          <w:vanish w:val="0"/>
          <w:w w:val="100"/>
          <w:sz w:val="28"/>
          <w:szCs w:val="28"/>
          <w:u w:val="none"/>
          <w:lang w:eastAsia="zh-CN"/>
        </w:rPr>
        <w:t>、单选?</w:t>
      </w:r>
      <w:r>
        <w:rPr>
          <w:rFonts w:ascii="宋体" w:eastAsia="宋体" w:hAnsi="宋体" w:cs="宋体" w:hint="eastAsia"/>
          <w:outline w:val="0"/>
          <w:shadow w:val="0"/>
          <w:emboss w:val="0"/>
          <w:imprint w:val="0"/>
          <w:vanish w:val="0"/>
          <w:w w:val="100"/>
          <w:sz w:val="28"/>
          <w:szCs w:val="28"/>
          <w:u w:val="none"/>
        </w:rPr>
        <w:t>某工程双代号时标网络计划如下图所示，其中工作D的总时差和自由时差（）。</w:t>
      </w:r>
      <w:r>
        <w:rPr>
          <w:rFonts w:ascii="宋体" w:eastAsia="宋体" w:hAnsi="宋体" w:cs="宋体"/>
          <w:outline w:val="0"/>
          <w:shadow w:val="0"/>
          <w:emboss w:val="0"/>
          <w:imprint w:val="0"/>
          <w:vanish w:val="0"/>
          <w:w w:val="100"/>
          <w:sz w:val="28"/>
          <w:szCs w:val="28"/>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5.75pt;height:137.25pt" coordsize="21600,21600" o:preferrelative="t" filled="f" stroked="f">
            <v:stroke joinstyle="miter"/>
            <v:imagedata r:id="rId4" r:href="rId5" o:title=""/>
            <o:lock v:ext="edit" aspectratio="t"/>
            <w10:anchorlock/>
          </v:shape>
        </w:pic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A.均为2周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B.分别为2周和3周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C.均为3周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D.分别为3周和2周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9"/>
          <w:pgMar w:top="1440" w:right="1080" w:bottom="1440" w:left="1080" w:header="851" w:footer="992" w:gutter="0"/>
          <w:pgNumType w:start="2"/>
          <w:cols w:num="1" w:space="0"/>
          <w:titlePg w:val="0"/>
        </w:sectPr>
      </w:pPr>
      <w:r>
        <w:rPr>
          <w:rFonts w:ascii="宋体" w:eastAsia="宋体" w:hAnsi="宋体" w:cs="宋体" w:hint="eastAsia"/>
          <w:outline w:val="0"/>
          <w:shadow w:val="0"/>
          <w:emboss w:val="0"/>
          <w:imprint w:val="0"/>
          <w:vanish w:val="0"/>
          <w:w w:val="100"/>
          <w:sz w:val="28"/>
          <w:szCs w:val="28"/>
          <w:u w:val="none"/>
        </w:rPr>
        <w:t>7、单选 功能整理的主要任务就是（）。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A.明确功能范围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B.明确各功能之间的关系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C.检查功能之间的准确程度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D.建立功能系统图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8、单选 价值工程以功能分析为核心，功能分析包括的内容有：①功能定义；②功能计量；③功能分类；④功能整理。以上这些工作内容的顺序是（）。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A.①-②-③-④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B.④-③-②-①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C.③-①-④-②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D.①-③-②-④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9、单选 某企业注册资本为500万元，现有法定公积金240万元可用于转增资本金。在转为资本时，所留存的该项公积金不得少于（）万元。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A.150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B.125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C.120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D.100</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法定公积金按照税后利润扣除弥补亏损后余额的10%提取，法定公积金达到注册资本50%时可不再提取。法定公积金可用于弥补亏损或用于转增资本金，转为资本时，所留存的该项公积金不得少于转增前公司注册资本的25%，即500×25%=125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10、多选 造价工程师的专业素质体现在（）。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A.造价工程师应是复合型的专业管理人才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B.造价工程师应具备技术技能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C.造价工程师应具备人文技能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D.造价工程师应具备观念技能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E.造价工程师应具备职业道德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11、单选 下列属于融资结构设计阶段的内容的是（）。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A.项目风险控制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B.项目可行性研究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C.评价项目风险因素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D.签署项目融资文件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12、单选 在生产运营的各年中，修理费率的取值，一般采用（）。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9"/>
          <w:pgMar w:top="1440" w:right="1080" w:bottom="1440" w:left="1080" w:header="851" w:footer="992" w:gutter="0"/>
          <w:pgNumType w:start="3"/>
          <w:cols w:num="1" w:space="0"/>
          <w:titlePg w:val="0"/>
        </w:sectPr>
      </w:pPr>
      <w:r>
        <w:rPr>
          <w:rFonts w:ascii="宋体" w:eastAsia="宋体" w:hAnsi="宋体" w:cs="宋体" w:hint="eastAsia"/>
          <w:outline w:val="0"/>
          <w:shadow w:val="0"/>
          <w:emboss w:val="0"/>
          <w:imprint w:val="0"/>
          <w:vanish w:val="0"/>
          <w:w w:val="100"/>
          <w:sz w:val="28"/>
          <w:szCs w:val="28"/>
          <w:u w:val="none"/>
        </w:rPr>
        <w:t>A.较高值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B.较低值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C.调整值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D.固定值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13、多选 价值指数V1＞1，可能出现这种情况的原因有（）。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A.目前成本偏低，不能满足评价对象应具有的功能要求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B.功能过剩，已经超过了其应该有的水平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C.功能成本比较好，正是价值分析所追求的目标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D.功能很重要，但成本较低，不必列为改进对象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E.实现功能的条件或方法不佳，致使成本过高</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V1＝F1／C1＞1，说明F1＞C1，即功能水平较高，而成本比重较低；一种情况是成本偏低，另一种情况是功能过剩。因此，答案为A和B。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14、单选 与平行承包模式相比较，总分包模式的特点表现为（）。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A.业主组织管理和协调工作量大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B.有利于业主对工程质量实施控制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C.有利于吸引更多的投标人参与竞争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D.有利于控制工程造价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15、单选 工程造价管理的任务是加强工程造价的（）动态管理，强化工程造价的约束机制，维护有关各方的经济利益，规范价格行为，促进微观效益和宏观效益的统一。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A.全范围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B.全寿命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C.全过程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D.全要素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16、多选 造价工程师申请初始注册的，应当提交的材料有（）。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A.初始注册申请表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B.执业资格证件和身份证件复印件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C.工程造价岗位工作证明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D.继续教育合格证明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E.工作业绩证明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17、单选 某企业可用于投资资金最高限额为10000万元，现有A、B、C、D四个可选投资项目，所需投资分别为9000万元、7000万元、5000万元、3000万元，则可供选择的组合方案共有（）个。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9"/>
          <w:pgMar w:top="1440" w:right="1080" w:bottom="1440" w:left="1080" w:header="851" w:footer="992" w:gutter="0"/>
          <w:pgNumType w:start="4"/>
          <w:cols w:num="1" w:space="0"/>
          <w:titlePg w:val="0"/>
        </w:sectPr>
      </w:pPr>
      <w:r>
        <w:rPr>
          <w:rFonts w:ascii="宋体" w:eastAsia="宋体" w:hAnsi="宋体" w:cs="宋体" w:hint="eastAsia"/>
          <w:outline w:val="0"/>
          <w:shadow w:val="0"/>
          <w:emboss w:val="0"/>
          <w:imprint w:val="0"/>
          <w:vanish w:val="0"/>
          <w:w w:val="100"/>
          <w:sz w:val="28"/>
          <w:szCs w:val="28"/>
          <w:u w:val="none"/>
        </w:rPr>
        <w:t>A.5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C.7</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D.8</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本题考查经济效果评价方案中的组合一互斥型方案。在若干可采用的独立方案中，如果有资源约束条件（如受资金、劳动力、材料、设备及其他资源拥有量限制），只能从中选择一部分方案实施时，可以将它们组合为互斥型方案。本题中有独立方案A、B、C、D，它们所需的投资分别为9000、7000、5000、3000万元。资金总额限量为10000万元，除方案A具有完全的排他性外，其他方案由于所需金额不大，可以互相组合。这样，可能选择的方案共有：A、B、C、D、B+D、C+D共6个方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18、单选 工程项目被动控制可以采取的措施有（）。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A.明确项目管理组织中过程控制人员的职责，发现情况及时采取措施进行处理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B.制定必要的备用方案，以对付可能出现的影响目标或计划实现的情况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C.识别风险，努力将各种影响目标实现和计划实施的潜在因素揭示出来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D.沟通信息流通渠道，加强信息收集、整理和研究工作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19</w:t>
      </w:r>
      <w:r>
        <w:rPr>
          <w:rFonts w:ascii="宋体" w:eastAsia="宋体" w:hAnsi="宋体" w:cs="宋体" w:hint="eastAsia"/>
          <w:outline w:val="0"/>
          <w:shadow w:val="0"/>
          <w:emboss w:val="0"/>
          <w:imprint w:val="0"/>
          <w:vanish w:val="0"/>
          <w:w w:val="100"/>
          <w:sz w:val="28"/>
          <w:szCs w:val="28"/>
          <w:u w:val="none"/>
          <w:lang w:eastAsia="zh-CN"/>
        </w:rPr>
        <w:t>、多选?</w:t>
      </w:r>
      <w:r>
        <w:rPr>
          <w:rFonts w:ascii="宋体" w:eastAsia="宋体" w:hAnsi="宋体" w:cs="宋体" w:hint="eastAsia"/>
          <w:outline w:val="0"/>
          <w:shadow w:val="0"/>
          <w:emboss w:val="0"/>
          <w:imprint w:val="0"/>
          <w:vanish w:val="0"/>
          <w:w w:val="100"/>
          <w:sz w:val="28"/>
          <w:szCs w:val="28"/>
          <w:u w:val="none"/>
        </w:rPr>
        <w:t>某工程双代号网络计划中各个节点的最早时间和最迟时间如下图所示。该计划表明（）。</w:t>
      </w:r>
      <w:r>
        <w:rPr>
          <w:rFonts w:ascii="宋体" w:eastAsia="宋体" w:hAnsi="宋体" w:cs="宋体"/>
          <w:outline w:val="0"/>
          <w:shadow w:val="0"/>
          <w:emboss w:val="0"/>
          <w:imprint w:val="0"/>
          <w:vanish w:val="0"/>
          <w:w w:val="100"/>
          <w:sz w:val="28"/>
          <w:szCs w:val="28"/>
          <w:u w:val="none"/>
        </w:rPr>
        <w:pict>
          <v:shape id="_x0000_i1026" type="#_x0000_t75" style="width:334.5pt;height:116.25pt" coordsize="21600,21600" o:preferrelative="t" filled="f" stroked="f">
            <v:stroke joinstyle="miter"/>
            <v:imagedata r:id="rId6" r:href="rId7" o:title=""/>
            <o:lock v:ext="edit" aspectratio="t"/>
            <w10:anchorlock/>
          </v:shape>
        </w:pic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A.工作1-2和工作1-3同为关键工作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B.工作2-5的总时差与自由时差相等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C.工作3-5与工作4-7的自由时差相等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D.工作3-6的总时差与自由时差相等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E.工作5-7和工作6-7同为非关键工作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20、单选 企业所得税的应纳税所得额的计算公式为（）。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A.应纳税所得额=总利润-各项扣除-弥补以前年度亏损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B.应纳税所得额=总利润-不征税收入-免税收入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C.应纳税所得额=收入总额-不征税收入-免税收入-各项扣除-弥补以前年度亏损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D.应纳税所得额=收入总额-不征税收入-免税收入-各项扣除+弥补以前年度亏损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9"/>
          <w:pgMar w:top="1440" w:right="1080" w:bottom="1440" w:left="1080" w:header="851" w:footer="992" w:gutter="0"/>
          <w:pgNumType w:start="5"/>
          <w:cols w:num="1" w:space="0"/>
          <w:titlePg w:val="0"/>
        </w:sectPr>
      </w:pPr>
      <w:r>
        <w:rPr>
          <w:rFonts w:ascii="宋体" w:eastAsia="宋体" w:hAnsi="宋体" w:cs="宋体" w:hint="eastAsia"/>
          <w:outline w:val="0"/>
          <w:shadow w:val="0"/>
          <w:emboss w:val="0"/>
          <w:imprint w:val="0"/>
          <w:vanish w:val="0"/>
          <w:w w:val="100"/>
          <w:sz w:val="28"/>
          <w:szCs w:val="28"/>
          <w:u w:val="none"/>
        </w:rPr>
        <w:t>21、多选 工程项目可分为新建项目、（）。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A.扩建项目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B.改建项目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C.迁建项目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D.重置项目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E.恢复项目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22、多选 下列关于资金时间价值的说法正确的有（）。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A.时间价值是资金在社会再生产过程中所产生的增值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B.时间价值是对资金机会成本的衡量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C.金融市场上借贷资本供过于求时，资金的时间价值率（利率）上升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D.对于国家鼓励发展的行业，利率一般定得较低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E.利率水平一般都低于社会平均利润率</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D,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资金时间价值的表现形式有利率和利息两种形式，因此教材中关于利率、利息的相关论述都可以理解为对时间价值的理解。同时利率可以理解为资金的价格，在资本市场供过于求时，价格下跌，因此答案C不正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23、单选 不属于合同争议调解方式的是（）。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A.民间调解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B.仲裁机构调解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C.经济调解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D.法庭调解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24、多选 经济效果评价分析主要包括（）。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A.盈利能力分析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B.预测能力分析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C.清偿能力分析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D.决策能力分析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E.抗风险能力分析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25、单选 根据我国《合同法》的规定，构成违约责任的核心要件是（）。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A.违约方当事人客观上存在违约行为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B.违约当事人主观上有过错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C.守约方当事人客观上存在损失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D.由合同当事人在法定范围内自行约定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26、单选 原产于和中华人民共和国签订含有特殊关税优惠条款的贸易协定的国家或者地区的进口货物，适用（）。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9"/>
          <w:pgMar w:top="1440" w:right="1080" w:bottom="1440" w:left="1080" w:header="851" w:footer="992" w:gutter="0"/>
          <w:pgNumType w:start="6"/>
          <w:cols w:num="1" w:space="0"/>
          <w:titlePg w:val="0"/>
        </w:sectPr>
      </w:pPr>
      <w:r>
        <w:rPr>
          <w:rFonts w:ascii="宋体" w:eastAsia="宋体" w:hAnsi="宋体" w:cs="宋体" w:hint="eastAsia"/>
          <w:outline w:val="0"/>
          <w:shadow w:val="0"/>
          <w:emboss w:val="0"/>
          <w:imprint w:val="0"/>
          <w:vanish w:val="0"/>
          <w:w w:val="100"/>
          <w:sz w:val="28"/>
          <w:szCs w:val="28"/>
          <w:u w:val="none"/>
        </w:rPr>
        <w:t>A.普通汇率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B.最惠国税率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C.特惠税率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D.协定税率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27、单选 发达国家和地区工程造价管理的特点不包括（）。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A.社会的间接调控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B.有章可循的计价依据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C.造价工程师的动态估价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D.通用的合同文本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28、单选 经营性建设项目都要实施建设项目法人责任制，如果由原有企业负责建设项目，需要设立子公司的，（）。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A.需要重新设立项目法人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B.原有企业法人就是项目法人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C.项目领导小组就是项目法人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D.不需设立项目法人，但是原有企业法人需向项目派遣专职管理人员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29、多选 《政府采购法》中规定的政府采购，可采用邀请招标方式采购的情形是（）。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A.具有特殊性，只能从有限范围的供应商处采购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B.采用公开招标方式的费用占政府采购项目总价值的比例过大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C.招标后没有供应商投标或没有合格标的或重新招标未能成立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D.技术复杂或性质特殊，不能确定详细规格或具体要求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E.采用招标所需时间不能满足用户紧急需要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30、单选 在价值工程的工作程序中，功能评价阶段的主要工作内容是（）。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A.确定价值工程的研究对象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B.整理和定义研究对象的功能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C.确定研究对象的成本和价值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D.分析实现研究对象功能的途径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31</w:t>
      </w:r>
      <w:r>
        <w:rPr>
          <w:rFonts w:ascii="宋体" w:eastAsia="宋体" w:hAnsi="宋体" w:cs="宋体" w:hint="eastAsia"/>
          <w:outline w:val="0"/>
          <w:shadow w:val="0"/>
          <w:emboss w:val="0"/>
          <w:imprint w:val="0"/>
          <w:vanish w:val="0"/>
          <w:w w:val="100"/>
          <w:sz w:val="28"/>
          <w:szCs w:val="28"/>
          <w:u w:val="none"/>
          <w:lang w:eastAsia="zh-CN"/>
        </w:rPr>
        <w:t>、单选?</w:t>
      </w:r>
      <w:r>
        <w:rPr>
          <w:rFonts w:ascii="宋体" w:eastAsia="宋体" w:hAnsi="宋体" w:cs="宋体" w:hint="eastAsia"/>
          <w:outline w:val="0"/>
          <w:shadow w:val="0"/>
          <w:emboss w:val="0"/>
          <w:imprint w:val="0"/>
          <w:vanish w:val="0"/>
          <w:w w:val="100"/>
          <w:sz w:val="28"/>
          <w:szCs w:val="28"/>
          <w:u w:val="none"/>
        </w:rPr>
        <w:t>某产品的目标成本为800万元，该产品分为四个功能区，各功能区重要性系数和功能现实成本如下：则该产品功能改进的顺序应为（）。</w:t>
      </w:r>
      <w:r>
        <w:rPr>
          <w:rFonts w:ascii="宋体" w:eastAsia="宋体" w:hAnsi="宋体" w:cs="宋体"/>
          <w:outline w:val="0"/>
          <w:shadow w:val="0"/>
          <w:emboss w:val="0"/>
          <w:imprint w:val="0"/>
          <w:vanish w:val="0"/>
          <w:w w:val="100"/>
          <w:sz w:val="28"/>
          <w:szCs w:val="28"/>
          <w:u w:val="none"/>
        </w:rPr>
        <w:pict>
          <v:shape id="_x0000_i1027" type="#_x0000_t75" style="width:453.6pt;height:75pt" coordsize="21600,21600" o:preferrelative="t" filled="f" stroked="f">
            <v:imagedata r:id="rId8" r:href="rId9" o:title=""/>
            <o:lock v:ext="edit" aspectratio="t"/>
            <w10:anchorlock/>
          </v:shape>
        </w:pic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9"/>
          <w:pgMar w:top="1440" w:right="1080" w:bottom="1440" w:left="1080" w:header="851" w:footer="992" w:gutter="0"/>
          <w:pgNumType w:start="7"/>
          <w:cols w:num="1" w:space="0"/>
          <w:titlePg w:val="0"/>
        </w:sectPr>
      </w:pPr>
      <w:r>
        <w:rPr>
          <w:rFonts w:ascii="宋体" w:eastAsia="宋体" w:hAnsi="宋体" w:cs="宋体" w:hint="eastAsia"/>
          <w:outline w:val="0"/>
          <w:shadow w:val="0"/>
          <w:emboss w:val="0"/>
          <w:imprint w:val="0"/>
          <w:vanish w:val="0"/>
          <w:w w:val="100"/>
          <w:sz w:val="28"/>
          <w:szCs w:val="28"/>
          <w:u w:val="none"/>
        </w:rPr>
        <w:t>A.F1-F2-F3-F4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B.F2-F1-F4-F3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C.F1-F4-3-F2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D.F2-F3-F4-F1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32、多选 常见的工程项目管理组织机构形式有（）。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A.直线制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B.职能制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C.直线职能制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D.矩阵制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E.平行制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33、单选 某企业年初向银行借款1000万元，年复利利率为8%。银行规定每半年计息一次，若企业向银行所借的本金和产生的利息均在第3年年末一次向银行支付，则支付额为（）万元。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A.1260.55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B.1265.32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C.1280.65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D.1360.49</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该题考核的是复利计算。第t年末复利本利和F的表达式如下：</w:t>
      </w:r>
      <w:r>
        <w:rPr>
          <w:rFonts w:ascii="宋体" w:eastAsia="宋体" w:hAnsi="宋体" w:cs="宋体"/>
          <w:outline w:val="0"/>
          <w:shadow w:val="0"/>
          <w:emboss w:val="0"/>
          <w:imprint w:val="0"/>
          <w:vanish w:val="0"/>
          <w:w w:val="100"/>
          <w:sz w:val="28"/>
          <w:szCs w:val="28"/>
          <w:u w:val="none"/>
        </w:rPr>
        <w:pict>
          <v:shape id="_x0000_i1028" type="#_x0000_t75" style="width:364.5pt;height:41.25pt" coordsize="21600,21600" o:preferrelative="t" filled="f" stroked="f">
            <v:stroke joinstyle="miter"/>
            <v:imagedata r:id="rId10" r:href="rId11" o:title=""/>
            <o:lock v:ext="edit" aspectratio="t"/>
            <w10:anchorlock/>
          </v:shape>
        </w:pic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34</w:t>
      </w:r>
      <w:r>
        <w:rPr>
          <w:rFonts w:ascii="宋体" w:eastAsia="宋体" w:hAnsi="宋体" w:cs="宋体" w:hint="eastAsia"/>
          <w:outline w:val="0"/>
          <w:shadow w:val="0"/>
          <w:emboss w:val="0"/>
          <w:imprint w:val="0"/>
          <w:vanish w:val="0"/>
          <w:w w:val="100"/>
          <w:sz w:val="28"/>
          <w:szCs w:val="28"/>
          <w:u w:val="none"/>
          <w:lang w:eastAsia="zh-CN"/>
        </w:rPr>
        <w:t>、单选?</w:t>
      </w:r>
      <w:r>
        <w:rPr>
          <w:rFonts w:ascii="宋体" w:eastAsia="宋体" w:hAnsi="宋体" w:cs="宋体" w:hint="eastAsia"/>
          <w:outline w:val="0"/>
          <w:shadow w:val="0"/>
          <w:emboss w:val="0"/>
          <w:imprint w:val="0"/>
          <w:vanish w:val="0"/>
          <w:w w:val="100"/>
          <w:sz w:val="28"/>
          <w:szCs w:val="28"/>
          <w:u w:val="none"/>
        </w:rPr>
        <w:t>某工程施工流水节拍如下表，乙、丙两施工过程的流水步距应为（）。</w:t>
      </w:r>
      <w:r>
        <w:rPr>
          <w:rFonts w:ascii="宋体" w:eastAsia="宋体" w:hAnsi="宋体" w:cs="宋体"/>
          <w:outline w:val="0"/>
          <w:shadow w:val="0"/>
          <w:emboss w:val="0"/>
          <w:imprint w:val="0"/>
          <w:vanish w:val="0"/>
          <w:w w:val="100"/>
          <w:sz w:val="28"/>
          <w:szCs w:val="28"/>
          <w:u w:val="none"/>
        </w:rPr>
        <w:pict>
          <v:shape id="_x0000_i1029" type="#_x0000_t75" style="width:453.6pt;height:97.5pt" coordsize="21600,21600" o:preferrelative="t" filled="f" stroked="f">
            <v:imagedata r:id="rId12" r:href="rId13" o:title=""/>
            <o:lock v:ext="edit" aspectratio="t"/>
            <w10:anchorlock/>
          </v:shape>
        </w:pic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9"/>
          <w:pgMar w:top="1440" w:right="1080" w:bottom="1440" w:left="1080" w:header="851" w:footer="992" w:gutter="0"/>
          <w:pgNumType w:start="8"/>
          <w:cols w:num="1" w:space="0"/>
          <w:titlePg w:val="0"/>
        </w:sectPr>
      </w:pPr>
      <w:r>
        <w:rPr>
          <w:rFonts w:ascii="宋体" w:eastAsia="宋体" w:hAnsi="宋体" w:cs="宋体" w:hint="eastAsia"/>
          <w:outline w:val="0"/>
          <w:shadow w:val="0"/>
          <w:emboss w:val="0"/>
          <w:imprint w:val="0"/>
          <w:vanish w:val="0"/>
          <w:w w:val="100"/>
          <w:sz w:val="28"/>
          <w:szCs w:val="28"/>
          <w:u w:val="none"/>
        </w:rPr>
        <w:t>35</w:t>
      </w:r>
      <w:r>
        <w:rPr>
          <w:rFonts w:ascii="宋体" w:eastAsia="宋体" w:hAnsi="宋体" w:cs="宋体" w:hint="eastAsia"/>
          <w:outline w:val="0"/>
          <w:shadow w:val="0"/>
          <w:emboss w:val="0"/>
          <w:imprint w:val="0"/>
          <w:vanish w:val="0"/>
          <w:w w:val="100"/>
          <w:sz w:val="28"/>
          <w:szCs w:val="28"/>
          <w:u w:val="none"/>
          <w:lang w:eastAsia="zh-CN"/>
        </w:rPr>
        <w:t>、单选?</w:t>
      </w:r>
      <w:r>
        <w:rPr>
          <w:rFonts w:ascii="宋体" w:eastAsia="宋体" w:hAnsi="宋体" w:cs="宋体" w:hint="eastAsia"/>
          <w:outline w:val="0"/>
          <w:shadow w:val="0"/>
          <w:emboss w:val="0"/>
          <w:imprint w:val="0"/>
          <w:vanish w:val="0"/>
          <w:w w:val="100"/>
          <w:sz w:val="28"/>
          <w:szCs w:val="28"/>
          <w:u w:val="none"/>
        </w:rPr>
        <w:t>已知4个相同产品产量的方案，其数据如下表所示，已知基准投资收益率为8%，用增量投资收益率法进行方案比选，最优方案为（）。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outline w:val="0"/>
          <w:shadow w:val="0"/>
          <w:emboss w:val="0"/>
          <w:imprint w:val="0"/>
          <w:vanish w:val="0"/>
          <w:w w:val="100"/>
          <w:sz w:val="28"/>
          <w:szCs w:val="28"/>
          <w:u w:val="none"/>
        </w:rPr>
        <w:pict>
          <v:shape id="_x0000_i1030" type="#_x0000_t75" style="width:453.6pt;height:80.25pt" coordsize="21600,21600" o:preferrelative="t" filled="f" stroked="f">
            <v:imagedata r:id="rId14" r:href="rId15" o:title=""/>
            <o:lock v:ext="edit" aspectratio="t"/>
            <w10:anchorlock/>
          </v:shape>
        </w:pic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36、单选 某项目总投资1000万元，其中400万元为贷款，贷款年利率10%，已知运营期内总投资收益率为10%，所得税率为25%，则资本金净利润率为（）。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A.5.98%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B.7.5%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37、单选 吸收外国银行、企业和私人存款的借款途径的特点是（）。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A.比较集中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B.风险大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C.流动性小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D.成本低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38、单选 已知某建设项目寿命期为10年，当基准折现率为10%时恰好在寿命周期结束时收回全部投资。则基准折现率为8%时，下列等式正确的是（）。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A.NPV＞0，P't＜10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B.NPV＜0，P't＝10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C.NPV＞0，P't＝10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D.NPV＜0，P't＜10</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由已知条件可知，IRR＝10%，即i＝10%时，NPV＝0，根据NPV与i的关系图可知，当i＝8%时，NPV＞0，根据净现值和动态投资回收期的关系可知，动态投资回收期应该小于计算期。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39、单选 成本分析、成本考核、成本核算是建设工程项目施工成本管理的重要环节，此三项工作正确的工作流程是（）。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A.成本核算-成本分析-成本考核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B.成本分析-成本考核-成本核算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9"/>
          <w:pgMar w:top="1440" w:right="1080" w:bottom="1440" w:left="1080" w:header="851" w:footer="992" w:gutter="0"/>
          <w:pgNumType w:start="9"/>
          <w:cols w:num="1" w:space="0"/>
          <w:titlePg w:val="0"/>
        </w:sectPr>
      </w:pPr>
      <w:r>
        <w:rPr>
          <w:rFonts w:ascii="宋体" w:eastAsia="宋体" w:hAnsi="宋体" w:cs="宋体" w:hint="eastAsia"/>
          <w:outline w:val="0"/>
          <w:shadow w:val="0"/>
          <w:emboss w:val="0"/>
          <w:imprint w:val="0"/>
          <w:vanish w:val="0"/>
          <w:w w:val="100"/>
          <w:sz w:val="28"/>
          <w:szCs w:val="28"/>
          <w:u w:val="none"/>
        </w:rPr>
        <w:t>C.成本考核-成本核算-成本分析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D.成本分析-成本核算-成本考核</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项目成本管理流程：成本预测-成本计划-成本控制-成本核算-成本分析-成本考核，不能颠倒。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40、单选 在评价技术方案总投资的经济效果时，作为现金流量表中的现金流出的是（）。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A.折旧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B.摊销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C.利息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D.经营成本</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折旧是建设投资所形成的固定资产的补偿价值，如将折旧随成本计入现金流出，会造成现金流出的重复计算；无形资产及其他资产摊销费也是建设投资所形成的资产的补偿价值，只是投资方案内部的现金转移，而非现金支出，也不予考虑；贷款利息是使用借货资金所付出的代价，对于投资方案来说是实际的现金流出，但在评价投资方案总投资的经济效果时，并不考虑资金来源问题，故也不考虑；在资本金现金流量表中由于已将利息单列，因此经营成本中也不包括利息支出；由此可见经营成本作为投资方案现金流量表中运营期现金流出的主体部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41、单选 对建设工程项目进行概率分析时，一般需要计算（）。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A.内部收益率的敏感度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B.经营成本的期望值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C.净现值的敏感度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D.净现值的期望值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42、多选 根据我国《合同法》的规定，致使合同无效的情形有（）。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A.以合法形式掩盖非法目的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B.一方以欺诈、胁迫的手段订立合同，损害国家利益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C.恶意串通，损害国家、集体或者第三人利益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D.损害社会公共利益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E.因重大误解订立合同</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9"/>
          <w:pgMar w:top="1440" w:right="1080" w:bottom="1440" w:left="1080" w:header="851" w:footer="992" w:gutter="0"/>
          <w:pgNumType w:start="10"/>
          <w:cols w:num="1" w:space="0"/>
          <w:titlePg w:val="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内容和形式违反了法律、行政法规的强制性规定，或者损害了国家利益、集体利益、第三人利益和社会公共利益，因而不为法律所承认和保护、不具有法律效力的合同为无效合同。无效合同自始没有法律约束力。合同有下列情形之一的为合同无效：（1）一方以欺诈、胁迫的手段订立合同，损害国家利益；（2）恶意串通，损害国家、集体或第三人利益；（3）以合法形式掩盖非法目的；（4）损害社会公共利益；（5）违反法律、行政法规的强制性规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43、单选 根据我国现行规定，不同类别的建设工程项目应采用不同的组织实施方式，下列组合中正确的是（）。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A.竞争性项目一代建制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B.公益性项目一项目法人责任制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C.非经营性政府投资项目一代建制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D.基础性项目一代建制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44、单选 根据《国务院关于投资体制改革的决定》（国发［2004］20号），对于企业不使用政府资金投资建设的项目，区别不同情况实行（）。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A.专家评议制或政府审批制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B.核准制或登记备案制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C.政府审批制或核准制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D.政府审批制或登记备案制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45、多选 工程价款结算的主要内容包括（）。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A.劳务分包结算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B.竣工结算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C.专业分包结算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D.按月结算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E.合同中止结算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C,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46</w:t>
      </w:r>
      <w:r>
        <w:rPr>
          <w:rFonts w:ascii="宋体" w:eastAsia="宋体" w:hAnsi="宋体" w:cs="宋体" w:hint="eastAsia"/>
          <w:outline w:val="0"/>
          <w:shadow w:val="0"/>
          <w:emboss w:val="0"/>
          <w:imprint w:val="0"/>
          <w:vanish w:val="0"/>
          <w:w w:val="100"/>
          <w:sz w:val="28"/>
          <w:szCs w:val="28"/>
          <w:u w:val="none"/>
          <w:lang w:eastAsia="zh-CN"/>
        </w:rPr>
        <w:t>、单选?</w:t>
      </w:r>
      <w:r>
        <w:rPr>
          <w:rFonts w:ascii="宋体" w:eastAsia="宋体" w:hAnsi="宋体" w:cs="宋体" w:hint="eastAsia"/>
          <w:outline w:val="0"/>
          <w:shadow w:val="0"/>
          <w:emboss w:val="0"/>
          <w:imprint w:val="0"/>
          <w:vanish w:val="0"/>
          <w:w w:val="100"/>
          <w:sz w:val="28"/>
          <w:szCs w:val="28"/>
          <w:u w:val="none"/>
        </w:rPr>
        <w:t>某产品各零部件功能重要程度采用0-1评分法评分结果见下表，零部件Ⅱ的功能重要性系数为（）</w:t>
      </w:r>
      <w:r>
        <w:rPr>
          <w:rFonts w:ascii="宋体" w:eastAsia="宋体" w:hAnsi="宋体" w:cs="宋体"/>
          <w:outline w:val="0"/>
          <w:shadow w:val="0"/>
          <w:emboss w:val="0"/>
          <w:imprint w:val="0"/>
          <w:vanish w:val="0"/>
          <w:w w:val="100"/>
          <w:sz w:val="28"/>
          <w:szCs w:val="28"/>
          <w:u w:val="none"/>
        </w:rPr>
        <w:pict>
          <v:shape id="_x0000_i1031" type="#_x0000_t75" style="width:453.6pt;height:119.25pt" coordsize="21600,21600" o:preferrelative="t" filled="f" stroked="f">
            <v:imagedata r:id="rId16" r:href="rId17" o:title=""/>
            <o:lock v:ext="edit" aspectratio="t"/>
            <w10:anchorlock/>
          </v:shape>
        </w:pic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A.0.1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B.0.133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C.0.333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D.0.4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9"/>
          <w:pgMar w:top="1440" w:right="1080" w:bottom="1440" w:left="1080" w:header="851" w:footer="992" w:gutter="0"/>
          <w:pgNumType w:start="11"/>
          <w:cols w:num="1" w:space="0"/>
          <w:titlePg w:val="0"/>
        </w:sectPr>
      </w:pPr>
      <w:r>
        <w:rPr>
          <w:rFonts w:ascii="宋体" w:eastAsia="宋体" w:hAnsi="宋体" w:cs="宋体" w:hint="eastAsia"/>
          <w:outline w:val="0"/>
          <w:shadow w:val="0"/>
          <w:emboss w:val="0"/>
          <w:imprint w:val="0"/>
          <w:vanish w:val="0"/>
          <w:w w:val="100"/>
          <w:sz w:val="28"/>
          <w:szCs w:val="28"/>
          <w:u w:val="none"/>
        </w:rPr>
        <w:t>47、单选 在施工企业中，对于技术进步较快或其使用寿命受工作环境影响较大的施工机械和运输设备，经财政部批准，可采用（）计提折旧。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A.年数总额法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B.工作量法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C.平均年限法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D.双倍年数总和法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对于技术进步较快或其使用寿命受工作环境影响较大的施工机械和运输设备，经财政部批准，可采用年数总额法（年数总和法）或双倍余额递减法计提折旧。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48、单选 东道国政府与项目公司签署协议，把项目建设及经营的特许权授予项目公司。项目公司在特许期内利用项目收益偿还投资及营运支出，并获得利润。特许期满后，项目交给东道国政府的项目融资方式是（）。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A.ABS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B.TOT</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C.BOT</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D.PFI</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49、单选 某企业于年初向银行借款1500万元，其年有效利率为10%，若按月计息，则该年第三季度末借款本利和为（）万元。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A.1611.1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B.1612.5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C.1616.3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D.1237.5</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设名义年利率为r，则每月的月利率为r／12根据名义利率与有效利率的关系</w:t>
      </w:r>
      <w:r>
        <w:rPr>
          <w:rFonts w:ascii="宋体" w:eastAsia="宋体" w:hAnsi="宋体" w:cs="宋体"/>
          <w:outline w:val="0"/>
          <w:shadow w:val="0"/>
          <w:emboss w:val="0"/>
          <w:imprint w:val="0"/>
          <w:vanish w:val="0"/>
          <w:w w:val="100"/>
          <w:sz w:val="28"/>
          <w:szCs w:val="28"/>
          <w:u w:val="none"/>
        </w:rPr>
        <w:pict>
          <v:shape id="_x0000_i1032" type="#_x0000_t75" style="width:57.75pt;height:33.75pt" coordsize="21600,21600" o:preferrelative="t" filled="f" stroked="f">
            <v:stroke joinstyle="miter"/>
            <v:imagedata r:id="rId18" r:href="rId19" o:title=""/>
            <o:lock v:ext="edit" aspectratio="t"/>
            <w10:anchorlock/>
          </v:shape>
        </w:pict>
      </w:r>
      <w:r>
        <w:rPr>
          <w:rFonts w:ascii="宋体" w:eastAsia="宋体" w:hAnsi="宋体" w:cs="宋体" w:hint="eastAsia"/>
          <w:outline w:val="0"/>
          <w:shadow w:val="0"/>
          <w:emboss w:val="0"/>
          <w:imprint w:val="0"/>
          <w:vanish w:val="0"/>
          <w:w w:val="100"/>
          <w:sz w:val="28"/>
          <w:szCs w:val="28"/>
          <w:u w:val="none"/>
        </w:rPr>
        <w:t>-1＝10%，</w:t>
      </w:r>
      <w:r>
        <w:rPr>
          <w:rFonts w:ascii="宋体" w:eastAsia="宋体" w:hAnsi="宋体" w:cs="宋体"/>
          <w:outline w:val="0"/>
          <w:shadow w:val="0"/>
          <w:emboss w:val="0"/>
          <w:imprint w:val="0"/>
          <w:vanish w:val="0"/>
          <w:w w:val="100"/>
          <w:sz w:val="28"/>
          <w:szCs w:val="28"/>
          <w:u w:val="none"/>
        </w:rPr>
        <w:pict>
          <v:shape id="_x0000_i1033" type="#_x0000_t75" style="width:102.75pt;height:30pt" coordsize="21600,21600" o:preferrelative="t" filled="f" stroked="f">
            <v:stroke joinstyle="miter"/>
            <v:imagedata r:id="rId20" r:href="rId21" o:title=""/>
            <o:lock v:ext="edit" aspectratio="t"/>
            <w10:anchorlock/>
          </v:shape>
        </w:pict>
      </w:r>
      <w:r>
        <w:rPr>
          <w:rFonts w:ascii="宋体" w:eastAsia="宋体" w:hAnsi="宋体" w:cs="宋体" w:hint="eastAsia"/>
          <w:outline w:val="0"/>
          <w:shadow w:val="0"/>
          <w:emboss w:val="0"/>
          <w:imprint w:val="0"/>
          <w:vanish w:val="0"/>
          <w:w w:val="100"/>
          <w:sz w:val="28"/>
          <w:szCs w:val="28"/>
          <w:u w:val="none"/>
        </w:rPr>
        <w:t>第三季度末本利和为：F＝1500（1＋r／12）＝1500×1.1＝1611.1万元。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50、多选 工程造价咨询单位的（）行为将罚款。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A.设立分支机构不备案的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B.伪造、涂改《工程造价咨询单位资质证书》的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C.未取得《工程造价咨询单位资质证书》的单位，从事工程造价咨询业务的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D.工程造价咨询单位主要技术负责人变更未办理变卖更手续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E.在申请资质等级的过程中弄虚作假的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51、单选 借用国外资金的途径中，（）比较适用于建设周期较长、金额较大的工程建设项目。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A.国际金融组织贷款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9"/>
          <w:pgMar w:top="1440" w:right="1080" w:bottom="1440" w:left="1080" w:header="851" w:footer="992" w:gutter="0"/>
          <w:pgNumType w:start="12"/>
          <w:cols w:num="1" w:space="0"/>
          <w:titlePg w:val="0"/>
        </w:sectPr>
      </w:pPr>
      <w:r>
        <w:rPr>
          <w:rFonts w:ascii="宋体" w:eastAsia="宋体" w:hAnsi="宋体" w:cs="宋体" w:hint="eastAsia"/>
          <w:outline w:val="0"/>
          <w:shadow w:val="0"/>
          <w:emboss w:val="0"/>
          <w:imprint w:val="0"/>
          <w:vanish w:val="0"/>
          <w:w w:val="100"/>
          <w:sz w:val="28"/>
          <w:szCs w:val="28"/>
          <w:u w:val="none"/>
        </w:rPr>
        <w:t>B.外国政府贷款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C.亚洲开发银行贷款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D.国外商业银行贷款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52、多选 流水施工的特点体现在（）。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A.施工工期较短，可以尽早发挥投资效益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B.实现专业化生产，可以提高施工技术水平和劳动生产率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C.连续施工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D.增加工程成本，可以提高承包单位的质量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E.提高工程质量，可以增加建设工程的使用寿命和节约使用过程中的维修费用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53</w:t>
      </w:r>
      <w:r>
        <w:rPr>
          <w:rFonts w:ascii="宋体" w:eastAsia="宋体" w:hAnsi="宋体" w:cs="宋体" w:hint="eastAsia"/>
          <w:outline w:val="0"/>
          <w:shadow w:val="0"/>
          <w:emboss w:val="0"/>
          <w:imprint w:val="0"/>
          <w:vanish w:val="0"/>
          <w:w w:val="100"/>
          <w:sz w:val="28"/>
          <w:szCs w:val="28"/>
          <w:u w:val="none"/>
          <w:lang w:eastAsia="zh-CN"/>
        </w:rPr>
        <w:t>、多选?</w:t>
      </w:r>
      <w:r>
        <w:rPr>
          <w:rFonts w:ascii="宋体" w:eastAsia="宋体" w:hAnsi="宋体" w:cs="宋体" w:hint="eastAsia"/>
          <w:outline w:val="0"/>
          <w:shadow w:val="0"/>
          <w:emboss w:val="0"/>
          <w:imprint w:val="0"/>
          <w:vanish w:val="0"/>
          <w:w w:val="100"/>
          <w:sz w:val="28"/>
          <w:szCs w:val="28"/>
          <w:u w:val="none"/>
        </w:rPr>
        <w:t>某分部工程双代号网络计划如下图所示，图中的错误有（）。</w:t>
      </w:r>
      <w:r>
        <w:rPr>
          <w:rFonts w:ascii="宋体" w:eastAsia="宋体" w:hAnsi="宋体" w:cs="宋体"/>
          <w:outline w:val="0"/>
          <w:shadow w:val="0"/>
          <w:emboss w:val="0"/>
          <w:imprint w:val="0"/>
          <w:vanish w:val="0"/>
          <w:w w:val="100"/>
          <w:sz w:val="28"/>
          <w:szCs w:val="28"/>
          <w:u w:val="none"/>
        </w:rPr>
        <w:pict>
          <v:shape id="_x0000_i1034" type="#_x0000_t75" style="width:252.75pt;height:94.5pt" coordsize="21600,21600" o:preferrelative="t" filled="f" stroked="f">
            <v:stroke joinstyle="miter"/>
            <v:imagedata r:id="rId22" r:href="rId23" o:title=""/>
            <o:lock v:ext="edit" aspectratio="t"/>
            <w10:anchorlock/>
          </v:shape>
        </w:pic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A.工作代号重复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B.节点编号有误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C.多个起点节点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D.多个终点节点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E.存在循环回路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54、多选 单位工程施工组织设计中的施工准备包括（）。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A.技术准备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B.现场准备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C.资金准备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D.物资准备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E.机具准备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55</w:t>
      </w:r>
      <w:r>
        <w:rPr>
          <w:rFonts w:ascii="宋体" w:eastAsia="宋体" w:hAnsi="宋体" w:cs="宋体" w:hint="eastAsia"/>
          <w:outline w:val="0"/>
          <w:shadow w:val="0"/>
          <w:emboss w:val="0"/>
          <w:imprint w:val="0"/>
          <w:vanish w:val="0"/>
          <w:w w:val="100"/>
          <w:sz w:val="28"/>
          <w:szCs w:val="28"/>
          <w:u w:val="none"/>
          <w:lang w:eastAsia="zh-CN"/>
        </w:rPr>
        <w:t>、单选?</w:t>
      </w:r>
      <w:r>
        <w:rPr>
          <w:rFonts w:ascii="宋体" w:eastAsia="宋体" w:hAnsi="宋体" w:cs="宋体" w:hint="eastAsia"/>
          <w:outline w:val="0"/>
          <w:shadow w:val="0"/>
          <w:emboss w:val="0"/>
          <w:imprint w:val="0"/>
          <w:vanish w:val="0"/>
          <w:w w:val="100"/>
          <w:sz w:val="28"/>
          <w:szCs w:val="28"/>
          <w:u w:val="none"/>
        </w:rPr>
        <w:t>某项目现金流量表（单位：万元）如下：</w:t>
      </w:r>
      <w:r>
        <w:rPr>
          <w:rFonts w:ascii="宋体" w:eastAsia="宋体" w:hAnsi="宋体" w:cs="宋体"/>
          <w:outline w:val="0"/>
          <w:shadow w:val="0"/>
          <w:emboss w:val="0"/>
          <w:imprint w:val="0"/>
          <w:vanish w:val="0"/>
          <w:w w:val="100"/>
          <w:sz w:val="28"/>
          <w:szCs w:val="28"/>
          <w:u w:val="none"/>
        </w:rPr>
        <w:pict>
          <v:shape id="_x0000_i1035" type="#_x0000_t75" style="width:453.6pt;height:75pt" coordsize="21600,21600" o:preferrelative="t" filled="f" stroked="f">
            <v:imagedata r:id="rId24" r:href="rId25" o:title=""/>
            <o:lock v:ext="edit" aspectratio="t"/>
            <w10:anchorlock/>
          </v:shape>
        </w:pic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则该项目的净现值和动态投资回收期分别为（）。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A.1593.95万元和4.53年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B.1593.95万元和5.17年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9"/>
          <w:pgMar w:top="1440" w:right="1080" w:bottom="1440" w:left="1080" w:header="851" w:footer="992" w:gutter="0"/>
          <w:pgNumType w:start="13"/>
          <w:cols w:num="1" w:space="0"/>
          <w:titlePg w:val="0"/>
        </w:sectPr>
      </w:pPr>
      <w:r>
        <w:rPr>
          <w:rFonts w:ascii="宋体" w:eastAsia="宋体" w:hAnsi="宋体" w:cs="宋体" w:hint="eastAsia"/>
          <w:outline w:val="0"/>
          <w:shadow w:val="0"/>
          <w:emboss w:val="0"/>
          <w:imprint w:val="0"/>
          <w:vanish w:val="0"/>
          <w:w w:val="100"/>
          <w:sz w:val="28"/>
          <w:szCs w:val="28"/>
          <w:u w:val="none"/>
        </w:rPr>
        <w:t>C.3750万元和4.53年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D.3750万元和5.17年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56、多选 在项目财务费用的估算中，投资主要包括（）。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A.建设期贷款利息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B.原材料投资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C.建设投资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D.流动资金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E.动力投资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57、单选 下列方法中，（）是质量控制的静态分析方法，反映的是质量在某一段时间里的静止状态。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A.排列图法、直方图法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B.因果分析图法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C.香蕉曲线法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D.S曲线法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58、多选 下列属于工程造价计价的依据有（）。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A.项目建议书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B.概算造价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C.概算定额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D.进口设备关税率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E.单位工程造价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59、多选 投资方案经济效果评价中所涉及的税金主要包括（）。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A.关税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B.房产税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C.印花税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D.增值税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E.营业税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D,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60、单选 已知A工作的紧后工作为B、C，持续时间分别为8天、7天、4天，A工作的最早开始时间为第9天，B、C工作的最迟完成时间分别为第37天、39天，则A工作的自由时差和总时差分别为（）。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A.0和13天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B.0和1天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C.13天和13天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D.13天和18天</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9"/>
          <w:pgMar w:top="1440" w:right="1080" w:bottom="1440" w:left="1080" w:header="851" w:footer="992" w:gutter="0"/>
          <w:pgNumType w:start="14"/>
          <w:cols w:num="1" w:space="0"/>
          <w:titlePg w:val="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根据A工作的紧后工作为B、C，则：A工作的最早完成时间=9+8=17天；B、C工作的最早开始时间=9+8=17天；所以A工作的自由时差为0天。根据B、C工作的最迟完成时间分别为第37天、39天，持续时间分别为7天、4天，则：B、C工作的最迟开始时间分别为第30天、35天；则：A工作的最迟完成时间=min［30，35］=30天；则：A工作的总时差=30-17=13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61、单选 关于BOT与ABS的区别，表述正确的是（）。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A.ABS方式的操作复杂，难度大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B.ABS项目的所有权、运营权在特许期内属于项目公司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C.BOT方式中，在债券的发行期内，项目资产的所有权属于SPC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D.BOT项目投资人一般都为企业或金融机构，其投资是不能随便放弃和转让的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62、多选 现金流量的要素有（）。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A.大小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B.方向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C.运作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D.经营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E.作用点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E</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63、单选 设备租赁与购置的经济比选也是一个互斥方案的选优问题，设备寿命相同时，一般可以采用（）。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A.年值法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B.收益率法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C.净现值法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D.附加率法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64、单选 下列关于流水施工的特点，表述错误的是（）。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A.施工工期较短，可以尽早发挥投资效益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B.提高工程质量，可以增加建设工程的使用寿命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C.降低工程成本，可以提高承包单位的经济效益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D.循环施工过程，可以使工程质量得到进一步保证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65、单选 某施工企业与业主签订了一项总金额为2000万元的建造合同，合同规定的建设工期为2年，该企业将工程的一部分分包给了机械施工公司，签订的分包合同金额为300万元。第一年该企业根据分包工程的完工进度向机械施工公司支付了工程进度款120万元，并预付了下一年度工程备料款30万元；该企业自行施工部分发生合同成本600万元，预计为完成合同尚需发生成本700万元。该企业第一年确认的合同收入和毛利分别为（）万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9"/>
          <w:pgMar w:top="1440" w:right="1080" w:bottom="1440" w:left="1080" w:header="851" w:footer="992" w:gutter="0"/>
          <w:pgNumType w:start="15"/>
          <w:cols w:num="1" w:space="0"/>
          <w:titlePg w:val="0"/>
        </w:sectPr>
      </w:pPr>
      <w:r>
        <w:rPr>
          <w:rFonts w:ascii="宋体" w:eastAsia="宋体" w:hAnsi="宋体" w:cs="宋体" w:hint="eastAsia"/>
          <w:outline w:val="0"/>
          <w:shadow w:val="0"/>
          <w:emboss w:val="0"/>
          <w:imprint w:val="0"/>
          <w:vanish w:val="0"/>
          <w:w w:val="100"/>
          <w:sz w:val="28"/>
          <w:szCs w:val="28"/>
          <w:u w:val="none"/>
        </w:rPr>
        <w:t>A.900和180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B.900和150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C.937.5和187.5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D.937.5和180</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首先，根据投入衡量法确定合同完工进度：第一年合同完工进度=（600+120）／（600+700+300）×100%=45%然后，根据合同收入和毛利确认公式与要求确认合同收入和毛利：第一年应确认的合同收入=2000×45%=900万元第一年应确认的合同毛利=［2000-（600+700+300）］×45%=180万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66、单选 已知L工作的紧后工作为M和N，M工作的总时差为4天，持续时间6天，N工作的总时差为3天，持续时间4天，L工作的自由时差为3天，则L工作的总时差为（）。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A.3天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B.6天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C.7天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D.9天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67、单选 期望值是用来描述（）的一个主要参数。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A.市场供需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B.风险大小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C.随机变量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D.经济效果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68</w:t>
      </w:r>
      <w:r>
        <w:rPr>
          <w:rFonts w:ascii="宋体" w:eastAsia="宋体" w:hAnsi="宋体" w:cs="宋体" w:hint="eastAsia"/>
          <w:outline w:val="0"/>
          <w:shadow w:val="0"/>
          <w:emboss w:val="0"/>
          <w:imprint w:val="0"/>
          <w:vanish w:val="0"/>
          <w:w w:val="100"/>
          <w:sz w:val="28"/>
          <w:szCs w:val="28"/>
          <w:u w:val="none"/>
          <w:lang w:eastAsia="zh-CN"/>
        </w:rPr>
        <w:t>、单选?</w:t>
      </w:r>
      <w:r>
        <w:rPr>
          <w:rFonts w:ascii="宋体" w:eastAsia="宋体" w:hAnsi="宋体" w:cs="宋体" w:hint="eastAsia"/>
          <w:outline w:val="0"/>
          <w:shadow w:val="0"/>
          <w:emboss w:val="0"/>
          <w:imprint w:val="0"/>
          <w:vanish w:val="0"/>
          <w:w w:val="100"/>
          <w:sz w:val="28"/>
          <w:szCs w:val="28"/>
          <w:u w:val="none"/>
        </w:rPr>
        <w:t>某分部工程双代号时标网络计划如下图所示，其中工作A的总时差和自由时差（）天。</w:t>
      </w:r>
      <w:r>
        <w:rPr>
          <w:rFonts w:ascii="宋体" w:eastAsia="宋体" w:hAnsi="宋体" w:cs="宋体"/>
          <w:outline w:val="0"/>
          <w:shadow w:val="0"/>
          <w:emboss w:val="0"/>
          <w:imprint w:val="0"/>
          <w:vanish w:val="0"/>
          <w:w w:val="100"/>
          <w:sz w:val="28"/>
          <w:szCs w:val="28"/>
          <w:u w:val="none"/>
        </w:rPr>
        <w:pict>
          <v:shape id="_x0000_i1036" type="#_x0000_t75" style="width:431.25pt;height:126pt" coordsize="21600,21600" o:preferrelative="t" filled="f" stroked="f">
            <v:stroke joinstyle="miter"/>
            <v:imagedata r:id="rId26" r:href="rId27" o:title=""/>
            <o:lock v:ext="edit" aspectratio="t"/>
            <w10:anchorlock/>
          </v:shape>
        </w:pic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A.分别为1和0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B.均为1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C.分别为2和0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D.均为0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69、单选 在价值工程中，（）属于方案综合评价的方法。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9"/>
          <w:pgMar w:top="1440" w:right="1080" w:bottom="1440" w:left="1080" w:header="851" w:footer="992" w:gutter="0"/>
          <w:pgNumType w:start="16"/>
          <w:cols w:num="1" w:space="0"/>
          <w:titlePg w:val="0"/>
        </w:sectPr>
      </w:pPr>
      <w:r>
        <w:rPr>
          <w:rFonts w:ascii="宋体" w:eastAsia="宋体" w:hAnsi="宋体" w:cs="宋体" w:hint="eastAsia"/>
          <w:outline w:val="0"/>
          <w:shadow w:val="0"/>
          <w:emboss w:val="0"/>
          <w:imprint w:val="0"/>
          <w:vanish w:val="0"/>
          <w:w w:val="100"/>
          <w:sz w:val="28"/>
          <w:szCs w:val="28"/>
          <w:u w:val="none"/>
        </w:rPr>
        <w:t>A.ABC分类法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B.类比估算法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C.强制评分法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D.费用效率法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70、单选 我国工程造价管理体制改革的最终目标是，建立市场形成价格的机制，实现工程造价管理（）。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A.一体化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B.国际化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C.市场化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D.社会化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71、单选 某房地产公司自建一幢价值1000万元的写字楼，对外销售实现营业收入1500万元，已知建筑业的营业税率为3%，不动产销售的营业税税率为5%，则该企业应缴纳营业税（）万元。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A.30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B.50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C.105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D.75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72、单选 场地清理费的保险金额一般按大工程不超过其工程合同价格的（）计算。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A.3%</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C.7%</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73、单选 某项固定资产原价为20000元，预计净残值800元，预计使用年限5年。采用双倍余额递减法计算第2年的折旧额为（）元。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A.8000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B.4800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C.2880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D.1728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74、单选 网络计划工期优化的前提是（）。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A.计算工期大于计划工期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B.将关键工作压缩成非关键工作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C.不改变各项工作之间的逻辑关系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9"/>
          <w:pgMar w:top="1440" w:right="1080" w:bottom="1440" w:left="1080" w:header="851" w:footer="992" w:gutter="0"/>
          <w:pgNumType w:start="17"/>
          <w:cols w:num="1" w:space="0"/>
          <w:titlePg w:val="0"/>
        </w:sectPr>
      </w:pPr>
      <w:r>
        <w:rPr>
          <w:rFonts w:ascii="宋体" w:eastAsia="宋体" w:hAnsi="宋体" w:cs="宋体" w:hint="eastAsia"/>
          <w:outline w:val="0"/>
          <w:shadow w:val="0"/>
          <w:emboss w:val="0"/>
          <w:imprint w:val="0"/>
          <w:vanish w:val="0"/>
          <w:w w:val="100"/>
          <w:sz w:val="28"/>
          <w:szCs w:val="28"/>
          <w:u w:val="none"/>
        </w:rPr>
        <w:t>D.计划工期大于计算工期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75、多选 下列关于NPV的说法正确的有（）。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A.随着折现率的逐渐增大，净现值将逐渐变小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B.净现值反映了项目超过基准收益的额外收益的大小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C.所有的多方案比选都可以直接用净现值进行比较，净现值大的方案比较优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D.净现值的不足是需要预先确定一个基准收益率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E.用净现值进行方案比选和用内部收益率进行方案比选所得的结论总是一致的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76、单选 在英国，有着一套完整的工程建设标准合同体系，其中（）是英国的主要合同体系，主要通用于房屋建筑工程。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A.JCT合同体系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B.ACA合同体系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C.ICE合同体系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D.皇家政府合同体系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77、单选 施工组织设计编制的是好还是差，衡量的标准是主要的（）.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A.施工进度计划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B.技术措施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C.技术经济指标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D.施工方案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78、单选 内部收益率的经济含义就是使末回收投资余额及其利息恰好在项目计算期末完全收回的一种利率，也是项目为其所占有资金提供的（）。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A.备付率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B.盈利率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C.利润率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D.报酬率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79、多选 关于工程项目经济评价应遵循的基本原则描述正确的有（）。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A.有无对比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B.效益与费用计算口径对应一致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C.收益与风险权衡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D.定量分析与定性分析相结合，以定性分析为主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E.动态分析与静态分析相结合，以静态分析为主</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9"/>
          <w:pgMar w:top="1440" w:right="1080" w:bottom="1440" w:left="1080" w:header="851" w:footer="992" w:gutter="0"/>
          <w:pgNumType w:start="18"/>
          <w:cols w:num="1" w:space="0"/>
          <w:titlePg w:val="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工程项目经济评价应遵循的基本原则：（1）"有无对比"原则；（2）效益与费用计算口径对应一致的原则；（3）收益与风险权衡的原则；（4）定量分析与定性分析相结合，以定量分析为主的原则；（5）动态分析与静态分析相结合，以动态分析为主的原则。项目经济评价的核心是动态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80、单选 工程项目管理的相关制度中，下列属于项目总经理的职权的是（）。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A.组织编制项目初步设计文件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B.负责筹措建设资金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C.审核初步设计文件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D.提出项目开工报告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81、单选 纳税人建造普通住宅出售时，增值额未超过扣除项目金额（）的，免征土地增值税。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C.30%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D.35%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82、单选 静态投资包括建筑安装工程费，设备和工、器具购置费，工程建设其他费用和（）。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A.预备费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B.基本预备费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C.涨价预备费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D.未明确项目准备金</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静态投资是以某一基准年、月的建设要素的价格为依据所计算出的建设项目投资的瞬时值。静态投资包括建筑安装工程费，设备和工、器具购置费，工程建设其他费用，基本预备费，以及因工程量误差而引起的工程造价的增减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83、单选 以下内容不属于经营成本的是（）。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A.折旧费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B.修理费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C.工资及福利费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D.外购原材料、燃料及动力费</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本题考查经营成本。经营成本是工程经济分析中的专用术语，用于投资方案经济效果评价的现金流量分析。经营成本=总成本费用一折旧费一摊销费一利息支出或经营成本=外购原材料、燃料及动力费+工资及福利费+修理费+其他费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84、单选 工程造价咨询单位的资质证书有效期为（）年。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w:t>
      </w:r>
      <w:r>
        <w:rPr>
          <w:rFonts w:ascii="宋体" w:eastAsia="宋体" w:hAnsi="宋体" w:cs="宋体"/>
          <w:outline w:val="0"/>
          <w:shadow w:val="0"/>
          <w:emboss w:val="0"/>
          <w:imprint w:val="0"/>
          <w:vanish w:val="0"/>
          <w:w w:val="100"/>
          <w:sz w:val="28"/>
          <w:szCs w:val="28"/>
          <w:u w:val="none"/>
        </w:rPr>
        <w:br/>
      </w:r>
      <w:r>
        <w:rPr>
          <w:rFonts w:ascii="宋体" w:eastAsia="宋体" w:hAnsi="宋体" w:cs="宋体"/>
          <w:outline w:val="0"/>
          <w:shadow w:val="0"/>
          <w:emboss w:val="0"/>
          <w:imprint w:val="0"/>
          <w:vanish w:val="0"/>
          <w:w w:val="100"/>
          <w:sz w:val="28"/>
          <w:szCs w:val="28"/>
          <w:u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rPr>
          <w:t>https://d.book118.com/755300320203011113</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p>
    <w:sectPr>
      <w:type w:val="nextPage"/>
      <w:pgSz w:w="11906" w:h="16839"/>
      <w:pgMar w:top="1440" w:right="1080" w:bottom="1440" w:left="1080" w:header="851" w:footer="992" w:gutter="0"/>
      <w:pgNumType w:start="19"/>
      <w:cols w:num="1" w:space="0"/>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311E"/>
    <w:rsid w:val="002B1D86"/>
    <w:rsid w:val="006B311E"/>
    <w:rsid w:val="1B2C6CB9"/>
    <w:rsid w:val="2B1E68CE"/>
    <w:rsid w:val="647D1F7A"/>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iPriority="0" w:unhideWhenUsed="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autoRedefine/>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autoRedefine/>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autoRedefine/>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autoRedefine/>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autoRedefine/>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styleId="Hyperlink">
    <w:name w:val="Hyperlink"/>
    <w:basedOn w:val="DefaultParagraphFont"/>
    <w:autoRedefine/>
    <w:qFormat/>
    <w:rPr>
      <w:color w:val="0000FF"/>
      <w:u w:val="single"/>
    </w:rPr>
  </w:style>
  <w:style w:type="character" w:customStyle="1" w:styleId="1">
    <w:name w:val="标题 1 字符"/>
    <w:basedOn w:val="DefaultParagraphFont"/>
    <w:link w:val="Heading1"/>
    <w:autoRedefine/>
    <w:qFormat/>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autoRedefine/>
    <w:semiHidden/>
    <w:qFormat/>
    <w:rPr>
      <w:rFonts w:ascii="宋体" w:eastAsia="宋体" w:hAnsi="宋体" w:cs="Times New Roman"/>
      <w:b/>
      <w:bCs/>
      <w:kern w:val="0"/>
      <w:sz w:val="27"/>
      <w:szCs w:val="27"/>
    </w:rPr>
  </w:style>
  <w:style w:type="character" w:customStyle="1" w:styleId="4">
    <w:name w:val="标题 4 字符"/>
    <w:basedOn w:val="DefaultParagraphFont"/>
    <w:link w:val="Heading4"/>
    <w:autoRedefine/>
    <w:semiHidden/>
    <w:qFormat/>
    <w:rPr>
      <w:rFonts w:ascii="宋体" w:eastAsia="宋体" w:hAnsi="宋体" w:cs="Times New Roman"/>
      <w:b/>
      <w:bCs/>
      <w:kern w:val="0"/>
      <w:sz w:val="24"/>
      <w:szCs w:val="24"/>
    </w:rPr>
  </w:style>
  <w:style w:type="character" w:customStyle="1" w:styleId="5">
    <w:name w:val="标题 5 字符"/>
    <w:basedOn w:val="DefaultParagraphFont"/>
    <w:link w:val="Heading5"/>
    <w:autoRedefine/>
    <w:semiHidden/>
    <w:qFormat/>
    <w:rPr>
      <w:rFonts w:ascii="宋体" w:eastAsia="宋体" w:hAnsi="宋体" w:cs="Times New Roman"/>
      <w:b/>
      <w:bCs/>
      <w:kern w:val="0"/>
      <w:sz w:val="20"/>
      <w:szCs w:val="20"/>
    </w:rPr>
  </w:style>
  <w:style w:type="character" w:customStyle="1" w:styleId="6">
    <w:name w:val="标题 6 字符"/>
    <w:basedOn w:val="DefaultParagraphFont"/>
    <w:link w:val="Heading6"/>
    <w:autoRedefine/>
    <w:semiHidden/>
    <w:qFormat/>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autoRedefine/>
    <w:qFormat/>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http://www.91exam.org/91files/2016072314/m21nr3fkmdq.gif" TargetMode="External" /><Relationship Id="rId12" Type="http://schemas.openxmlformats.org/officeDocument/2006/relationships/image" Target="media/image5.png" /><Relationship Id="rId13" Type="http://schemas.openxmlformats.org/officeDocument/2006/relationships/image" Target="http://www.91exam.org/91files/2016072313/ljy2jxsr1l2.gif" TargetMode="External" /><Relationship Id="rId14" Type="http://schemas.openxmlformats.org/officeDocument/2006/relationships/image" Target="media/image6.png" /><Relationship Id="rId15" Type="http://schemas.openxmlformats.org/officeDocument/2006/relationships/image" Target="http://www.91exam.org/91files/2016072313/jtx024llxqd.gif" TargetMode="External" /><Relationship Id="rId16" Type="http://schemas.openxmlformats.org/officeDocument/2006/relationships/image" Target="media/image7.png" /><Relationship Id="rId17" Type="http://schemas.openxmlformats.org/officeDocument/2006/relationships/image" Target="http://www.91exam.org/91files/2016072314/zbidhcxeopy.gif" TargetMode="External" /><Relationship Id="rId18" Type="http://schemas.openxmlformats.org/officeDocument/2006/relationships/image" Target="media/image8.png" /><Relationship Id="rId19" Type="http://schemas.openxmlformats.org/officeDocument/2006/relationships/image" Target="http://www.91exam.org/91files/2016072313/xhmtgi4nxgg.gif" TargetMode="External" /><Relationship Id="rId2" Type="http://schemas.openxmlformats.org/officeDocument/2006/relationships/webSettings" Target="webSettings.xml" /><Relationship Id="rId20" Type="http://schemas.openxmlformats.org/officeDocument/2006/relationships/image" Target="media/image9.png" /><Relationship Id="rId21" Type="http://schemas.openxmlformats.org/officeDocument/2006/relationships/image" Target="http://www.91exam.org/91files/2016072313/rajbdlqrivm.gif" TargetMode="External" /><Relationship Id="rId22" Type="http://schemas.openxmlformats.org/officeDocument/2006/relationships/image" Target="media/image10.png" /><Relationship Id="rId23" Type="http://schemas.openxmlformats.org/officeDocument/2006/relationships/image" Target="http://www.91exam.org/91files/2016072312/4bwipbrso4e.gif" TargetMode="External" /><Relationship Id="rId24" Type="http://schemas.openxmlformats.org/officeDocument/2006/relationships/image" Target="media/image11.png" /><Relationship Id="rId25" Type="http://schemas.openxmlformats.org/officeDocument/2006/relationships/image" Target="http://www.91exam.org/91files/2016072312/yqe41krw5s5.gif" TargetMode="External" /><Relationship Id="rId26" Type="http://schemas.openxmlformats.org/officeDocument/2006/relationships/image" Target="media/image12.png" /><Relationship Id="rId27" Type="http://schemas.openxmlformats.org/officeDocument/2006/relationships/image" Target="http://www.91exam.org/91files/2016072314/n3rxjfjs4zj.gif" TargetMode="External" /><Relationship Id="rId28" Type="http://schemas.openxmlformats.org/officeDocument/2006/relationships/hyperlink" Target="https://d.book118.com/755300320203011113" TargetMode="Externa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http://www.91exam.org/91files/2016072313/5to13czy0xc.gif" TargetMode="External" /><Relationship Id="rId6" Type="http://schemas.openxmlformats.org/officeDocument/2006/relationships/image" Target="media/image2.png" /><Relationship Id="rId7" Type="http://schemas.openxmlformats.org/officeDocument/2006/relationships/image" Target="http://www.91exam.org/91files/2016072313/y1bkwfvjrmz.gif" TargetMode="External" /><Relationship Id="rId8" Type="http://schemas.openxmlformats.org/officeDocument/2006/relationships/image" Target="media/image3.png" /><Relationship Id="rId9" Type="http://schemas.openxmlformats.org/officeDocument/2006/relationships/image" Target="http://www.91exam.org/91files/2016072313/ucrjqb1f100.gif"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4567</Words>
  <Characters>26038</Characters>
  <Application>Microsoft Office Word</Application>
  <DocSecurity>0</DocSecurity>
  <Lines>216</Lines>
  <Paragraphs>61</Paragraphs>
  <ScaleCrop>false</ScaleCrop>
  <Company/>
  <LinksUpToDate>false</LinksUpToDate>
  <CharactersWithSpaces>30544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2024-02-05T17:55:00Z</dcterms:created>
  <dcterms:modified xsi:type="dcterms:W3CDTF">2024-03-01T01:25:29Z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B42376189BAB4796B8CCD2EE7E3BF35C_13</vt:lpwstr>
  </property>
  <property fmtid="{D5CDD505-2E9C-101B-9397-08002B2CF9AE}" pid="3" name="KSOProductBuildVer">
    <vt:lpwstr>2052-12.1.0.16399</vt:lpwstr>
  </property>
</Properties>
</file>