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厂用防爆电器项目工作报告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878" w:history="1">
        <w:r>
          <w:rPr>
            <w:rFonts w:ascii="仿宋" w:eastAsia="仿宋" w:hAnsi="仿宋" w:cs="仿宋" w:hint="eastAsia"/>
            <w:lang w:eastAsia="zh-CN"/>
          </w:rPr>
          <w:t>前言</w:t>
        </w:r>
        <w:r>
          <w:tab/>
        </w:r>
        <w:r>
          <w:fldChar w:fldCharType="begin"/>
        </w:r>
        <w:r>
          <w:instrText xml:space="preserve"> PAGEREF _Toc25878 \h </w:instrText>
        </w:r>
        <w:r>
          <w:fldChar w:fldCharType="separate"/>
        </w:r>
        <w:r>
          <w:t>3</w:t>
        </w:r>
        <w:r>
          <w:fldChar w:fldCharType="end"/>
        </w:r>
      </w:hyperlink>
    </w:p>
    <w:p>
      <w:pPr>
        <w:pStyle w:val="TOC1"/>
        <w:tabs>
          <w:tab w:val="right" w:leader="dot" w:pos="8306"/>
        </w:tabs>
      </w:pPr>
      <w:hyperlink w:anchor="_Toc16786" w:history="1">
        <w:r>
          <w:rPr>
            <w:rFonts w:ascii="仿宋" w:eastAsia="仿宋" w:hAnsi="仿宋" w:cs="仿宋" w:hint="eastAsia"/>
            <w:lang w:eastAsia="zh-CN"/>
          </w:rPr>
          <w:t>一、厂用防爆电器项目市场前景分析</w:t>
        </w:r>
        <w:r>
          <w:tab/>
        </w:r>
        <w:r>
          <w:fldChar w:fldCharType="begin"/>
        </w:r>
        <w:r>
          <w:instrText xml:space="preserve"> PAGEREF _Toc16786 \h </w:instrText>
        </w:r>
        <w:r>
          <w:fldChar w:fldCharType="separate"/>
        </w:r>
        <w:r>
          <w:t>3</w:t>
        </w:r>
        <w:r>
          <w:fldChar w:fldCharType="end"/>
        </w:r>
      </w:hyperlink>
    </w:p>
    <w:p>
      <w:pPr>
        <w:pStyle w:val="TOC2"/>
        <w:tabs>
          <w:tab w:val="right" w:leader="dot" w:pos="8306"/>
        </w:tabs>
      </w:pPr>
      <w:hyperlink w:anchor="_Toc13726" w:history="1">
        <w:r>
          <w:rPr>
            <w:rFonts w:ascii="仿宋" w:eastAsia="仿宋" w:hAnsi="仿宋" w:cs="仿宋" w:hint="eastAsia"/>
            <w:lang w:eastAsia="zh-CN"/>
          </w:rPr>
          <w:t>(一)、建设地经济发展概况</w:t>
        </w:r>
        <w:r>
          <w:tab/>
        </w:r>
        <w:r>
          <w:fldChar w:fldCharType="begin"/>
        </w:r>
        <w:r>
          <w:instrText xml:space="preserve"> PAGEREF _Toc13726 \h </w:instrText>
        </w:r>
        <w:r>
          <w:fldChar w:fldCharType="separate"/>
        </w:r>
        <w:r>
          <w:t>3</w:t>
        </w:r>
        <w:r>
          <w:fldChar w:fldCharType="end"/>
        </w:r>
      </w:hyperlink>
    </w:p>
    <w:p>
      <w:pPr>
        <w:pStyle w:val="TOC2"/>
        <w:tabs>
          <w:tab w:val="right" w:leader="dot" w:pos="8306"/>
        </w:tabs>
      </w:pPr>
      <w:hyperlink w:anchor="_Toc12267" w:history="1">
        <w:r>
          <w:rPr>
            <w:rFonts w:ascii="仿宋" w:eastAsia="仿宋" w:hAnsi="仿宋" w:cs="仿宋" w:hint="eastAsia"/>
            <w:lang w:eastAsia="zh-CN"/>
          </w:rPr>
          <w:t>(二)、行业市场分析</w:t>
        </w:r>
        <w:r>
          <w:tab/>
        </w:r>
        <w:r>
          <w:fldChar w:fldCharType="begin"/>
        </w:r>
        <w:r>
          <w:instrText xml:space="preserve"> PAGEREF _Toc12267 \h </w:instrText>
        </w:r>
        <w:r>
          <w:fldChar w:fldCharType="separate"/>
        </w:r>
        <w:r>
          <w:t>5</w:t>
        </w:r>
        <w:r>
          <w:fldChar w:fldCharType="end"/>
        </w:r>
      </w:hyperlink>
    </w:p>
    <w:p>
      <w:pPr>
        <w:pStyle w:val="TOC1"/>
        <w:tabs>
          <w:tab w:val="right" w:leader="dot" w:pos="8306"/>
        </w:tabs>
      </w:pPr>
      <w:hyperlink w:anchor="_Toc9445" w:history="1">
        <w:r>
          <w:rPr>
            <w:rFonts w:ascii="仿宋" w:eastAsia="仿宋" w:hAnsi="仿宋" w:cs="仿宋" w:hint="eastAsia"/>
            <w:lang w:eastAsia="zh-CN"/>
          </w:rPr>
          <w:t>二、土建工程设计</w:t>
        </w:r>
        <w:r>
          <w:tab/>
        </w:r>
        <w:r>
          <w:fldChar w:fldCharType="begin"/>
        </w:r>
        <w:r>
          <w:instrText xml:space="preserve"> PAGEREF _Toc9445 \h </w:instrText>
        </w:r>
        <w:r>
          <w:fldChar w:fldCharType="separate"/>
        </w:r>
        <w:r>
          <w:t>6</w:t>
        </w:r>
        <w:r>
          <w:fldChar w:fldCharType="end"/>
        </w:r>
      </w:hyperlink>
    </w:p>
    <w:p>
      <w:pPr>
        <w:pStyle w:val="TOC2"/>
        <w:tabs>
          <w:tab w:val="right" w:leader="dot" w:pos="8306"/>
        </w:tabs>
      </w:pPr>
      <w:hyperlink w:anchor="_Toc9414" w:history="1">
        <w:r>
          <w:rPr>
            <w:rFonts w:ascii="仿宋" w:eastAsia="仿宋" w:hAnsi="仿宋" w:cs="仿宋" w:hint="eastAsia"/>
            <w:lang w:eastAsia="zh-CN"/>
          </w:rPr>
          <w:t>(一)、建筑工程设计原则</w:t>
        </w:r>
        <w:r>
          <w:tab/>
        </w:r>
        <w:r>
          <w:fldChar w:fldCharType="begin"/>
        </w:r>
        <w:r>
          <w:instrText xml:space="preserve"> PAGEREF _Toc9414 \h </w:instrText>
        </w:r>
        <w:r>
          <w:fldChar w:fldCharType="separate"/>
        </w:r>
        <w:r>
          <w:t>6</w:t>
        </w:r>
        <w:r>
          <w:fldChar w:fldCharType="end"/>
        </w:r>
      </w:hyperlink>
    </w:p>
    <w:p>
      <w:pPr>
        <w:pStyle w:val="TOC2"/>
        <w:tabs>
          <w:tab w:val="right" w:leader="dot" w:pos="8306"/>
        </w:tabs>
      </w:pPr>
      <w:hyperlink w:anchor="_Toc10596" w:history="1">
        <w:r>
          <w:rPr>
            <w:rFonts w:ascii="仿宋" w:eastAsia="仿宋" w:hAnsi="仿宋" w:cs="仿宋" w:hint="eastAsia"/>
            <w:lang w:eastAsia="zh-CN"/>
          </w:rPr>
          <w:t>(二)、土建工程设计年限及安全等级</w:t>
        </w:r>
        <w:r>
          <w:tab/>
        </w:r>
        <w:r>
          <w:fldChar w:fldCharType="begin"/>
        </w:r>
        <w:r>
          <w:instrText xml:space="preserve"> PAGEREF _Toc10596 \h </w:instrText>
        </w:r>
        <w:r>
          <w:fldChar w:fldCharType="separate"/>
        </w:r>
        <w:r>
          <w:t>8</w:t>
        </w:r>
        <w:r>
          <w:fldChar w:fldCharType="end"/>
        </w:r>
      </w:hyperlink>
    </w:p>
    <w:p>
      <w:pPr>
        <w:pStyle w:val="TOC2"/>
        <w:tabs>
          <w:tab w:val="right" w:leader="dot" w:pos="8306"/>
        </w:tabs>
      </w:pPr>
      <w:hyperlink w:anchor="_Toc27837" w:history="1">
        <w:r>
          <w:rPr>
            <w:rFonts w:ascii="仿宋" w:eastAsia="仿宋" w:hAnsi="仿宋" w:cs="仿宋" w:hint="eastAsia"/>
            <w:lang w:eastAsia="zh-CN"/>
          </w:rPr>
          <w:t>(三)、建筑工程设计总体要求</w:t>
        </w:r>
        <w:r>
          <w:tab/>
        </w:r>
        <w:r>
          <w:fldChar w:fldCharType="begin"/>
        </w:r>
        <w:r>
          <w:instrText xml:space="preserve"> PAGEREF _Toc27837 \h </w:instrText>
        </w:r>
        <w:r>
          <w:fldChar w:fldCharType="separate"/>
        </w:r>
        <w:r>
          <w:t>9</w:t>
        </w:r>
        <w:r>
          <w:fldChar w:fldCharType="end"/>
        </w:r>
      </w:hyperlink>
    </w:p>
    <w:p>
      <w:pPr>
        <w:pStyle w:val="TOC2"/>
        <w:tabs>
          <w:tab w:val="right" w:leader="dot" w:pos="8306"/>
        </w:tabs>
      </w:pPr>
      <w:hyperlink w:anchor="_Toc21830" w:history="1">
        <w:r>
          <w:rPr>
            <w:rFonts w:ascii="仿宋" w:eastAsia="仿宋" w:hAnsi="仿宋" w:cs="仿宋" w:hint="eastAsia"/>
            <w:lang w:eastAsia="zh-CN"/>
          </w:rPr>
          <w:t>(四)、土建工程建设指标</w:t>
        </w:r>
        <w:r>
          <w:tab/>
        </w:r>
        <w:r>
          <w:fldChar w:fldCharType="begin"/>
        </w:r>
        <w:r>
          <w:instrText xml:space="preserve"> PAGEREF _Toc21830 \h </w:instrText>
        </w:r>
        <w:r>
          <w:fldChar w:fldCharType="separate"/>
        </w:r>
        <w:r>
          <w:t>11</w:t>
        </w:r>
        <w:r>
          <w:fldChar w:fldCharType="end"/>
        </w:r>
      </w:hyperlink>
    </w:p>
    <w:p>
      <w:pPr>
        <w:pStyle w:val="TOC1"/>
        <w:tabs>
          <w:tab w:val="right" w:leader="dot" w:pos="8306"/>
        </w:tabs>
      </w:pPr>
      <w:hyperlink w:anchor="_Toc20828" w:history="1">
        <w:r>
          <w:rPr>
            <w:rFonts w:ascii="仿宋" w:eastAsia="仿宋" w:hAnsi="仿宋" w:cs="仿宋" w:hint="eastAsia"/>
            <w:lang w:eastAsia="zh-CN"/>
          </w:rPr>
          <w:t>三、建设规划</w:t>
        </w:r>
        <w:r>
          <w:tab/>
        </w:r>
        <w:r>
          <w:fldChar w:fldCharType="begin"/>
        </w:r>
        <w:r>
          <w:instrText xml:space="preserve"> PAGEREF _Toc20828 \h </w:instrText>
        </w:r>
        <w:r>
          <w:fldChar w:fldCharType="separate"/>
        </w:r>
        <w:r>
          <w:t>13</w:t>
        </w:r>
        <w:r>
          <w:fldChar w:fldCharType="end"/>
        </w:r>
      </w:hyperlink>
    </w:p>
    <w:p>
      <w:pPr>
        <w:pStyle w:val="TOC2"/>
        <w:tabs>
          <w:tab w:val="right" w:leader="dot" w:pos="8306"/>
        </w:tabs>
      </w:pPr>
      <w:hyperlink w:anchor="_Toc5045" w:history="1">
        <w:r>
          <w:rPr>
            <w:rFonts w:ascii="仿宋" w:eastAsia="仿宋" w:hAnsi="仿宋" w:cs="仿宋" w:hint="eastAsia"/>
            <w:lang w:eastAsia="zh-CN"/>
          </w:rPr>
          <w:t>(一)、产品规划</w:t>
        </w:r>
        <w:r>
          <w:tab/>
        </w:r>
        <w:r>
          <w:fldChar w:fldCharType="begin"/>
        </w:r>
        <w:r>
          <w:instrText xml:space="preserve"> PAGEREF _Toc5045 \h </w:instrText>
        </w:r>
        <w:r>
          <w:fldChar w:fldCharType="separate"/>
        </w:r>
        <w:r>
          <w:t>13</w:t>
        </w:r>
        <w:r>
          <w:fldChar w:fldCharType="end"/>
        </w:r>
      </w:hyperlink>
    </w:p>
    <w:p>
      <w:pPr>
        <w:pStyle w:val="TOC2"/>
        <w:tabs>
          <w:tab w:val="right" w:leader="dot" w:pos="8306"/>
        </w:tabs>
      </w:pPr>
      <w:hyperlink w:anchor="_Toc25038" w:history="1">
        <w:r>
          <w:rPr>
            <w:rFonts w:ascii="仿宋" w:eastAsia="仿宋" w:hAnsi="仿宋" w:cs="仿宋" w:hint="eastAsia"/>
            <w:lang w:eastAsia="zh-CN"/>
          </w:rPr>
          <w:t>(二)、建设规模</w:t>
        </w:r>
        <w:r>
          <w:tab/>
        </w:r>
        <w:r>
          <w:fldChar w:fldCharType="begin"/>
        </w:r>
        <w:r>
          <w:instrText xml:space="preserve"> PAGEREF _Toc25038 \h </w:instrText>
        </w:r>
        <w:r>
          <w:fldChar w:fldCharType="separate"/>
        </w:r>
        <w:r>
          <w:t>15</w:t>
        </w:r>
        <w:r>
          <w:fldChar w:fldCharType="end"/>
        </w:r>
      </w:hyperlink>
    </w:p>
    <w:p>
      <w:pPr>
        <w:pStyle w:val="TOC1"/>
        <w:tabs>
          <w:tab w:val="right" w:leader="dot" w:pos="8306"/>
        </w:tabs>
      </w:pPr>
      <w:hyperlink w:anchor="_Toc19785" w:history="1">
        <w:r>
          <w:rPr>
            <w:rFonts w:ascii="仿宋" w:eastAsia="仿宋" w:hAnsi="仿宋" w:cs="仿宋" w:hint="eastAsia"/>
            <w:lang w:eastAsia="zh-CN"/>
          </w:rPr>
          <w:t>四、厂用防爆电器项目环境保护分析</w:t>
        </w:r>
        <w:r>
          <w:tab/>
        </w:r>
        <w:r>
          <w:fldChar w:fldCharType="begin"/>
        </w:r>
        <w:r>
          <w:instrText xml:space="preserve"> PAGEREF _Toc19785 \h </w:instrText>
        </w:r>
        <w:r>
          <w:fldChar w:fldCharType="separate"/>
        </w:r>
        <w:r>
          <w:t>16</w:t>
        </w:r>
        <w:r>
          <w:fldChar w:fldCharType="end"/>
        </w:r>
      </w:hyperlink>
    </w:p>
    <w:p>
      <w:pPr>
        <w:pStyle w:val="TOC2"/>
        <w:tabs>
          <w:tab w:val="right" w:leader="dot" w:pos="8306"/>
        </w:tabs>
      </w:pPr>
      <w:hyperlink w:anchor="_Toc2550" w:history="1">
        <w:r>
          <w:rPr>
            <w:rFonts w:ascii="仿宋" w:eastAsia="仿宋" w:hAnsi="仿宋" w:cs="仿宋" w:hint="eastAsia"/>
            <w:lang w:eastAsia="zh-CN"/>
          </w:rPr>
          <w:t>(一)、建设区域环境质量现状</w:t>
        </w:r>
        <w:r>
          <w:tab/>
        </w:r>
        <w:r>
          <w:fldChar w:fldCharType="begin"/>
        </w:r>
        <w:r>
          <w:instrText xml:space="preserve"> PAGEREF _Toc2550 \h </w:instrText>
        </w:r>
        <w:r>
          <w:fldChar w:fldCharType="separate"/>
        </w:r>
        <w:r>
          <w:t>16</w:t>
        </w:r>
        <w:r>
          <w:fldChar w:fldCharType="end"/>
        </w:r>
      </w:hyperlink>
    </w:p>
    <w:p>
      <w:pPr>
        <w:pStyle w:val="TOC2"/>
        <w:tabs>
          <w:tab w:val="right" w:leader="dot" w:pos="8306"/>
        </w:tabs>
      </w:pPr>
      <w:hyperlink w:anchor="_Toc5439" w:history="1">
        <w:r>
          <w:rPr>
            <w:rFonts w:ascii="仿宋" w:eastAsia="仿宋" w:hAnsi="仿宋" w:cs="仿宋" w:hint="eastAsia"/>
            <w:lang w:eastAsia="zh-CN"/>
          </w:rPr>
          <w:t>(二)、建设期环境保护</w:t>
        </w:r>
        <w:r>
          <w:tab/>
        </w:r>
        <w:r>
          <w:fldChar w:fldCharType="begin"/>
        </w:r>
        <w:r>
          <w:instrText xml:space="preserve"> PAGEREF _Toc5439 \h </w:instrText>
        </w:r>
        <w:r>
          <w:fldChar w:fldCharType="separate"/>
        </w:r>
        <w:r>
          <w:t>17</w:t>
        </w:r>
        <w:r>
          <w:fldChar w:fldCharType="end"/>
        </w:r>
      </w:hyperlink>
    </w:p>
    <w:p>
      <w:pPr>
        <w:pStyle w:val="TOC2"/>
        <w:tabs>
          <w:tab w:val="right" w:leader="dot" w:pos="8306"/>
        </w:tabs>
      </w:pPr>
      <w:hyperlink w:anchor="_Toc13157" w:history="1">
        <w:r>
          <w:rPr>
            <w:rFonts w:ascii="仿宋" w:eastAsia="仿宋" w:hAnsi="仿宋" w:cs="仿宋" w:hint="eastAsia"/>
            <w:lang w:eastAsia="zh-CN"/>
          </w:rPr>
          <w:t>(三)、运营期环境保护</w:t>
        </w:r>
        <w:r>
          <w:tab/>
        </w:r>
        <w:r>
          <w:fldChar w:fldCharType="begin"/>
        </w:r>
        <w:r>
          <w:instrText xml:space="preserve"> PAGEREF _Toc13157 \h </w:instrText>
        </w:r>
        <w:r>
          <w:fldChar w:fldCharType="separate"/>
        </w:r>
        <w:r>
          <w:t>18</w:t>
        </w:r>
        <w:r>
          <w:fldChar w:fldCharType="end"/>
        </w:r>
      </w:hyperlink>
    </w:p>
    <w:p>
      <w:pPr>
        <w:pStyle w:val="TOC2"/>
        <w:tabs>
          <w:tab w:val="right" w:leader="dot" w:pos="8306"/>
        </w:tabs>
      </w:pPr>
      <w:hyperlink w:anchor="_Toc19749" w:history="1">
        <w:r>
          <w:rPr>
            <w:rFonts w:ascii="仿宋" w:eastAsia="仿宋" w:hAnsi="仿宋" w:cs="仿宋" w:hint="eastAsia"/>
            <w:lang w:eastAsia="zh-CN"/>
          </w:rPr>
          <w:t>(四)、厂用防爆电器项目建设对区域经济的影响</w:t>
        </w:r>
        <w:r>
          <w:tab/>
        </w:r>
        <w:r>
          <w:fldChar w:fldCharType="begin"/>
        </w:r>
        <w:r>
          <w:instrText xml:space="preserve"> PAGEREF _Toc19749 \h </w:instrText>
        </w:r>
        <w:r>
          <w:fldChar w:fldCharType="separate"/>
        </w:r>
        <w:r>
          <w:t>19</w:t>
        </w:r>
        <w:r>
          <w:fldChar w:fldCharType="end"/>
        </w:r>
      </w:hyperlink>
    </w:p>
    <w:p>
      <w:pPr>
        <w:pStyle w:val="TOC2"/>
        <w:tabs>
          <w:tab w:val="right" w:leader="dot" w:pos="8306"/>
        </w:tabs>
      </w:pPr>
      <w:hyperlink w:anchor="_Toc18109" w:history="1">
        <w:r>
          <w:rPr>
            <w:rFonts w:ascii="仿宋" w:eastAsia="仿宋" w:hAnsi="仿宋" w:cs="仿宋" w:hint="eastAsia"/>
            <w:lang w:eastAsia="zh-CN"/>
          </w:rPr>
          <w:t>(五)、废弃物处理</w:t>
        </w:r>
        <w:r>
          <w:tab/>
        </w:r>
        <w:r>
          <w:fldChar w:fldCharType="begin"/>
        </w:r>
        <w:r>
          <w:instrText xml:space="preserve"> PAGEREF _Toc18109 \h </w:instrText>
        </w:r>
        <w:r>
          <w:fldChar w:fldCharType="separate"/>
        </w:r>
        <w:r>
          <w:t>21</w:t>
        </w:r>
        <w:r>
          <w:fldChar w:fldCharType="end"/>
        </w:r>
      </w:hyperlink>
    </w:p>
    <w:p>
      <w:pPr>
        <w:pStyle w:val="TOC2"/>
        <w:tabs>
          <w:tab w:val="right" w:leader="dot" w:pos="8306"/>
        </w:tabs>
      </w:pPr>
      <w:hyperlink w:anchor="_Toc23321" w:history="1">
        <w:r>
          <w:rPr>
            <w:rFonts w:ascii="仿宋" w:eastAsia="仿宋" w:hAnsi="仿宋" w:cs="仿宋" w:hint="eastAsia"/>
            <w:lang w:eastAsia="zh-CN"/>
          </w:rPr>
          <w:t>(六)、特殊环境影响分析</w:t>
        </w:r>
        <w:r>
          <w:tab/>
        </w:r>
        <w:r>
          <w:fldChar w:fldCharType="begin"/>
        </w:r>
        <w:r>
          <w:instrText xml:space="preserve"> PAGEREF _Toc23321 \h </w:instrText>
        </w:r>
        <w:r>
          <w:fldChar w:fldCharType="separate"/>
        </w:r>
        <w:r>
          <w:t>22</w:t>
        </w:r>
        <w:r>
          <w:fldChar w:fldCharType="end"/>
        </w:r>
      </w:hyperlink>
    </w:p>
    <w:p>
      <w:pPr>
        <w:pStyle w:val="TOC2"/>
        <w:tabs>
          <w:tab w:val="right" w:leader="dot" w:pos="8306"/>
        </w:tabs>
      </w:pPr>
      <w:hyperlink w:anchor="_Toc22924" w:history="1">
        <w:r>
          <w:rPr>
            <w:rFonts w:ascii="仿宋" w:eastAsia="仿宋" w:hAnsi="仿宋" w:cs="仿宋" w:hint="eastAsia"/>
            <w:lang w:eastAsia="zh-CN"/>
          </w:rPr>
          <w:t>(七)、清洁生产</w:t>
        </w:r>
        <w:r>
          <w:tab/>
        </w:r>
        <w:r>
          <w:fldChar w:fldCharType="begin"/>
        </w:r>
        <w:r>
          <w:instrText xml:space="preserve"> PAGEREF _Toc22924 \h </w:instrText>
        </w:r>
        <w:r>
          <w:fldChar w:fldCharType="separate"/>
        </w:r>
        <w:r>
          <w:t>24</w:t>
        </w:r>
        <w:r>
          <w:fldChar w:fldCharType="end"/>
        </w:r>
      </w:hyperlink>
    </w:p>
    <w:p>
      <w:pPr>
        <w:pStyle w:val="TOC2"/>
        <w:tabs>
          <w:tab w:val="right" w:leader="dot" w:pos="8306"/>
        </w:tabs>
      </w:pPr>
      <w:hyperlink w:anchor="_Toc11983" w:history="1">
        <w:r>
          <w:rPr>
            <w:rFonts w:ascii="仿宋" w:eastAsia="仿宋" w:hAnsi="仿宋" w:cs="仿宋" w:hint="eastAsia"/>
            <w:lang w:eastAsia="zh-CN"/>
          </w:rPr>
          <w:t>(八)、环境保护综合评价</w:t>
        </w:r>
        <w:r>
          <w:tab/>
        </w:r>
        <w:r>
          <w:fldChar w:fldCharType="begin"/>
        </w:r>
        <w:r>
          <w:instrText xml:space="preserve"> PAGEREF _Toc11983 \h </w:instrText>
        </w:r>
        <w:r>
          <w:fldChar w:fldCharType="separate"/>
        </w:r>
        <w:r>
          <w:t>25</w:t>
        </w:r>
        <w:r>
          <w:fldChar w:fldCharType="end"/>
        </w:r>
      </w:hyperlink>
    </w:p>
    <w:p>
      <w:pPr>
        <w:pStyle w:val="TOC1"/>
        <w:tabs>
          <w:tab w:val="right" w:leader="dot" w:pos="8306"/>
        </w:tabs>
      </w:pPr>
      <w:hyperlink w:anchor="_Toc29603" w:history="1">
        <w:r>
          <w:rPr>
            <w:rFonts w:ascii="仿宋" w:eastAsia="仿宋" w:hAnsi="仿宋" w:cs="仿宋" w:hint="eastAsia"/>
            <w:lang w:eastAsia="zh-CN"/>
          </w:rPr>
          <w:t>五、知识管理与技术创新</w:t>
        </w:r>
        <w:r>
          <w:tab/>
        </w:r>
        <w:r>
          <w:fldChar w:fldCharType="begin"/>
        </w:r>
        <w:r>
          <w:instrText xml:space="preserve"> PAGEREF _Toc29603 \h </w:instrText>
        </w:r>
        <w:r>
          <w:fldChar w:fldCharType="separate"/>
        </w:r>
        <w:r>
          <w:t>27</w:t>
        </w:r>
        <w:r>
          <w:fldChar w:fldCharType="end"/>
        </w:r>
      </w:hyperlink>
    </w:p>
    <w:p>
      <w:pPr>
        <w:pStyle w:val="TOC2"/>
        <w:tabs>
          <w:tab w:val="right" w:leader="dot" w:pos="8306"/>
        </w:tabs>
      </w:pPr>
      <w:hyperlink w:anchor="_Toc29690" w:history="1">
        <w:r>
          <w:rPr>
            <w:rFonts w:ascii="仿宋" w:eastAsia="仿宋" w:hAnsi="仿宋" w:cs="仿宋" w:hint="eastAsia"/>
            <w:lang w:eastAsia="zh-CN"/>
          </w:rPr>
          <w:t>(一)、知识管理体系建设</w:t>
        </w:r>
        <w:r>
          <w:tab/>
        </w:r>
        <w:r>
          <w:fldChar w:fldCharType="begin"/>
        </w:r>
        <w:r>
          <w:instrText xml:space="preserve"> PAGEREF _Toc29690 \h </w:instrText>
        </w:r>
        <w:r>
          <w:fldChar w:fldCharType="separate"/>
        </w:r>
        <w:r>
          <w:t>27</w:t>
        </w:r>
        <w:r>
          <w:fldChar w:fldCharType="end"/>
        </w:r>
      </w:hyperlink>
    </w:p>
    <w:p>
      <w:pPr>
        <w:pStyle w:val="TOC2"/>
        <w:tabs>
          <w:tab w:val="right" w:leader="dot" w:pos="8306"/>
        </w:tabs>
      </w:pPr>
      <w:hyperlink w:anchor="_Toc28785" w:history="1">
        <w:r>
          <w:rPr>
            <w:rFonts w:ascii="仿宋" w:eastAsia="仿宋" w:hAnsi="仿宋" w:cs="仿宋" w:hint="eastAsia"/>
            <w:lang w:eastAsia="zh-CN"/>
          </w:rPr>
          <w:t>(二)、技术创新与研发投入</w:t>
        </w:r>
        <w:r>
          <w:tab/>
        </w:r>
        <w:r>
          <w:fldChar w:fldCharType="begin"/>
        </w:r>
        <w:r>
          <w:instrText xml:space="preserve"> PAGEREF _Toc28785 \h </w:instrText>
        </w:r>
        <w:r>
          <w:fldChar w:fldCharType="separate"/>
        </w:r>
        <w:r>
          <w:t>29</w:t>
        </w:r>
        <w:r>
          <w:fldChar w:fldCharType="end"/>
        </w:r>
      </w:hyperlink>
    </w:p>
    <w:p>
      <w:pPr>
        <w:pStyle w:val="TOC2"/>
        <w:tabs>
          <w:tab w:val="right" w:leader="dot" w:pos="8306"/>
        </w:tabs>
      </w:pPr>
      <w:hyperlink w:anchor="_Toc1228" w:history="1">
        <w:r>
          <w:rPr>
            <w:rFonts w:ascii="仿宋" w:eastAsia="仿宋" w:hAnsi="仿宋" w:cs="仿宋" w:hint="eastAsia"/>
            <w:lang w:eastAsia="zh-CN"/>
          </w:rPr>
          <w:t>(三)、专利申请与技术保护</w:t>
        </w:r>
        <w:r>
          <w:tab/>
        </w:r>
        <w:r>
          <w:fldChar w:fldCharType="begin"/>
        </w:r>
        <w:r>
          <w:instrText xml:space="preserve"> PAGEREF _Toc1228 \h </w:instrText>
        </w:r>
        <w:r>
          <w:fldChar w:fldCharType="separate"/>
        </w:r>
        <w:r>
          <w:t>31</w:t>
        </w:r>
        <w:r>
          <w:fldChar w:fldCharType="end"/>
        </w:r>
      </w:hyperlink>
    </w:p>
    <w:p>
      <w:pPr>
        <w:pStyle w:val="TOC2"/>
        <w:tabs>
          <w:tab w:val="right" w:leader="dot" w:pos="8306"/>
        </w:tabs>
      </w:pPr>
      <w:hyperlink w:anchor="_Toc25580" w:history="1">
        <w:r>
          <w:rPr>
            <w:rFonts w:ascii="仿宋" w:eastAsia="仿宋" w:hAnsi="仿宋" w:cs="仿宋" w:hint="eastAsia"/>
            <w:lang w:eastAsia="zh-CN"/>
          </w:rPr>
          <w:t>(四)、人才培养与团队建设</w:t>
        </w:r>
        <w:r>
          <w:tab/>
        </w:r>
        <w:r>
          <w:fldChar w:fldCharType="begin"/>
        </w:r>
        <w:r>
          <w:instrText xml:space="preserve"> PAGEREF _Toc25580 \h </w:instrText>
        </w:r>
        <w:r>
          <w:fldChar w:fldCharType="separate"/>
        </w:r>
        <w:r>
          <w:t>33</w:t>
        </w:r>
        <w:r>
          <w:fldChar w:fldCharType="end"/>
        </w:r>
      </w:hyperlink>
    </w:p>
    <w:p>
      <w:pPr>
        <w:pStyle w:val="TOC1"/>
        <w:tabs>
          <w:tab w:val="right" w:leader="dot" w:pos="8306"/>
        </w:tabs>
      </w:pPr>
      <w:hyperlink w:anchor="_Toc1449" w:history="1">
        <w:r>
          <w:rPr>
            <w:rFonts w:ascii="仿宋" w:eastAsia="仿宋" w:hAnsi="仿宋" w:cs="仿宋" w:hint="eastAsia"/>
            <w:lang w:eastAsia="zh-CN"/>
          </w:rPr>
          <w:t>六、危机管理与应急预案</w:t>
        </w:r>
        <w:r>
          <w:tab/>
        </w:r>
        <w:r>
          <w:fldChar w:fldCharType="begin"/>
        </w:r>
        <w:r>
          <w:instrText xml:space="preserve"> PAGEREF _Toc1449 \h </w:instrText>
        </w:r>
        <w:r>
          <w:fldChar w:fldCharType="separate"/>
        </w:r>
        <w:r>
          <w:t>35</w:t>
        </w:r>
        <w:r>
          <w:fldChar w:fldCharType="end"/>
        </w:r>
      </w:hyperlink>
    </w:p>
    <w:p>
      <w:pPr>
        <w:pStyle w:val="TOC2"/>
        <w:tabs>
          <w:tab w:val="right" w:leader="dot" w:pos="8306"/>
        </w:tabs>
      </w:pPr>
      <w:hyperlink w:anchor="_Toc26636" w:history="1">
        <w:r>
          <w:rPr>
            <w:rFonts w:ascii="仿宋" w:eastAsia="仿宋" w:hAnsi="仿宋" w:cs="仿宋" w:hint="eastAsia"/>
            <w:lang w:eastAsia="zh-CN"/>
          </w:rPr>
          <w:t>(一)、危机预警与监测</w:t>
        </w:r>
        <w:r>
          <w:tab/>
        </w:r>
        <w:r>
          <w:fldChar w:fldCharType="begin"/>
        </w:r>
        <w:r>
          <w:instrText xml:space="preserve"> PAGEREF _Toc26636 \h </w:instrText>
        </w:r>
        <w:r>
          <w:fldChar w:fldCharType="separate"/>
        </w:r>
        <w:r>
          <w:t>35</w:t>
        </w:r>
        <w:r>
          <w:fldChar w:fldCharType="end"/>
        </w:r>
      </w:hyperlink>
    </w:p>
    <w:p>
      <w:pPr>
        <w:pStyle w:val="TOC2"/>
        <w:tabs>
          <w:tab w:val="right" w:leader="dot" w:pos="8306"/>
        </w:tabs>
      </w:pPr>
      <w:hyperlink w:anchor="_Toc6979" w:history="1">
        <w:r>
          <w:rPr>
            <w:rFonts w:ascii="仿宋" w:eastAsia="仿宋" w:hAnsi="仿宋" w:cs="仿宋" w:hint="eastAsia"/>
            <w:lang w:eastAsia="zh-CN"/>
          </w:rPr>
          <w:t>(二)、应急预案与危机响应</w:t>
        </w:r>
        <w:r>
          <w:tab/>
        </w:r>
        <w:r>
          <w:fldChar w:fldCharType="begin"/>
        </w:r>
        <w:r>
          <w:instrText xml:space="preserve"> PAGEREF _Toc6979 \h </w:instrText>
        </w:r>
        <w:r>
          <w:fldChar w:fldCharType="separate"/>
        </w:r>
        <w:r>
          <w:t>37</w:t>
        </w:r>
        <w:r>
          <w:fldChar w:fldCharType="end"/>
        </w:r>
      </w:hyperlink>
    </w:p>
    <w:p>
      <w:pPr>
        <w:pStyle w:val="TOC2"/>
        <w:tabs>
          <w:tab w:val="right" w:leader="dot" w:pos="8306"/>
        </w:tabs>
      </w:pPr>
      <w:hyperlink w:anchor="_Toc7916" w:history="1">
        <w:r>
          <w:rPr>
            <w:rFonts w:ascii="仿宋" w:eastAsia="仿宋" w:hAnsi="仿宋" w:cs="仿宋" w:hint="eastAsia"/>
            <w:lang w:eastAsia="zh-CN"/>
          </w:rPr>
          <w:t>(三)、危机沟通与舆情控制</w:t>
        </w:r>
        <w:r>
          <w:tab/>
        </w:r>
        <w:r>
          <w:fldChar w:fldCharType="begin"/>
        </w:r>
        <w:r>
          <w:instrText xml:space="preserve"> PAGEREF _Toc7916 \h </w:instrText>
        </w:r>
        <w:r>
          <w:fldChar w:fldCharType="separate"/>
        </w:r>
        <w:r>
          <w:t>39</w:t>
        </w:r>
        <w:r>
          <w:fldChar w:fldCharType="end"/>
        </w:r>
      </w:hyperlink>
    </w:p>
    <w:p>
      <w:pPr>
        <w:pStyle w:val="TOC2"/>
        <w:tabs>
          <w:tab w:val="right" w:leader="dot" w:pos="8306"/>
        </w:tabs>
      </w:pPr>
      <w:hyperlink w:anchor="_Toc30388" w:history="1">
        <w:r>
          <w:rPr>
            <w:rFonts w:ascii="仿宋" w:eastAsia="仿宋" w:hAnsi="仿宋" w:cs="仿宋" w:hint="eastAsia"/>
            <w:lang w:eastAsia="zh-CN"/>
          </w:rPr>
          <w:t>(四)、危机后教训与改进</w:t>
        </w:r>
        <w:r>
          <w:tab/>
        </w:r>
        <w:r>
          <w:fldChar w:fldCharType="begin"/>
        </w:r>
        <w:r>
          <w:instrText xml:space="preserve"> PAGEREF _Toc30388 \h </w:instrText>
        </w:r>
        <w:r>
          <w:fldChar w:fldCharType="separate"/>
        </w:r>
        <w:r>
          <w:t>41</w:t>
        </w:r>
        <w:r>
          <w:fldChar w:fldCharType="end"/>
        </w:r>
      </w:hyperlink>
    </w:p>
    <w:p>
      <w:pPr>
        <w:pStyle w:val="TOC1"/>
        <w:tabs>
          <w:tab w:val="right" w:leader="dot" w:pos="8306"/>
        </w:tabs>
      </w:pPr>
      <w:hyperlink w:anchor="_Toc22274" w:history="1">
        <w:r>
          <w:rPr>
            <w:rFonts w:ascii="仿宋" w:eastAsia="仿宋" w:hAnsi="仿宋" w:cs="仿宋" w:hint="eastAsia"/>
            <w:lang w:eastAsia="zh-CN"/>
          </w:rPr>
          <w:t>七、厂用防爆电器项目投资可行性分析</w:t>
        </w:r>
        <w:r>
          <w:tab/>
        </w:r>
        <w:r>
          <w:fldChar w:fldCharType="begin"/>
        </w:r>
        <w:r>
          <w:instrText xml:space="preserve"> PAGEREF _Toc22274 \h </w:instrText>
        </w:r>
        <w:r>
          <w:fldChar w:fldCharType="separate"/>
        </w:r>
        <w:r>
          <w:t>43</w:t>
        </w:r>
        <w:r>
          <w:fldChar w:fldCharType="end"/>
        </w:r>
      </w:hyperlink>
    </w:p>
    <w:p>
      <w:pPr>
        <w:pStyle w:val="TOC2"/>
        <w:tabs>
          <w:tab w:val="right" w:leader="dot" w:pos="8306"/>
        </w:tabs>
      </w:pPr>
      <w:hyperlink w:anchor="_Toc3926" w:history="1">
        <w:r>
          <w:rPr>
            <w:rFonts w:ascii="仿宋" w:eastAsia="仿宋" w:hAnsi="仿宋" w:cs="仿宋" w:hint="eastAsia"/>
            <w:lang w:eastAsia="zh-CN"/>
          </w:rPr>
          <w:t>(一)、厂用防爆电器项目估算说明</w:t>
        </w:r>
        <w:r>
          <w:tab/>
        </w:r>
        <w:r>
          <w:fldChar w:fldCharType="begin"/>
        </w:r>
        <w:r>
          <w:instrText xml:space="preserve"> PAGEREF _Toc3926 \h </w:instrText>
        </w:r>
        <w:r>
          <w:fldChar w:fldCharType="separate"/>
        </w:r>
        <w:r>
          <w:t>43</w:t>
        </w:r>
        <w:r>
          <w:fldChar w:fldCharType="end"/>
        </w:r>
      </w:hyperlink>
    </w:p>
    <w:p>
      <w:pPr>
        <w:pStyle w:val="TOC2"/>
        <w:tabs>
          <w:tab w:val="right" w:leader="dot" w:pos="8306"/>
        </w:tabs>
      </w:pPr>
      <w:hyperlink w:anchor="_Toc27154" w:history="1">
        <w:r>
          <w:rPr>
            <w:rFonts w:ascii="仿宋" w:eastAsia="仿宋" w:hAnsi="仿宋" w:cs="仿宋" w:hint="eastAsia"/>
            <w:lang w:eastAsia="zh-CN"/>
          </w:rPr>
          <w:t>(二)、厂用防爆电器项目总投资估算</w:t>
        </w:r>
        <w:r>
          <w:tab/>
        </w:r>
        <w:r>
          <w:fldChar w:fldCharType="begin"/>
        </w:r>
        <w:r>
          <w:instrText xml:space="preserve"> PAGEREF _Toc27154 \h </w:instrText>
        </w:r>
        <w:r>
          <w:fldChar w:fldCharType="separate"/>
        </w:r>
        <w:r>
          <w:t>44</w:t>
        </w:r>
        <w:r>
          <w:fldChar w:fldCharType="end"/>
        </w:r>
      </w:hyperlink>
    </w:p>
    <w:p>
      <w:pPr>
        <w:pStyle w:val="TOC2"/>
        <w:tabs>
          <w:tab w:val="right" w:leader="dot" w:pos="8306"/>
        </w:tabs>
      </w:pPr>
      <w:hyperlink w:anchor="_Toc24677" w:history="1">
        <w:r>
          <w:rPr>
            <w:rFonts w:ascii="仿宋" w:eastAsia="仿宋" w:hAnsi="仿宋" w:cs="仿宋" w:hint="eastAsia"/>
            <w:lang w:eastAsia="zh-CN"/>
          </w:rPr>
          <w:t>(三)、资金筹措</w:t>
        </w:r>
        <w:r>
          <w:tab/>
        </w:r>
        <w:r>
          <w:fldChar w:fldCharType="begin"/>
        </w:r>
        <w:r>
          <w:instrText xml:space="preserve"> PAGEREF _Toc24677 \h </w:instrText>
        </w:r>
        <w:r>
          <w:fldChar w:fldCharType="separate"/>
        </w:r>
        <w:r>
          <w:t>45</w:t>
        </w:r>
        <w:r>
          <w:fldChar w:fldCharType="end"/>
        </w:r>
      </w:hyperlink>
    </w:p>
    <w:p>
      <w:pPr>
        <w:pStyle w:val="TOC1"/>
        <w:tabs>
          <w:tab w:val="right" w:leader="dot" w:pos="8306"/>
        </w:tabs>
      </w:pPr>
      <w:hyperlink w:anchor="_Toc29897" w:history="1">
        <w:r>
          <w:rPr>
            <w:rFonts w:ascii="仿宋" w:eastAsia="仿宋" w:hAnsi="仿宋" w:cs="仿宋" w:hint="eastAsia"/>
            <w:lang w:eastAsia="zh-CN"/>
          </w:rPr>
          <w:t>八、员工福利与企业文化</w:t>
        </w:r>
        <w:r>
          <w:tab/>
        </w:r>
        <w:r>
          <w:fldChar w:fldCharType="begin"/>
        </w:r>
        <w:r>
          <w:instrText xml:space="preserve"> PAGEREF _Toc29897 \h </w:instrText>
        </w:r>
        <w:r>
          <w:fldChar w:fldCharType="separate"/>
        </w:r>
        <w:r>
          <w:t>47</w:t>
        </w:r>
        <w:r>
          <w:fldChar w:fldCharType="end"/>
        </w:r>
      </w:hyperlink>
    </w:p>
    <w:p>
      <w:pPr>
        <w:pStyle w:val="TOC2"/>
        <w:tabs>
          <w:tab w:val="right" w:leader="dot" w:pos="8306"/>
        </w:tabs>
      </w:pPr>
      <w:hyperlink w:anchor="_Toc28850" w:history="1">
        <w:r>
          <w:rPr>
            <w:rFonts w:ascii="仿宋" w:eastAsia="仿宋" w:hAnsi="仿宋" w:cs="仿宋" w:hint="eastAsia"/>
            <w:lang w:eastAsia="zh-CN"/>
          </w:rPr>
          <w:t>(一)、员工福利政策</w:t>
        </w:r>
        <w:r>
          <w:tab/>
        </w:r>
        <w:r>
          <w:fldChar w:fldCharType="begin"/>
        </w:r>
        <w:r>
          <w:instrText xml:space="preserve"> PAGEREF _Toc28850 \h </w:instrText>
        </w:r>
        <w:r>
          <w:fldChar w:fldCharType="separate"/>
        </w:r>
        <w:r>
          <w:t>47</w:t>
        </w:r>
        <w:r>
          <w:fldChar w:fldCharType="end"/>
        </w:r>
      </w:hyperlink>
    </w:p>
    <w:p>
      <w:pPr>
        <w:pStyle w:val="TOC2"/>
        <w:tabs>
          <w:tab w:val="right" w:leader="dot" w:pos="8306"/>
        </w:tabs>
      </w:pPr>
      <w:hyperlink w:anchor="_Toc13349" w:history="1">
        <w:r>
          <w:rPr>
            <w:rFonts w:ascii="仿宋" w:eastAsia="仿宋" w:hAnsi="仿宋" w:cs="仿宋" w:hint="eastAsia"/>
            <w:lang w:eastAsia="zh-CN"/>
          </w:rPr>
          <w:t>(二)、团队建设与员工培训</w:t>
        </w:r>
        <w:r>
          <w:tab/>
        </w:r>
        <w:r>
          <w:fldChar w:fldCharType="begin"/>
        </w:r>
        <w:r>
          <w:instrText xml:space="preserve"> PAGEREF _Toc13349 \h </w:instrText>
        </w:r>
        <w:r>
          <w:fldChar w:fldCharType="separate"/>
        </w:r>
        <w:r>
          <w:t>49</w:t>
        </w:r>
        <w:r>
          <w:fldChar w:fldCharType="end"/>
        </w:r>
      </w:hyperlink>
    </w:p>
    <w:p>
      <w:pPr>
        <w:pStyle w:val="TOC2"/>
        <w:tabs>
          <w:tab w:val="right" w:leader="dot" w:pos="8306"/>
        </w:tabs>
      </w:pPr>
      <w:hyperlink w:anchor="_Toc23794" w:history="1">
        <w:r>
          <w:rPr>
            <w:rFonts w:ascii="仿宋" w:eastAsia="仿宋" w:hAnsi="仿宋" w:cs="仿宋" w:hint="eastAsia"/>
            <w:lang w:eastAsia="zh-CN"/>
          </w:rPr>
          <w:t>(三)、企业文化建设</w:t>
        </w:r>
        <w:r>
          <w:tab/>
        </w:r>
        <w:r>
          <w:fldChar w:fldCharType="begin"/>
        </w:r>
        <w:r>
          <w:instrText xml:space="preserve"> PAGEREF _Toc23794 \h </w:instrText>
        </w:r>
        <w:r>
          <w:fldChar w:fldCharType="separate"/>
        </w:r>
        <w:r>
          <w:t>50</w:t>
        </w:r>
        <w:r>
          <w:fldChar w:fldCharType="end"/>
        </w:r>
      </w:hyperlink>
    </w:p>
    <w:p>
      <w:pPr>
        <w:pStyle w:val="TOC2"/>
        <w:tabs>
          <w:tab w:val="right" w:leader="dot" w:pos="8306"/>
        </w:tabs>
      </w:pPr>
      <w:hyperlink w:anchor="_Toc32525" w:history="1">
        <w:r>
          <w:rPr>
            <w:rFonts w:ascii="仿宋" w:eastAsia="仿宋" w:hAnsi="仿宋" w:cs="仿宋" w:hint="eastAsia"/>
            <w:lang w:eastAsia="zh-CN"/>
          </w:rPr>
          <w:t>(四)、员工健康与工作平衡</w:t>
        </w:r>
        <w:r>
          <w:tab/>
        </w:r>
        <w:r>
          <w:fldChar w:fldCharType="begin"/>
        </w:r>
        <w:r>
          <w:instrText xml:space="preserve"> PAGEREF _Toc32525 \h </w:instrText>
        </w:r>
        <w:r>
          <w:fldChar w:fldCharType="separate"/>
        </w:r>
        <w:r>
          <w:t>52</w:t>
        </w:r>
        <w:r>
          <w:fldChar w:fldCharType="end"/>
        </w:r>
      </w:hyperlink>
    </w:p>
    <w:p>
      <w:pPr>
        <w:pStyle w:val="TOC1"/>
        <w:tabs>
          <w:tab w:val="right" w:leader="dot" w:pos="8306"/>
        </w:tabs>
      </w:pPr>
      <w:hyperlink w:anchor="_Toc8549" w:history="1">
        <w:r>
          <w:rPr>
            <w:rFonts w:ascii="仿宋" w:eastAsia="仿宋" w:hAnsi="仿宋" w:cs="仿宋" w:hint="eastAsia"/>
            <w:lang w:eastAsia="zh-CN"/>
          </w:rPr>
          <w:t>九、市场趋势与竞争分析</w:t>
        </w:r>
        <w:r>
          <w:tab/>
        </w:r>
        <w:r>
          <w:fldChar w:fldCharType="begin"/>
        </w:r>
        <w:r>
          <w:instrText xml:space="preserve"> PAGEREF _Toc8549 \h </w:instrText>
        </w:r>
        <w:r>
          <w:fldChar w:fldCharType="separate"/>
        </w:r>
        <w:r>
          <w:t>54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870" w:history="1">
        <w:r>
          <w:rPr>
            <w:rFonts w:ascii="仿宋" w:eastAsia="仿宋" w:hAnsi="仿宋" w:cs="仿宋" w:hint="eastAsia"/>
            <w:lang w:eastAsia="zh-CN"/>
          </w:rPr>
          <w:t>(一)、行业市场趋势分析</w:t>
        </w:r>
        <w:r>
          <w:tab/>
        </w:r>
        <w:r>
          <w:fldChar w:fldCharType="begin"/>
        </w:r>
        <w:r>
          <w:instrText xml:space="preserve"> PAGEREF _Toc17870 \h </w:instrText>
        </w:r>
        <w:r>
          <w:fldChar w:fldCharType="separate"/>
        </w:r>
        <w:r>
          <w:t>54</w:t>
        </w:r>
        <w:r>
          <w:fldChar w:fldCharType="end"/>
        </w:r>
      </w:hyperlink>
    </w:p>
    <w:p>
      <w:pPr>
        <w:pStyle w:val="TOC2"/>
        <w:tabs>
          <w:tab w:val="right" w:leader="dot" w:pos="8306"/>
        </w:tabs>
      </w:pPr>
      <w:hyperlink w:anchor="_Toc1524" w:history="1">
        <w:r>
          <w:rPr>
            <w:rFonts w:ascii="仿宋" w:eastAsia="仿宋" w:hAnsi="仿宋" w:cs="仿宋" w:hint="eastAsia"/>
            <w:lang w:eastAsia="zh-CN"/>
          </w:rPr>
          <w:t>(二)、竞争对手动态监测</w:t>
        </w:r>
        <w:r>
          <w:tab/>
        </w:r>
        <w:r>
          <w:fldChar w:fldCharType="begin"/>
        </w:r>
        <w:r>
          <w:instrText xml:space="preserve"> PAGEREF _Toc1524 \h </w:instrText>
        </w:r>
        <w:r>
          <w:fldChar w:fldCharType="separate"/>
        </w:r>
        <w:r>
          <w:t>56</w:t>
        </w:r>
        <w:r>
          <w:fldChar w:fldCharType="end"/>
        </w:r>
      </w:hyperlink>
    </w:p>
    <w:p>
      <w:pPr>
        <w:pStyle w:val="TOC2"/>
        <w:tabs>
          <w:tab w:val="right" w:leader="dot" w:pos="8306"/>
        </w:tabs>
      </w:pPr>
      <w:hyperlink w:anchor="_Toc3667" w:history="1">
        <w:r>
          <w:rPr>
            <w:rFonts w:ascii="仿宋" w:eastAsia="仿宋" w:hAnsi="仿宋" w:cs="仿宋" w:hint="eastAsia"/>
            <w:lang w:eastAsia="zh-CN"/>
          </w:rPr>
          <w:t>(三)、新兴技术与创新趋势</w:t>
        </w:r>
        <w:r>
          <w:tab/>
        </w:r>
        <w:r>
          <w:fldChar w:fldCharType="begin"/>
        </w:r>
        <w:r>
          <w:instrText xml:space="preserve"> PAGEREF _Toc3667 \h </w:instrText>
        </w:r>
        <w:r>
          <w:fldChar w:fldCharType="separate"/>
        </w:r>
        <w:r>
          <w:t>58</w:t>
        </w:r>
        <w:r>
          <w:fldChar w:fldCharType="end"/>
        </w:r>
      </w:hyperlink>
    </w:p>
    <w:p>
      <w:pPr>
        <w:pStyle w:val="TOC2"/>
        <w:tabs>
          <w:tab w:val="right" w:leader="dot" w:pos="8306"/>
        </w:tabs>
      </w:pPr>
      <w:hyperlink w:anchor="_Toc26609" w:history="1">
        <w:r>
          <w:rPr>
            <w:rFonts w:ascii="仿宋" w:eastAsia="仿宋" w:hAnsi="仿宋" w:cs="仿宋" w:hint="eastAsia"/>
            <w:lang w:eastAsia="zh-CN"/>
          </w:rPr>
          <w:t>(四)、市场机会与威胁评估</w:t>
        </w:r>
        <w:r>
          <w:tab/>
        </w:r>
        <w:r>
          <w:fldChar w:fldCharType="begin"/>
        </w:r>
        <w:r>
          <w:instrText xml:space="preserve"> PAGEREF _Toc26609 \h </w:instrText>
        </w:r>
        <w:r>
          <w:fldChar w:fldCharType="separate"/>
        </w:r>
        <w:r>
          <w:t>60</w:t>
        </w:r>
        <w:r>
          <w:fldChar w:fldCharType="end"/>
        </w:r>
      </w:hyperlink>
    </w:p>
    <w:p>
      <w:pPr>
        <w:pStyle w:val="TOC1"/>
        <w:tabs>
          <w:tab w:val="right" w:leader="dot" w:pos="8306"/>
        </w:tabs>
      </w:pPr>
      <w:hyperlink w:anchor="_Toc23383" w:history="1">
        <w:r>
          <w:rPr>
            <w:rFonts w:ascii="仿宋" w:eastAsia="仿宋" w:hAnsi="仿宋" w:cs="仿宋" w:hint="eastAsia"/>
            <w:lang w:eastAsia="zh-CN"/>
          </w:rPr>
          <w:t>十、风险管理与应对策略</w:t>
        </w:r>
        <w:r>
          <w:tab/>
        </w:r>
        <w:r>
          <w:fldChar w:fldCharType="begin"/>
        </w:r>
        <w:r>
          <w:instrText xml:space="preserve"> PAGEREF _Toc23383 \h </w:instrText>
        </w:r>
        <w:r>
          <w:fldChar w:fldCharType="separate"/>
        </w:r>
        <w:r>
          <w:t>62</w:t>
        </w:r>
        <w:r>
          <w:fldChar w:fldCharType="end"/>
        </w:r>
      </w:hyperlink>
    </w:p>
    <w:p>
      <w:pPr>
        <w:pStyle w:val="TOC2"/>
        <w:tabs>
          <w:tab w:val="right" w:leader="dot" w:pos="8306"/>
        </w:tabs>
      </w:pPr>
      <w:hyperlink w:anchor="_Toc14106" w:history="1">
        <w:r>
          <w:rPr>
            <w:rFonts w:ascii="仿宋" w:eastAsia="仿宋" w:hAnsi="仿宋" w:cs="仿宋" w:hint="eastAsia"/>
            <w:lang w:eastAsia="zh-CN"/>
          </w:rPr>
          <w:t>(一)、风险管理流程</w:t>
        </w:r>
        <w:r>
          <w:tab/>
        </w:r>
        <w:r>
          <w:fldChar w:fldCharType="begin"/>
        </w:r>
        <w:r>
          <w:instrText xml:space="preserve"> PAGEREF _Toc14106 \h </w:instrText>
        </w:r>
        <w:r>
          <w:fldChar w:fldCharType="separate"/>
        </w:r>
        <w:r>
          <w:t>62</w:t>
        </w:r>
        <w:r>
          <w:fldChar w:fldCharType="end"/>
        </w:r>
      </w:hyperlink>
    </w:p>
    <w:p>
      <w:pPr>
        <w:pStyle w:val="TOC2"/>
        <w:tabs>
          <w:tab w:val="right" w:leader="dot" w:pos="8306"/>
        </w:tabs>
      </w:pPr>
      <w:hyperlink w:anchor="_Toc7645" w:history="1">
        <w:r>
          <w:rPr>
            <w:rFonts w:ascii="仿宋" w:eastAsia="仿宋" w:hAnsi="仿宋" w:cs="仿宋" w:hint="eastAsia"/>
            <w:lang w:eastAsia="zh-CN"/>
          </w:rPr>
          <w:t>(二)、风险识别与评估</w:t>
        </w:r>
        <w:r>
          <w:tab/>
        </w:r>
        <w:r>
          <w:fldChar w:fldCharType="begin"/>
        </w:r>
        <w:r>
          <w:instrText xml:space="preserve"> PAGEREF _Toc7645 \h </w:instrText>
        </w:r>
        <w:r>
          <w:fldChar w:fldCharType="separate"/>
        </w:r>
        <w:r>
          <w:t>65</w:t>
        </w:r>
        <w:r>
          <w:fldChar w:fldCharType="end"/>
        </w:r>
      </w:hyperlink>
    </w:p>
    <w:p>
      <w:pPr>
        <w:pStyle w:val="TOC2"/>
        <w:tabs>
          <w:tab w:val="right" w:leader="dot" w:pos="8306"/>
        </w:tabs>
      </w:pPr>
      <w:hyperlink w:anchor="_Toc26526" w:history="1">
        <w:r>
          <w:rPr>
            <w:rFonts w:ascii="仿宋" w:eastAsia="仿宋" w:hAnsi="仿宋" w:cs="仿宋" w:hint="eastAsia"/>
            <w:lang w:eastAsia="zh-CN"/>
          </w:rPr>
          <w:t>(三)、风险控制与应对策略</w:t>
        </w:r>
        <w:r>
          <w:tab/>
        </w:r>
        <w:r>
          <w:fldChar w:fldCharType="begin"/>
        </w:r>
        <w:r>
          <w:instrText xml:space="preserve"> PAGEREF _Toc26526 \h </w:instrText>
        </w:r>
        <w:r>
          <w:fldChar w:fldCharType="separate"/>
        </w:r>
        <w:r>
          <w:t>67</w:t>
        </w:r>
        <w:r>
          <w:fldChar w:fldCharType="end"/>
        </w:r>
      </w:hyperlink>
    </w:p>
    <w:p>
      <w:pPr>
        <w:pStyle w:val="TOC2"/>
        <w:tabs>
          <w:tab w:val="right" w:leader="dot" w:pos="8306"/>
        </w:tabs>
      </w:pPr>
      <w:hyperlink w:anchor="_Toc2994" w:history="1">
        <w:r>
          <w:rPr>
            <w:rFonts w:ascii="仿宋" w:eastAsia="仿宋" w:hAnsi="仿宋" w:cs="仿宋" w:hint="eastAsia"/>
            <w:lang w:eastAsia="zh-CN"/>
          </w:rPr>
          <w:t>(四)、危机管理与应急预案</w:t>
        </w:r>
        <w:r>
          <w:tab/>
        </w:r>
        <w:r>
          <w:fldChar w:fldCharType="begin"/>
        </w:r>
        <w:r>
          <w:instrText xml:space="preserve"> PAGEREF _Toc2994 \h </w:instrText>
        </w:r>
        <w:r>
          <w:fldChar w:fldCharType="separate"/>
        </w:r>
        <w:r>
          <w:t>69</w:t>
        </w:r>
        <w:r>
          <w:fldChar w:fldCharType="end"/>
        </w:r>
      </w:hyperlink>
    </w:p>
    <w:p>
      <w:pPr>
        <w:pStyle w:val="TOC1"/>
        <w:tabs>
          <w:tab w:val="right" w:leader="dot" w:pos="8306"/>
        </w:tabs>
      </w:pPr>
      <w:hyperlink w:anchor="_Toc26911" w:history="1">
        <w:r>
          <w:rPr>
            <w:rFonts w:ascii="仿宋" w:eastAsia="仿宋" w:hAnsi="仿宋" w:cs="仿宋" w:hint="eastAsia"/>
            <w:lang w:eastAsia="zh-CN"/>
          </w:rPr>
          <w:t>十一、市场营销策略</w:t>
        </w:r>
        <w:r>
          <w:tab/>
        </w:r>
        <w:r>
          <w:fldChar w:fldCharType="begin"/>
        </w:r>
        <w:r>
          <w:instrText xml:space="preserve"> PAGEREF _Toc26911 \h </w:instrText>
        </w:r>
        <w:r>
          <w:fldChar w:fldCharType="separate"/>
        </w:r>
        <w:r>
          <w:t>71</w:t>
        </w:r>
        <w:r>
          <w:fldChar w:fldCharType="end"/>
        </w:r>
      </w:hyperlink>
    </w:p>
    <w:p>
      <w:pPr>
        <w:pStyle w:val="TOC2"/>
        <w:tabs>
          <w:tab w:val="right" w:leader="dot" w:pos="8306"/>
        </w:tabs>
      </w:pPr>
      <w:hyperlink w:anchor="_Toc19149" w:history="1">
        <w:r>
          <w:rPr>
            <w:rFonts w:ascii="仿宋" w:eastAsia="仿宋" w:hAnsi="仿宋" w:cs="仿宋" w:hint="eastAsia"/>
            <w:lang w:eastAsia="zh-CN"/>
          </w:rPr>
          <w:t>(一)、市场定位与目标客户群</w:t>
        </w:r>
        <w:r>
          <w:tab/>
        </w:r>
        <w:r>
          <w:fldChar w:fldCharType="begin"/>
        </w:r>
        <w:r>
          <w:instrText xml:space="preserve"> PAGEREF _Toc19149 \h </w:instrText>
        </w:r>
        <w:r>
          <w:fldChar w:fldCharType="separate"/>
        </w:r>
        <w:r>
          <w:t>71</w:t>
        </w:r>
        <w:r>
          <w:fldChar w:fldCharType="end"/>
        </w:r>
      </w:hyperlink>
    </w:p>
    <w:p>
      <w:pPr>
        <w:pStyle w:val="TOC2"/>
        <w:tabs>
          <w:tab w:val="right" w:leader="dot" w:pos="8306"/>
        </w:tabs>
      </w:pPr>
      <w:hyperlink w:anchor="_Toc29460" w:history="1">
        <w:r>
          <w:rPr>
            <w:rFonts w:ascii="仿宋" w:eastAsia="仿宋" w:hAnsi="仿宋" w:cs="仿宋" w:hint="eastAsia"/>
            <w:lang w:eastAsia="zh-CN"/>
          </w:rPr>
          <w:t>(二)、竞争对手分析</w:t>
        </w:r>
        <w:r>
          <w:tab/>
        </w:r>
        <w:r>
          <w:fldChar w:fldCharType="begin"/>
        </w:r>
        <w:r>
          <w:instrText xml:space="preserve"> PAGEREF _Toc29460 \h </w:instrText>
        </w:r>
        <w:r>
          <w:fldChar w:fldCharType="separate"/>
        </w:r>
        <w:r>
          <w:t>73</w:t>
        </w:r>
        <w:r>
          <w:fldChar w:fldCharType="end"/>
        </w:r>
      </w:hyperlink>
    </w:p>
    <w:p>
      <w:pPr>
        <w:pStyle w:val="TOC2"/>
        <w:tabs>
          <w:tab w:val="right" w:leader="dot" w:pos="8306"/>
        </w:tabs>
      </w:pPr>
      <w:hyperlink w:anchor="_Toc8381" w:history="1">
        <w:r>
          <w:rPr>
            <w:rFonts w:ascii="仿宋" w:eastAsia="仿宋" w:hAnsi="仿宋" w:cs="仿宋" w:hint="eastAsia"/>
            <w:lang w:eastAsia="zh-CN"/>
          </w:rPr>
          <w:t>(三)、营销策略与推广计划</w:t>
        </w:r>
        <w:r>
          <w:tab/>
        </w:r>
        <w:r>
          <w:fldChar w:fldCharType="begin"/>
        </w:r>
        <w:r>
          <w:instrText xml:space="preserve"> PAGEREF _Toc8381 \h </w:instrText>
        </w:r>
        <w:r>
          <w:fldChar w:fldCharType="separate"/>
        </w:r>
        <w:r>
          <w:t>75</w:t>
        </w:r>
        <w:r>
          <w:fldChar w:fldCharType="end"/>
        </w:r>
      </w:hyperlink>
    </w:p>
    <w:p>
      <w:pPr>
        <w:pStyle w:val="TOC2"/>
        <w:tabs>
          <w:tab w:val="right" w:leader="dot" w:pos="8306"/>
        </w:tabs>
      </w:pPr>
      <w:hyperlink w:anchor="_Toc14585" w:history="1">
        <w:r>
          <w:rPr>
            <w:rFonts w:ascii="仿宋" w:eastAsia="仿宋" w:hAnsi="仿宋" w:cs="仿宋" w:hint="eastAsia"/>
            <w:lang w:eastAsia="zh-CN"/>
          </w:rPr>
          <w:t>(四)、产品定价与销售渠道</w:t>
        </w:r>
        <w:r>
          <w:tab/>
        </w:r>
        <w:r>
          <w:fldChar w:fldCharType="begin"/>
        </w:r>
        <w:r>
          <w:instrText xml:space="preserve"> PAGEREF _Toc14585 \h </w:instrText>
        </w:r>
        <w:r>
          <w:fldChar w:fldCharType="separate"/>
        </w:r>
        <w:r>
          <w:t>76</w:t>
        </w:r>
        <w:r>
          <w:fldChar w:fldCharType="end"/>
        </w:r>
      </w:hyperlink>
    </w:p>
    <w:p>
      <w:pPr>
        <w:pStyle w:val="TOC2"/>
        <w:tabs>
          <w:tab w:val="right" w:leader="dot" w:pos="8306"/>
        </w:tabs>
      </w:pPr>
      <w:hyperlink w:anchor="_Toc3725" w:history="1">
        <w:r>
          <w:rPr>
            <w:rFonts w:ascii="仿宋" w:eastAsia="仿宋" w:hAnsi="仿宋" w:cs="仿宋" w:hint="eastAsia"/>
            <w:lang w:eastAsia="zh-CN"/>
          </w:rPr>
          <w:t>(五)、售后服务体系</w:t>
        </w:r>
        <w:r>
          <w:tab/>
        </w:r>
        <w:r>
          <w:fldChar w:fldCharType="begin"/>
        </w:r>
        <w:r>
          <w:instrText xml:space="preserve"> PAGEREF _Toc3725 \h </w:instrText>
        </w:r>
        <w:r>
          <w:fldChar w:fldCharType="separate"/>
        </w:r>
        <w:r>
          <w:t>78</w:t>
        </w:r>
        <w:r>
          <w:fldChar w:fldCharType="end"/>
        </w:r>
      </w:hyperlink>
    </w:p>
    <w:p>
      <w:pPr>
        <w:pStyle w:val="TOC1"/>
        <w:tabs>
          <w:tab w:val="right" w:leader="dot" w:pos="8306"/>
        </w:tabs>
      </w:pPr>
      <w:hyperlink w:anchor="_Toc27944" w:history="1">
        <w:r>
          <w:rPr>
            <w:rFonts w:ascii="仿宋" w:eastAsia="仿宋" w:hAnsi="仿宋" w:cs="仿宋" w:hint="eastAsia"/>
            <w:lang w:eastAsia="zh-CN"/>
          </w:rPr>
          <w:t>十二、厂用防爆电器项目监督与评估</w:t>
        </w:r>
        <w:r>
          <w:tab/>
        </w:r>
        <w:r>
          <w:fldChar w:fldCharType="begin"/>
        </w:r>
        <w:r>
          <w:instrText xml:space="preserve"> PAGEREF _Toc27944 \h </w:instrText>
        </w:r>
        <w:r>
          <w:fldChar w:fldCharType="separate"/>
        </w:r>
        <w:r>
          <w:t>80</w:t>
        </w:r>
        <w:r>
          <w:fldChar w:fldCharType="end"/>
        </w:r>
      </w:hyperlink>
    </w:p>
    <w:p>
      <w:pPr>
        <w:pStyle w:val="TOC2"/>
        <w:tabs>
          <w:tab w:val="right" w:leader="dot" w:pos="8306"/>
        </w:tabs>
      </w:pPr>
      <w:hyperlink w:anchor="_Toc17604" w:history="1">
        <w:r>
          <w:rPr>
            <w:rFonts w:ascii="仿宋" w:eastAsia="仿宋" w:hAnsi="仿宋" w:cs="仿宋" w:hint="eastAsia"/>
            <w:lang w:eastAsia="zh-CN"/>
          </w:rPr>
          <w:t>(一)、监督机构及职责</w:t>
        </w:r>
        <w:r>
          <w:tab/>
        </w:r>
        <w:r>
          <w:fldChar w:fldCharType="begin"/>
        </w:r>
        <w:r>
          <w:instrText xml:space="preserve"> PAGEREF _Toc17604 \h </w:instrText>
        </w:r>
        <w:r>
          <w:fldChar w:fldCharType="separate"/>
        </w:r>
        <w:r>
          <w:t>80</w:t>
        </w:r>
        <w:r>
          <w:fldChar w:fldCharType="end"/>
        </w:r>
      </w:hyperlink>
    </w:p>
    <w:p>
      <w:pPr>
        <w:pStyle w:val="TOC2"/>
        <w:tabs>
          <w:tab w:val="right" w:leader="dot" w:pos="8306"/>
        </w:tabs>
      </w:pPr>
      <w:hyperlink w:anchor="_Toc28500" w:history="1">
        <w:r>
          <w:rPr>
            <w:rFonts w:ascii="仿宋" w:eastAsia="仿宋" w:hAnsi="仿宋" w:cs="仿宋" w:hint="eastAsia"/>
            <w:lang w:eastAsia="zh-CN"/>
          </w:rPr>
          <w:t>(二)、监测与评估指标体系</w:t>
        </w:r>
        <w:r>
          <w:tab/>
        </w:r>
        <w:r>
          <w:fldChar w:fldCharType="begin"/>
        </w:r>
        <w:r>
          <w:instrText xml:space="preserve"> PAGEREF _Toc28500 \h </w:instrText>
        </w:r>
        <w:r>
          <w:fldChar w:fldCharType="separate"/>
        </w:r>
        <w:r>
          <w:t>82</w:t>
        </w:r>
        <w:r>
          <w:fldChar w:fldCharType="end"/>
        </w:r>
      </w:hyperlink>
    </w:p>
    <w:p>
      <w:pPr>
        <w:pStyle w:val="TOC2"/>
        <w:tabs>
          <w:tab w:val="right" w:leader="dot" w:pos="8306"/>
        </w:tabs>
      </w:pPr>
      <w:hyperlink w:anchor="_Toc30829" w:history="1">
        <w:r>
          <w:rPr>
            <w:rFonts w:ascii="仿宋" w:eastAsia="仿宋" w:hAnsi="仿宋" w:cs="仿宋" w:hint="eastAsia"/>
            <w:lang w:eastAsia="zh-CN"/>
          </w:rPr>
          <w:t>(三)、监督与评估周期</w:t>
        </w:r>
        <w:r>
          <w:tab/>
        </w:r>
        <w:r>
          <w:fldChar w:fldCharType="begin"/>
        </w:r>
        <w:r>
          <w:instrText xml:space="preserve"> PAGEREF _Toc30829 \h </w:instrText>
        </w:r>
        <w:r>
          <w:fldChar w:fldCharType="separate"/>
        </w:r>
        <w:r>
          <w:t>84</w:t>
        </w:r>
        <w:r>
          <w:fldChar w:fldCharType="end"/>
        </w:r>
      </w:hyperlink>
    </w:p>
    <w:p>
      <w:pPr>
        <w:pStyle w:val="TOC2"/>
        <w:tabs>
          <w:tab w:val="right" w:leader="dot" w:pos="8306"/>
        </w:tabs>
      </w:pPr>
      <w:hyperlink w:anchor="_Toc11255" w:history="1">
        <w:r>
          <w:rPr>
            <w:rFonts w:ascii="仿宋" w:eastAsia="仿宋" w:hAnsi="仿宋" w:cs="仿宋" w:hint="eastAsia"/>
            <w:lang w:eastAsia="zh-CN"/>
          </w:rPr>
          <w:t>(四)、监督与评估报告</w:t>
        </w:r>
        <w:r>
          <w:tab/>
        </w:r>
        <w:r>
          <w:fldChar w:fldCharType="begin"/>
        </w:r>
        <w:r>
          <w:instrText xml:space="preserve"> PAGEREF _Toc11255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87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厂用防爆电器项目复杂性日益增加，全面而科学的厂用防爆电器项目管理方法论对于确保厂用防爆电器项目成功至关重要。本厂用防爆电器项目报告系统阐述了厂用防爆电器项目启动、规划、执行、监控与收尾的全过程，强调在动态环境中对策略的灵活调整与优化。报告旨在提供一套适应性强、实用性高的厂用防爆电器项目管理框架，便于读者掌握和应用于实际工作中。在此，我们明确指出报告内容仅限于学习交流之目的，严禁用于任何商业用途，力求促进厂用防爆电器项目管理知识的普及与提升。</w:t>
      </w:r>
    </w:p>
    <w:p>
      <w:pPr>
        <w:pStyle w:val="Heading1"/>
        <w:ind w:firstLine="560" w:firstLineChars="200"/>
        <w:rPr>
          <w:rFonts w:ascii="仿宋" w:eastAsia="仿宋" w:hAnsi="仿宋" w:cs="仿宋" w:hint="eastAsia"/>
          <w:sz w:val="28"/>
          <w:lang w:eastAsia="zh-CN"/>
        </w:rPr>
      </w:pPr>
      <w:bookmarkStart w:id="2" w:name="_Toc16786"/>
      <w:r>
        <w:rPr>
          <w:rFonts w:ascii="仿宋" w:eastAsia="仿宋" w:hAnsi="仿宋" w:cs="仿宋" w:hint="eastAsia"/>
          <w:sz w:val="28"/>
          <w:lang w:eastAsia="zh-CN"/>
        </w:rPr>
        <w:t>一、厂用防爆电器项目市场前景分析</w:t>
      </w:r>
      <w:bookmarkEnd w:id="2"/>
    </w:p>
    <w:p>
      <w:pPr>
        <w:pStyle w:val="Heading2"/>
        <w:rPr>
          <w:rFonts w:ascii="仿宋" w:eastAsia="仿宋" w:hAnsi="仿宋" w:cs="仿宋" w:hint="eastAsia"/>
          <w:lang w:eastAsia="zh-CN"/>
        </w:rPr>
      </w:pPr>
      <w:bookmarkStart w:id="3" w:name="_Toc13726"/>
      <w:r>
        <w:rPr>
          <w:rFonts w:ascii="仿宋" w:eastAsia="仿宋" w:hAnsi="仿宋" w:cs="仿宋" w:hint="eastAsia"/>
          <w:lang w:eastAsia="zh-CN"/>
        </w:rPr>
        <w:t>(一)、建设地经济发展概况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经济总体情况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建设地的经济在过去几年呈现出强劲的增长态势。20XX年至20XXX年，该地区的年均GDP增速超过XX%，整体经济规模达到XX亿元。这一持续增长的趋势反映了建设地经济的活力和吸引力。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主要产业结构</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建设地的产业结构多元化，制造业、服务业和高科技产业占据主导地位。先进制造业中的电子、汽车等领域蓬勃发展，服务业包括金融、教育和医疗等多个领域都取得了显著进展。高科技企业的崛起为整体产业结构带来了新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投资环境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一直致力于打造优越的投资环境，吸引了众多国内外企业的投资。政府实施了一系列便利化政策，简化审批程序，降低投资门槛。建设地成为创业者和投资者青睐的热门目的地，各类产业厂用防爆电器项目纷纷落地。</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人口与就业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的人口规模逐年增加，形成了多元化的社会结构。城市人口密集区域的就业市场蓬勃发展，同时城乡一体化发展战略也为农村地区提供了更多就业机会。该地区积极推动人才引进和培养，构建了具有创新力的人才队伍。</w:t>
      </w:r>
    </w:p>
    <w:p>
      <w:pPr>
        <w:ind w:firstLine="560" w:firstLineChars="200"/>
        <w:rPr>
          <w:rFonts w:ascii="仿宋" w:eastAsia="仿宋" w:hAnsi="仿宋" w:cs="仿宋" w:hint="eastAsia"/>
          <w:sz w:val="28"/>
        </w:rPr>
      </w:pPr>
      <w:r>
        <w:rPr>
          <w:rFonts w:ascii="仿宋" w:eastAsia="仿宋" w:hAnsi="仿宋" w:cs="仿宋" w:hint="eastAsia"/>
          <w:sz w:val="28"/>
          <w:lang w:eastAsia="zh-CN"/>
        </w:rPr>
        <w:t>5. 城市基础设施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为适应经济快速发展的需要，建设地加大了对基础设施建设的投入。新建、改建的高速公路、城市轨道交通、现代化港口等厂用防爆电器项目得到了快速推进，提高了城市的综合竞争力。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环境保护与可持续发展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建设地注重生态环境保护和可持续发展。实施了大规模的环境治理厂用防爆电器项目，提升了空气质量和水质。同时，该地推动绿色产业和清洁能源的发展，致力于打造宜居宜业的城市环境。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7. 区域合作与国际交往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建设地积极参与区域合作和国际交往，拓展了多领域的国际合作厂用防爆电器项目。通过加强国际交流，该地区引进了大量国外优质技术和资金，同时推动了本地产业的对外拓展。</w:t>
      </w:r>
    </w:p>
    <w:p>
      <w:pPr>
        <w:pStyle w:val="Heading2"/>
        <w:ind w:firstLine="560" w:firstLineChars="200"/>
        <w:rPr>
          <w:rFonts w:ascii="仿宋" w:eastAsia="仿宋" w:hAnsi="仿宋" w:cs="仿宋" w:hint="eastAsia"/>
          <w:sz w:val="28"/>
          <w:lang w:eastAsia="zh-CN"/>
        </w:rPr>
      </w:pPr>
      <w:bookmarkStart w:id="4" w:name="_Toc12267"/>
      <w:r>
        <w:rPr>
          <w:rFonts w:ascii="仿宋" w:eastAsia="仿宋" w:hAnsi="仿宋" w:cs="仿宋" w:hint="eastAsia"/>
          <w:sz w:val="28"/>
          <w:lang w:eastAsia="zh-CN"/>
        </w:rPr>
        <w:t>(二)、行业市场分析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行业在全球范围内的市场规模持续扩大，据最新数据显示，年均增长率达到XX%。市场规模预计将在未来数年内继续增长，达到YY亿元。这一趋势表明行业正受到日益增长的市场需求的推动，为各类企业提供了广泛的商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竞争格局相当激烈，主要由几家大型企业主导市场，占据了相当比例的市场份额。然而，新兴企业通过创新和灵活性也逐渐在市场中崭露头角。尽管入口壁垒相对较高，但随着技术的进步和市场的开放，新进入者有望取得更多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消费者行为</w:t>
      </w:r>
    </w:p>
    <w:p>
      <w:pPr>
        <w:ind w:firstLine="560" w:firstLineChars="200"/>
        <w:rPr>
          <w:rFonts w:ascii="仿宋" w:eastAsia="仿宋" w:hAnsi="仿宋" w:cs="仿宋" w:hint="eastAsia"/>
          <w:sz w:val="28"/>
        </w:rPr>
      </w:pPr>
      <w:r>
        <w:rPr>
          <w:rFonts w:ascii="仿宋" w:eastAsia="仿宋" w:hAnsi="仿宋" w:cs="仿宋" w:hint="eastAsia"/>
          <w:sz w:val="28"/>
          <w:lang w:eastAsia="zh-CN"/>
        </w:rPr>
        <w:t>目标客户主要集中在年轻一代，他们更注重产品的创新性、环保性和品牌形象。消费者趋势显示，线上购物和个性化定制服务逐渐成为主流，这对企业提出了更高的要求。了解这些趋势有助于企业调整产品策略，提升市场占有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技术创新与趋势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一直是该行业的推动力，最新的技术趋势涵盖了人工智能、大数据分析以及物联网技术的应用。在全球范围内，多家企业正在加大研发投入，以推动行业的数字化转型。未来趋势显示，智能化产品和服务将成为市场的主导力量。</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法规与政策影响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法规环境对该行业的影响显著，特别是关于环保和消费者权益方面的法规。政府对该行业的监管力度逐渐加强，其中包括新的环保法规和产品标准。同时，政府通过提供税收激励和创新资金，支持企业更好地适应新的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环保要求日益增加，企业在产品制造和供应链管理中不断加强环保措施。社会责任在行业内也占据重要地位，许多企业积极参与社区厂用防爆电器项目和慈善事业，提升了其社会形象。可持续发展计划逐渐成为企业战略的一部分，以确保业务的可持续性和社会责任的履行。</w:t>
      </w:r>
    </w:p>
    <w:p>
      <w:pPr>
        <w:pStyle w:val="Heading1"/>
        <w:ind w:firstLine="560" w:firstLineChars="200"/>
        <w:rPr>
          <w:rFonts w:ascii="仿宋" w:eastAsia="仿宋" w:hAnsi="仿宋" w:cs="仿宋" w:hint="eastAsia"/>
          <w:sz w:val="28"/>
          <w:lang w:eastAsia="zh-CN"/>
        </w:rPr>
      </w:pPr>
      <w:bookmarkStart w:id="5" w:name="_Toc9445"/>
      <w:r>
        <w:rPr>
          <w:rFonts w:ascii="仿宋" w:eastAsia="仿宋" w:hAnsi="仿宋" w:cs="仿宋" w:hint="eastAsia"/>
          <w:sz w:val="28"/>
          <w:lang w:eastAsia="zh-CN"/>
        </w:rPr>
        <w:t>二、土建工程设计</w:t>
      </w:r>
      <w:bookmarkEnd w:id="5"/>
    </w:p>
    <w:p>
      <w:pPr>
        <w:pStyle w:val="Heading2"/>
        <w:rPr>
          <w:rFonts w:ascii="仿宋" w:eastAsia="仿宋" w:hAnsi="仿宋" w:cs="仿宋" w:hint="eastAsia"/>
          <w:lang w:eastAsia="zh-CN"/>
        </w:rPr>
      </w:pPr>
      <w:bookmarkStart w:id="6" w:name="_Toc9414"/>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建筑首要功能是为使用者提供合适的空间，满足其需求。因此，建筑设计应确保功能的实现，空间布局合理，满足建筑的基本功能需求。功能性原则关注建筑的实际用途和用户体验。</w:t>
      </w:r>
    </w:p>
    <w:p>
      <w:pPr>
        <w:ind w:firstLine="560" w:firstLineChars="200"/>
        <w:rPr>
          <w:rFonts w:ascii="仿宋" w:eastAsia="仿宋" w:hAnsi="仿宋" w:cs="仿宋" w:hint="eastAsia"/>
          <w:sz w:val="28"/>
        </w:rPr>
      </w:pPr>
      <w:r>
        <w:rPr>
          <w:rFonts w:ascii="仿宋" w:eastAsia="仿宋" w:hAnsi="仿宋" w:cs="仿宋" w:hint="eastAsia"/>
          <w:sz w:val="28"/>
          <w:lang w:eastAsia="zh-CN"/>
        </w:rPr>
        <w:t>2. 美学性原则</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美学性是建筑设计的重要方面。建筑应该具有艺术性和美感，以提高空间品质和视觉体验。美学性原则注重建筑的外观设计、色彩搭配、比例和形式等方面，使建筑融入环境并产生良好的审美效果。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结构稳定性原则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建筑结构的稳定性是设计的基本要求之一。建筑设计应确保结构安全可靠，能够承受各种自然和人为的力的作用。结构稳定性原则关注建筑的结构设计、材料选用等方面，以保障建筑的整体安全。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环境友好性原则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社会，环保和可持续性已成为建筑设计的重要考虑因素。建筑应当注重能源利用效率、材料的可再生性、废弃物的处理等方面，以减少对环境的不良影响。环境友好性原则关注建筑的生态设计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经济性原则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建筑设计应当在经济可行性的基础上进行，保持合理的建设成本。考虑建筑的预算和维护成本，确保设计方案在经济上可行。经济性原则关注建筑的成本效益和资源利用效率。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可维护性原则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建筑应易于维护和管理，以确保其长期使用的效果。设计应考虑材料的耐久性、易修复性，使得建筑的维护工作变得简便和经济。可维护性原则注重建筑的长期可用性和维护便捷性。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可变性原则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建筑设计应具有一定的灵活性，以适应可能发生的功能变化或扩建。可变性原则关注建筑设计的灵活性和可调整性，使得建筑能够适应未来的变化需求。</w:t>
      </w:r>
    </w:p>
    <w:p>
      <w:pPr>
        <w:pStyle w:val="Heading2"/>
        <w:ind w:firstLine="560" w:firstLineChars="200"/>
        <w:rPr>
          <w:rFonts w:ascii="仿宋" w:eastAsia="仿宋" w:hAnsi="仿宋" w:cs="仿宋" w:hint="eastAsia"/>
          <w:sz w:val="28"/>
          <w:lang w:eastAsia="zh-CN"/>
        </w:rPr>
      </w:pPr>
      <w:bookmarkStart w:id="7" w:name="_Toc10596"/>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土建工程设计的年限和安全等级是设计阶段需要明确的重要方面。关于土建工程设计年限和安全等级的一般性说明：</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土建工程设计年限：</w:t>
      </w:r>
    </w:p>
    <w:p>
      <w:pPr>
        <w:ind w:firstLine="560" w:firstLineChars="200"/>
        <w:rPr>
          <w:rFonts w:ascii="仿宋" w:eastAsia="仿宋" w:hAnsi="仿宋" w:cs="仿宋" w:hint="eastAsia"/>
          <w:sz w:val="28"/>
        </w:rPr>
      </w:pPr>
      <w:r>
        <w:rPr>
          <w:rFonts w:ascii="仿宋" w:eastAsia="仿宋" w:hAnsi="仿宋" w:cs="仿宋" w:hint="eastAsia"/>
          <w:sz w:val="28"/>
          <w:lang w:eastAsia="zh-CN"/>
        </w:rPr>
        <w:t>1. 永久性建筑设计： 永久性建筑通常设计为具有长期使用寿命的结构，其设计年限一般为50年以上。这类建筑包括一些基础设施和重要公共建筑，如桥梁、大坝、地铁站等。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中期建筑设计： 中期建筑的设计年限一般在20到50年之间。这包括许多商业建筑、住宅区和一些中等规模的基础设施。设计时考虑到未来可能的功能变化和社会需求。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短期建筑设计： 一些建筑的设计年限较短，一般在10到20年之间。这可能包括一些暂时性建筑、展览馆、临时设施等。设计时更加灵活，适应性强。</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土建工程安全等级：</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土建工程的安全等级涉及到工程的用途、所处环境、人员密集程度等多个因素。一般性的安全等级划分：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1. 特级安全等级： 一些重要的公共建筑、大型交通枢纽、核电站等可能被划分为特级安全等级。对于这类建筑，安全设计和施工要求非常严格，以确保其在各种情况下的安全性。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一级安全等级： 商业建筑、住宅区、普通桥梁等可能被划分为一级安全等级。对于这类建筑，安全要求较高，但相对于特级安全等级会有一定的灵活性。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二级安全等级： 一些较为简单的建筑或非常规工程可能划分为二级安全等级。安全要求相对较低，但仍需符合基本的安全标准。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具体厂用防爆电器项目中，安全等级的划分和设计年限的确定会根据当地法规、工程性质、用途等因素进行详细规定。设计人员需要根据具体情况确保工程在设计和施工阶段符合相应的安全标准和设计年限要求。</w:t>
      </w:r>
    </w:p>
    <w:p>
      <w:pPr>
        <w:pStyle w:val="Heading2"/>
        <w:ind w:firstLine="560" w:firstLineChars="200"/>
        <w:rPr>
          <w:rFonts w:ascii="仿宋" w:eastAsia="仿宋" w:hAnsi="仿宋" w:cs="仿宋" w:hint="eastAsia"/>
          <w:sz w:val="28"/>
          <w:lang w:eastAsia="zh-CN"/>
        </w:rPr>
      </w:pPr>
      <w:bookmarkStart w:id="8" w:name="_Toc27837"/>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确保设计与地区规划相一致，符合当地法规和建设标准。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综合考虑周边环境，与周边建筑和自然景观协调融合。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功能合理性：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确保建筑的功能布局合理，满足业主的实际需求。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考虑建筑的使用性、流程布局和功能空间划分。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3. 结构安全性：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保障建筑结构的安全可靠，满足抗震、抗风等设计标准。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结构设计应适应建筑的高度、荷载和地质条件。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4. 美学设计：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确保建筑外观符合美学要求，融入当地文化和环境。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注意建筑比例、造型、颜色等设计细节，追求良好的视觉效果。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 环境友好性：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采用环保材料，考虑能源利用效率，降低对环境的不良影响。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设计中考虑自然通风、采光和绿化，提高建筑的生态性。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可持续性设计：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考虑建筑的长期可维护性和可操作性。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采用可再生能源、水资源合理利用等可持续设计策略。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控制建筑成本，确保设计在预算范围内。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考虑建筑的生命周期成本，综合考虑初期投资和后期运营费用。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考虑建筑的使用安全性，合理设置紧急疏散通道和安全出口。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采用防火、防盗等相关安全设计措施。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9.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注重建筑内部的人性化设计，提供舒适的室内环境。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考虑人流、人员分布和日常使用的便利性。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10. 技术先进性：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采用先进的建筑技术和工艺，提高建筑的技术含量。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关注新兴科技在建筑设计中的应用，提升建筑的竞争力。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以上总体要求是在建筑工程设计过程中普遍适用的基本原则，具体厂用防爆电器项目中还需根据不同的场景和需求进行详细规划和调整。设计团队需要综合考虑各个方面，确保设计方案能够达到整体的高水平和综合要求。</w:t>
      </w:r>
    </w:p>
    <w:p>
      <w:pPr>
        <w:pStyle w:val="Heading2"/>
        <w:ind w:firstLine="560" w:firstLineChars="200"/>
        <w:rPr>
          <w:rFonts w:ascii="仿宋" w:eastAsia="仿宋" w:hAnsi="仿宋" w:cs="仿宋" w:hint="eastAsia"/>
          <w:sz w:val="28"/>
          <w:lang w:eastAsia="zh-CN"/>
        </w:rPr>
      </w:pPr>
      <w:bookmarkStart w:id="9" w:name="_Toc21830"/>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质量指标：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抗震设防标准： 根据地震区域确定相应的抗震设防标准，确保建筑在地震发生时有足够的抗震能力。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建筑结构强度： 确保建筑结构满足相关的强度标准，能够承受设计荷载。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建筑外墙防水、保温标准： 确保建筑外墙满足防水、保温等标准，提高建筑的使用寿命和舒适性。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进度指标：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总工期： 规定整个土建工程的总工期，确保工程按时完成。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各阶段工期： 划定各个施工阶段的工期，保障施工的有序推进。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工程竣工验收时间： 规定整个工程的竣工验收时间，确保按计划完成。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总投资： 规定土建工程的总投资额，包括建设成本、设备采购、人工费用等。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单位建筑面积造价： 用于评估工程的经济性，确定每平方米建筑面积的建设成本。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工程造价控制： 制定各项费用的控制标准，确保在预算内完成。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 安全指标：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施工安全标准： 规定施工过程中的安全标准，包括作业人员的安全防护、施工场地的安全设施等。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工程建设环境安全： 考虑工程对周边环境的影响，制定相应的环保标准。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建筑材料环保标准： 规定使用的建筑材料应符合环保标准，减少对环境的污染。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施工过程环保措施： 制定在施工过程中采取的环保措施，如减少扬尘、噪音等。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使用寿命和维护指标：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建筑使用寿命： 设定建筑的使用寿命，根据建筑类型和用途确定。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维护成本标准： 制定建筑维护的相关标准，包括定期检查、保养、修缮等。</w:t>
      </w:r>
    </w:p>
    <w:p>
      <w:pPr>
        <w:ind w:firstLine="560" w:firstLineChars="200"/>
        <w:rPr>
          <w:rFonts w:ascii="仿宋" w:eastAsia="仿宋" w:hAnsi="仿宋" w:cs="仿宋" w:hint="eastAsia"/>
          <w:sz w:val="28"/>
        </w:rPr>
      </w:pPr>
      <w:r>
        <w:rPr>
          <w:rFonts w:ascii="仿宋" w:eastAsia="仿宋" w:hAnsi="仿宋" w:cs="仿宋" w:hint="eastAsia"/>
          <w:sz w:val="28"/>
          <w:lang w:eastAsia="zh-CN"/>
        </w:rPr>
        <w:t>7. 设计参数和标准：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建筑结构设计参数： 包括各类结构的设计参数，确保结构合理、安全。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建筑布局设计标准： 规定建筑的布局标准，考虑使用功能、通风、采光等因素。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8. 施工工艺和技术标准：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土建工程施工工艺： 规定土建施工的工艺流程，确保施工的合理性。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施工材料技术标准： 确保使用的施工材料符合相关技术标准，提高工程质量。</w:t>
      </w:r>
    </w:p>
    <w:p>
      <w:pPr>
        <w:pStyle w:val="Heading1"/>
        <w:ind w:firstLine="560" w:firstLineChars="200"/>
        <w:rPr>
          <w:rFonts w:ascii="仿宋" w:eastAsia="仿宋" w:hAnsi="仿宋" w:cs="仿宋" w:hint="eastAsia"/>
          <w:sz w:val="28"/>
          <w:lang w:eastAsia="zh-CN"/>
        </w:rPr>
      </w:pPr>
      <w:bookmarkStart w:id="10" w:name="_Toc20828"/>
      <w:r>
        <w:rPr>
          <w:rFonts w:ascii="仿宋" w:eastAsia="仿宋" w:hAnsi="仿宋" w:cs="仿宋" w:hint="eastAsia"/>
          <w:sz w:val="28"/>
          <w:lang w:eastAsia="zh-CN"/>
        </w:rPr>
        <w:t>三、建设规划</w:t>
      </w:r>
      <w:bookmarkEnd w:id="10"/>
    </w:p>
    <w:p>
      <w:pPr>
        <w:pStyle w:val="Heading2"/>
        <w:rPr>
          <w:rFonts w:ascii="仿宋" w:eastAsia="仿宋" w:hAnsi="仿宋" w:cs="仿宋" w:hint="eastAsia"/>
          <w:lang w:eastAsia="zh-CN"/>
        </w:rPr>
      </w:pPr>
      <w:bookmarkStart w:id="11" w:name="_Toc5045"/>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商业竞争激烈的当今市场，成功的产品规划是企业实现可持续发展的基石。产品规划不仅仅是对产品生命周期的考量，更是对市场、用户需求、技术趋势以及竞争局势的深度分析和综合考虑。从市场调研到技术开发，再到最终的推广营销，每个环节都至关重要，决定了产品在市场中的命运。一场成功的产品规划需要兼顾短期和长期的目标，紧密结合市场动态，确保产品具备持续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市场调研与需求分析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规划的起点是对市场的深入了解和用户需求的精准洞察。市场调研通过数据收集和分析，描绘了目标市场的地形图，帮助企业更好地理解市场规模、趋势和潜在机会。同时，深入的用户需求分析能够为产品设计和开发提供有力指导，确保产品真正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创新与设计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产品的成功往往离不开创新和精良的设计。创新不仅仅是对市场的回应，更是对用户未来需求的预见。通过不断地创新，企业能够在市场中保持领先地位。设计则是产品的外在表现，一个好的设计不仅提高了产品的美观性，更是提升了用户体验，从而形成了产品的差异化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技术开发与研发投入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是产品的核心，而技术开发和研发投入则是产品规划中至关重要的组成部分。通过技术的不断创新，企业可以在竞争中脱颖而出。研发投入不仅包括人力和物力，更需要注重科研成果的应用和实际运用，确保产品在技术上的领先地位，满足市场对高质量产品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生产与供应链管理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一旦产品规划确定，高效的生产和供应链管理是确保产品顺利上市的关键。生产过程的优化和供应链的畅通是产品能否按时交付和维持市场竞争力的决定性因素。建立稳定的供应链网络和精细的生产管理体系，有助于提高生产效率、降低成本，确保产品的质量和及时交付。</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营销与推广策略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规划的成功不仅仅在于产品本身，还需要通过有效的营销和推广策略将产品引入市场。品牌定位、渠道选择、广告宣传等环节需要深思熟虑。通过巧妙的市场推广，企业能够提高产品的知名度和美誉度，吸引更多目标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市场反馈与持续改进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产品上市后，与市场的互动成为产品规划中的一个重要环节。通过市场反馈、用户体验和销售数据的持续监测，企业能够不断优化产品，适应市场变化，提高产品的竞争力。持续改进是产品规划的保障，确保产品始终符合市场和用户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调研的深入了解，创新和设计的巧妙运用，技术开发和研发投入的不懈努力，生产和供应链管理的高效运作，以及营销与推广策略的巧妙运用，产品规划能够更好地适应市场的需求，确保产品在竞争激烈的市场中立于不败之地。</w:t>
      </w:r>
    </w:p>
    <w:p>
      <w:pPr>
        <w:pStyle w:val="Heading2"/>
        <w:ind w:firstLine="560" w:firstLineChars="200"/>
        <w:rPr>
          <w:rFonts w:ascii="仿宋" w:eastAsia="仿宋" w:hAnsi="仿宋" w:cs="仿宋" w:hint="eastAsia"/>
          <w:sz w:val="28"/>
          <w:lang w:eastAsia="zh-CN"/>
        </w:rPr>
      </w:pPr>
      <w:bookmarkStart w:id="12" w:name="_Toc25038"/>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厂用防爆电器项目总征地面积XXXX平方米（折合约XX亩），其中：净用地面积XXXX平方米（红线范围折合约XX亩）。厂用防爆电器项目规划总建筑面积XXXX平方米，其中规划建设主体工程XXXX平方米，计容建筑面积XXXX平方米。预计建筑工程投资XXXX万元，这包括了基础设施建设、园区绿化等多个方面的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厂用防爆电器项目所占用的地面积充分考虑了红线范围，确保了厂用防爆电器项目的合规性和可持续发展。规划建设主体工程和计容建筑面积的设定旨在满足厂用防爆电器项目的生产和办公需求，为企业提供充足的工作空间。预计的建筑工程投资将用于厂用防爆电器项目的基础设施建设，为厂用防爆电器项目的未来发展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厂用防爆电器项目计划购置设备共计XX台（套），设备购置费XXXX万元。这些设备涵盖了生产、研发和办公等多个领域，包括先进的生产设备、办公设备和实验室设备等。设备购置费用的投入将确保厂用防爆电器项目具备先进的生产技术和高效的办公环境，提高企业的生产效率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厂用防爆电器项目计划总投资XXXX万元，预计年实现营业收入XXXX万元。这一部分涵盖了整个厂用防爆电器项目的经济规模和财务计划。总投资将用于厂用防爆电器项目的建设、设备购置、人才引进等多个方面，确保厂用防爆电器项目的全面发展。预计年实现的营业收入则是对厂用防爆电器项目盈利能力的预估，考虑了市场需求、销售计划等多个因素。</w:t>
      </w:r>
    </w:p>
    <w:p>
      <w:pPr>
        <w:pStyle w:val="Heading1"/>
        <w:ind w:firstLine="560" w:firstLineChars="200"/>
        <w:rPr>
          <w:rFonts w:ascii="仿宋" w:eastAsia="仿宋" w:hAnsi="仿宋" w:cs="仿宋" w:hint="eastAsia"/>
          <w:sz w:val="28"/>
          <w:lang w:eastAsia="zh-CN"/>
        </w:rPr>
      </w:pPr>
      <w:bookmarkStart w:id="13" w:name="_Toc19785"/>
      <w:r>
        <w:rPr>
          <w:rFonts w:ascii="仿宋" w:eastAsia="仿宋" w:hAnsi="仿宋" w:cs="仿宋" w:hint="eastAsia"/>
          <w:sz w:val="28"/>
          <w:lang w:eastAsia="zh-CN"/>
        </w:rPr>
        <w:t>四、厂用防爆电器项目环境保护分析</w:t>
      </w:r>
      <w:bookmarkEnd w:id="13"/>
    </w:p>
    <w:p>
      <w:pPr>
        <w:pStyle w:val="Heading2"/>
        <w:rPr>
          <w:rFonts w:ascii="仿宋" w:eastAsia="仿宋" w:hAnsi="仿宋" w:cs="仿宋" w:hint="eastAsia"/>
          <w:lang w:eastAsia="zh-CN"/>
        </w:rPr>
      </w:pPr>
      <w:bookmarkStart w:id="14" w:name="_Toc2550"/>
      <w:r>
        <w:rPr>
          <w:rFonts w:ascii="仿宋" w:eastAsia="仿宋" w:hAnsi="仿宋" w:cs="仿宋" w:hint="eastAsia"/>
          <w:lang w:eastAsia="zh-CN"/>
        </w:rPr>
        <w:t>(一)、建设区域环境质量现状</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大气环境：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大气环境质量主要受附近工业、交通和自然条件等多方面影响。通过监测数据显示，空气中的颗粒物和氮氧化物浓度可能存在一定程度的超标现象，尤其是在高峰期。此外，气象条件也对空气质量产生一定影响，需要更详细的气象数据来深入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水质状况：</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建设区域水质状况受附近水体的排放和自然水质条件等多方面因素影响。当前水体可能存在一些化学污染物的浓度略有波动，但整体水质维持在可接受范围内。然而，需要注意的是水体富营养化现象可能存在，需要更深入的水质监测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对建设区域土壤的调查显示，土壤质量可能受到历史工业活动和农业实践的影响。部分土壤可能存在轻微的污染，需要进一步的土壤采样和化验来准确评估土壤中可能存在的污染物。</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建设区域的生态环境主要由植被覆盖、动植物种类和生态系统的完整性等因素构成。当前生态环境可能面临一定的压力，特别是在城市化进程中，需要关注城市绿化和保护自然生态系统的措施。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5. 噪音与振动：</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建设区域的噪音和振动水平受到交通、工业和城市建设活动的影响。可能存在一定程度的噪音超标，尤其是在交通繁忙的区域。需要继续监测和评估这些影响，制定相应的噪音控制措施。</w:t>
      </w:r>
    </w:p>
    <w:p>
      <w:pPr>
        <w:pStyle w:val="Heading2"/>
        <w:ind w:firstLine="560" w:firstLineChars="200"/>
        <w:rPr>
          <w:rFonts w:ascii="仿宋" w:eastAsia="仿宋" w:hAnsi="仿宋" w:cs="仿宋" w:hint="eastAsia"/>
          <w:sz w:val="28"/>
          <w:lang w:eastAsia="zh-CN"/>
        </w:rPr>
      </w:pPr>
      <w:bookmarkStart w:id="15" w:name="_Toc5439"/>
      <w:r>
        <w:rPr>
          <w:rFonts w:ascii="仿宋" w:eastAsia="仿宋" w:hAnsi="仿宋" w:cs="仿宋" w:hint="eastAsia"/>
          <w:sz w:val="28"/>
          <w:lang w:eastAsia="zh-CN"/>
        </w:rPr>
        <w:t>(二)、建设期环境保护</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水土保持：</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在施工阶段，需要实施有效的水土保持措施，以防止因工程活动引起的水土流失和土壤侵蚀。这包括合理的植被覆盖、设立沉淀池、设置防护网等，以最大程度地保护土地资源。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施工废弃物管理：</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合理管理施工期间产生的废弃物是环境保护的重要一环。采用分类收集、减量化处理和循环利用的方法，最小化废弃物对环境的影响，确保废弃物处理符合环保法规。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噪音与振动控制：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在建设期，噪音和振动是可能对周边居民和生态环境造成干扰的因素。采用低噪音设备、限制施工时间、设置隔音屏障等措施，有效降低工程活动对周边噪音环境的负面影响。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污染物排放控制：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厂用防爆电器项目建设过程中可能伴随一些排放物，如扬尘、废水等。通过采用封闭施工、喷淋降尘、设立沉淀池等方法，最小化污染物的排放，确保符合环境标准。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5. 自然生态保护：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在施工期，需要尽量减少对自然生态的破坏。设立施工限制区，合理划定施工边界，确保对周边自然生态系统的影响降至最低。</w:t>
      </w:r>
    </w:p>
    <w:p>
      <w:pPr>
        <w:ind w:firstLine="560" w:firstLineChars="200"/>
        <w:rPr>
          <w:rFonts w:ascii="仿宋" w:eastAsia="仿宋" w:hAnsi="仿宋" w:cs="仿宋" w:hint="eastAsia"/>
          <w:sz w:val="28"/>
        </w:rPr>
      </w:pPr>
      <w:r>
        <w:rPr>
          <w:rFonts w:ascii="仿宋" w:eastAsia="仿宋" w:hAnsi="仿宋" w:cs="仿宋" w:hint="eastAsia"/>
          <w:sz w:val="28"/>
          <w:lang w:eastAsia="zh-CN"/>
        </w:rPr>
        <w:t>6. 安全监测与应急预案：</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建设期间需要建立全面的安全监测体系和应急预案，及时应对可能发生的环境安全事故，最小化事故对环境的负面影响。</w:t>
      </w:r>
    </w:p>
    <w:p>
      <w:pPr>
        <w:pStyle w:val="Heading2"/>
        <w:ind w:firstLine="560" w:firstLineChars="200"/>
        <w:rPr>
          <w:rFonts w:ascii="仿宋" w:eastAsia="仿宋" w:hAnsi="仿宋" w:cs="仿宋" w:hint="eastAsia"/>
          <w:sz w:val="28"/>
          <w:lang w:eastAsia="zh-CN"/>
        </w:rPr>
      </w:pPr>
      <w:bookmarkStart w:id="16" w:name="_Toc13157"/>
      <w:r>
        <w:rPr>
          <w:rFonts w:ascii="仿宋" w:eastAsia="仿宋" w:hAnsi="仿宋" w:cs="仿宋" w:hint="eastAsia"/>
          <w:sz w:val="28"/>
          <w:lang w:eastAsia="zh-CN"/>
        </w:rPr>
        <w:t>(三)、运营期环境保护</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污染物排放监测：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在运营期，需要建立完善的污染物排放监测体系，实时监测大气、水体、土壤等环境中的污染物浓度。这有助于及时发现和解决潜在的排放问题，确保排放符合环境标准。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废物管理与资源循环利用：</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持续推进废物管理，采用分类收集、减量化处理和资源循环利用的方法，最小化废物对环境的影响。建立废物清理和处置的规范流程，确保符合环保法规。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节能减排：</w:t>
      </w:r>
    </w:p>
    <w:p>
      <w:pPr>
        <w:ind w:firstLine="560" w:firstLineChars="200"/>
        <w:rPr>
          <w:rFonts w:ascii="仿宋" w:eastAsia="仿宋" w:hAnsi="仿宋" w:cs="仿宋" w:hint="eastAsia"/>
          <w:sz w:val="28"/>
        </w:rPr>
      </w:pPr>
      <w:r>
        <w:rPr>
          <w:rFonts w:ascii="仿宋" w:eastAsia="仿宋" w:hAnsi="仿宋" w:cs="仿宋" w:hint="eastAsia"/>
          <w:sz w:val="28"/>
          <w:lang w:eastAsia="zh-CN"/>
        </w:rPr>
        <w:t>采取节能减排措施，提高设备和工艺的能效。通过技术升级、设备优化等手段，减少能源消耗和温室气体排放，提高厂用防爆电器项目的环保效益。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自然生态保护：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在运营期，仍需保持对自然生态的关注。继续划定保护区域，加强对植被、动植物等生态要素的监测和保护，确保厂用防爆电器项目运营对生态系统的影响最小化。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5. 治理污染源：</w:t>
      </w:r>
    </w:p>
    <w:p>
      <w:pPr>
        <w:ind w:firstLine="560" w:firstLineChars="200"/>
        <w:rPr>
          <w:rFonts w:ascii="仿宋" w:eastAsia="仿宋" w:hAnsi="仿宋" w:cs="仿宋" w:hint="eastAsia"/>
          <w:sz w:val="28"/>
        </w:rPr>
      </w:pPr>
      <w:r>
        <w:rPr>
          <w:rFonts w:ascii="仿宋" w:eastAsia="仿宋" w:hAnsi="仿宋" w:cs="仿宋" w:hint="eastAsia"/>
          <w:sz w:val="28"/>
          <w:lang w:eastAsia="zh-CN"/>
        </w:rPr>
        <w:t>对可能存在的污染源进行定期检查和治理，确保设备和工艺的正常运行，减少污染物的产生。建立清晰的责任体系，确保治理工作的持续有效性。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社区环境管理：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加强与周边社区的沟通，建立环境管理沟通渠道。及时响应社区的环境反馈，保障周边居民的环境权益，提高厂用防爆电器项目在社区的社会责任感。</w:t>
      </w:r>
    </w:p>
    <w:p>
      <w:pPr>
        <w:pStyle w:val="Heading2"/>
        <w:ind w:firstLine="560" w:firstLineChars="200"/>
        <w:rPr>
          <w:rFonts w:ascii="仿宋" w:eastAsia="仿宋" w:hAnsi="仿宋" w:cs="仿宋" w:hint="eastAsia"/>
          <w:sz w:val="28"/>
          <w:lang w:eastAsia="zh-CN"/>
        </w:rPr>
      </w:pPr>
      <w:bookmarkStart w:id="17" w:name="_Toc19749"/>
      <w:r>
        <w:rPr>
          <w:rFonts w:ascii="仿宋" w:eastAsia="仿宋" w:hAnsi="仿宋" w:cs="仿宋" w:hint="eastAsia"/>
          <w:sz w:val="28"/>
          <w:lang w:eastAsia="zh-CN"/>
        </w:rPr>
        <w:t>(四)、厂用防爆电器项目建设对区域经济的影响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就业机会提升：</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厂用防爆电器项目建设通常伴随着大量的劳动力需求，从建筑工人到专业技术人才，涵盖多个领域。这将提供大量就业机会，减缓区域就业压力，提高居民的收入水平。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2. 投资增长：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厂用防爆电器项目建设通常需要大量资金投入，这将直接刺激区域内的投资增长。投资的流入可能不仅来自企业本身，还可能吸引其他相关产业的投资，推动区域经济的全面发展。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增加税收收入：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随着厂用防爆电器项目建设的进行，产生的税收也会相应增加。企业、从业人员以及相关产业的税收贡献将成为区域财政的重要来源，用于支持公共服务和基础设施建设。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4. 产业结构优化：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某些厂用防爆电器项目建设可能会引入新的产业，推动区域产业结构的优化。新兴产业的引入可能促使区域实现产业升级，提高整体经济的竞争力。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基础设施建设：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厂用防爆电器项目建设通常需要相应的基础设施支持，如道路、桥梁、水电站等。这不仅提升了区域基础设施水平，也为未来的经济发展创造了更好的条件。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6. 增加商业活动：</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厂用防爆电器项目建设将吸引更多的商业活动，如酒店、餐饮、零售等，以满足厂用防爆电器项目工程和员工的需求。这将推动商业活动的增长，促进区域内商业环境的繁荣。</w:t>
      </w:r>
    </w:p>
    <w:p>
      <w:pPr>
        <w:ind w:firstLine="560" w:firstLineChars="200"/>
        <w:rPr>
          <w:rFonts w:ascii="仿宋" w:eastAsia="仿宋" w:hAnsi="仿宋" w:cs="仿宋" w:hint="eastAsia"/>
          <w:sz w:val="28"/>
        </w:rPr>
      </w:pPr>
      <w:r>
        <w:rPr>
          <w:rFonts w:ascii="仿宋" w:eastAsia="仿宋" w:hAnsi="仿宋" w:cs="仿宋" w:hint="eastAsia"/>
          <w:sz w:val="28"/>
          <w:lang w:eastAsia="zh-CN"/>
        </w:rPr>
        <w:t>7. 土地价值提升：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随着厂用防爆电器项目建设的完成，周边土地价值可能会提升。这对于地方政府和地产开发商来说是一种潜在的经济利好，有助于进一步吸引投资。</w:t>
      </w:r>
    </w:p>
    <w:p>
      <w:pPr>
        <w:pStyle w:val="Heading2"/>
        <w:ind w:firstLine="560" w:firstLineChars="200"/>
        <w:rPr>
          <w:rFonts w:ascii="仿宋" w:eastAsia="仿宋" w:hAnsi="仿宋" w:cs="仿宋" w:hint="eastAsia"/>
          <w:sz w:val="28"/>
          <w:lang w:eastAsia="zh-CN"/>
        </w:rPr>
      </w:pPr>
      <w:bookmarkStart w:id="18" w:name="_Toc18109"/>
      <w:r>
        <w:rPr>
          <w:rFonts w:ascii="仿宋" w:eastAsia="仿宋" w:hAnsi="仿宋" w:cs="仿宋" w:hint="eastAsia"/>
          <w:sz w:val="28"/>
          <w:lang w:eastAsia="zh-CN"/>
        </w:rPr>
        <w:t>(五)、废弃物处理</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废弃物处理是任何厂用防爆电器项目建设和运营过程中都必须认真考虑和有效实施的关键环节。废弃物包括建设废弃物、生产废弃物等，如果不得当处理可能对环境和人类健康造成负面影响。因此，科学合理的废弃物处理策略成为确保厂用防爆电器项目可持续发展的不可或缺的一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1. 废弃物分类与收集</w:t>
      </w:r>
    </w:p>
    <w:p>
      <w:pPr>
        <w:ind w:firstLine="560" w:firstLineChars="200"/>
        <w:rPr>
          <w:rFonts w:ascii="仿宋" w:eastAsia="仿宋" w:hAnsi="仿宋" w:cs="仿宋" w:hint="eastAsia"/>
          <w:sz w:val="28"/>
        </w:rPr>
      </w:pPr>
      <w:r>
        <w:rPr>
          <w:rFonts w:ascii="仿宋" w:eastAsia="仿宋" w:hAnsi="仿宋" w:cs="仿宋" w:hint="eastAsia"/>
          <w:sz w:val="28"/>
          <w:lang w:eastAsia="zh-CN"/>
        </w:rPr>
        <w:t>废弃物的分类是废弃物管理的首要步骤。通过对不同类型的废弃物进行有效分类，可以更好地采取相应的处理方式。这包括建筑废弃物、生活垃圾、危险废物等。在废弃物分类的基础上，建立相应的收集系统，确保废弃物能够被有序地收集起来，不同类型的废弃物得到合适的处理。</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厂用防爆电器项目阶段，建筑废弃物是一个不可忽视的方面。通过在施工现场设置分类垃圾箱，鼓励工人按照废弃物的性质进行分类投放。对于生产废弃物，也需要建立合理的收集系统，确保废弃物不会随意丢弃，降低对周边环境的负面影响。</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2. 废弃物处理技术与设施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选择适当的废弃物处理技术和设施对于有效处理废弃物至关重要。常见的废弃物处理技术包括焚烧、填埋、物理化学处理等。具体的选择取决于废弃物的性质、数量和环境政策法规。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厂用防爆电器项目中，建议采用可回收物资的再利用技术，减少对原材料的需求。对于生产废弃物，应优先考虑采用环保型处理技术，最大限度地减少对环境的负面影响。危险废弃物需要采取专门的处理措施，确保其不对环境和人体健康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废弃物监测与法规遵循</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废弃物处理过程中，监测是确保废弃物得到妥善处理的重要手段。通过建立监测系统，对废弃物的产生、收集、处理等环节进行实时监控，及时发现问题并采取相应的纠正措施。监测还有助于评估废弃物处理效果，确保废弃物处理符合环境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同时，废弃物处理必须遵循相关的法规和政策。在建设和运营过程中，确保废弃物处理符合国家和地方的环保法规，以免因不当处理引发法律问题。</w:t>
      </w:r>
    </w:p>
    <w:p>
      <w:pPr>
        <w:pStyle w:val="Heading2"/>
        <w:ind w:firstLine="560" w:firstLineChars="200"/>
        <w:rPr>
          <w:rFonts w:ascii="仿宋" w:eastAsia="仿宋" w:hAnsi="仿宋" w:cs="仿宋" w:hint="eastAsia"/>
          <w:sz w:val="28"/>
          <w:lang w:eastAsia="zh-CN"/>
        </w:rPr>
      </w:pPr>
      <w:bookmarkStart w:id="19" w:name="_Toc23321"/>
      <w:r>
        <w:rPr>
          <w:rFonts w:ascii="仿宋" w:eastAsia="仿宋" w:hAnsi="仿宋" w:cs="仿宋" w:hint="eastAsia"/>
          <w:sz w:val="28"/>
          <w:lang w:eastAsia="zh-CN"/>
        </w:rPr>
        <w:t>(六)、特殊环境影响分析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生态环境影响分析：</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厂用防爆电器项目可能对周边生态系统产生直接或间接的影响。这包括植被覆盖、动植物栖息地、生态平衡等方面。生态环境影响分析需要全面考虑厂用防爆电器项目可能引起的生态破坏，以及采取的措施来保护和修复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水体影响分析：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厂用防爆电器项目可能涉及的水体，需要分析厂用防爆电器项目对水体质量、水文地质条件和水生态系统的潜在影响。这可能包括水体污染、水流变化、对水生物的影响等。合理的水体管理方案和环境保护措施将成为必要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3. 大气环境影响分析：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特殊的地理位置或气象条件可能使厂用防爆电器项目对大气环境产生更为显著的影响。分析厂用防爆电器项目可能引起的空气污染、气象条件变化等情况，制定减排方案和适应性措施，以保护大气环境的质量。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社会文化影响分析：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某些情况下，厂用防爆电器项目可能对当地社会文化产生特殊的影响。这包括对当地社区结构、文化传统、居民生活方式等方面的可能影响。社会文化影响分析需要在厂用防爆电器项目实施前进行广泛的社会调查，确保厂用防爆电器项目不会对当地社会造成不可逆的破坏。</w:t>
      </w:r>
    </w:p>
    <w:p>
      <w:pPr>
        <w:ind w:firstLine="560" w:firstLineChars="200"/>
        <w:rPr>
          <w:rFonts w:ascii="仿宋" w:eastAsia="仿宋" w:hAnsi="仿宋" w:cs="仿宋" w:hint="eastAsia"/>
          <w:sz w:val="28"/>
        </w:rPr>
      </w:pPr>
      <w:r>
        <w:rPr>
          <w:rFonts w:ascii="仿宋" w:eastAsia="仿宋" w:hAnsi="仿宋" w:cs="仿宋" w:hint="eastAsia"/>
          <w:sz w:val="28"/>
          <w:lang w:eastAsia="zh-CN"/>
        </w:rPr>
        <w:t>5. 土地利用影响分析：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厂用防爆电器项目可能涉及的土地利用变化需要进行详细分析。这包括土地覆盖类型的改变、土地资源的可持续利用等方面。特别是在涉及到农业用地或自然保护区等特殊土地类型时，需要谨慎评估可能的影响。</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6. 噪音与振动影响分析：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一些厂用防爆电器项目可能在特殊环境中引起噪音或振动污染。在特殊环境影响分析中，需要详细评估厂用防爆电器项目可能引起的噪音水平和振动强度，并提出相应的控制和减缓措施。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特殊环境影响分析是厂用防爆电器项目环境影响评价的关键部分，通过充分了解和评估厂用防爆电器项目可能的特殊环境影响，可以制定出更加科学和可持续的厂用防爆电器项目实施方案。</w:t>
      </w:r>
    </w:p>
    <w:p>
      <w:pPr>
        <w:pStyle w:val="Heading2"/>
        <w:ind w:firstLine="560" w:firstLineChars="200"/>
        <w:rPr>
          <w:rFonts w:ascii="仿宋" w:eastAsia="仿宋" w:hAnsi="仿宋" w:cs="仿宋" w:hint="eastAsia"/>
          <w:sz w:val="28"/>
          <w:lang w:eastAsia="zh-CN"/>
        </w:rPr>
      </w:pPr>
      <w:bookmarkStart w:id="20" w:name="_Toc22924"/>
      <w:r>
        <w:rPr>
          <w:rFonts w:ascii="仿宋" w:eastAsia="仿宋" w:hAnsi="仿宋" w:cs="仿宋" w:hint="eastAsia"/>
          <w:sz w:val="28"/>
          <w:lang w:eastAsia="zh-CN"/>
        </w:rPr>
        <w:t>(七)、清洁生产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资源有效利用：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注重最大限度地提高资源的利用效率。通过采用先进的生产技术和工艺，减少原材料的使用，实现对资源的有效管理。循环经济理念在清洁生产中扮演着重要角色，通过回收再利用废弃物和副产品，最大程度地减少资源浪费。</w:t>
      </w:r>
    </w:p>
    <w:p>
      <w:pPr>
        <w:ind w:firstLine="560" w:firstLineChars="200"/>
        <w:rPr>
          <w:rFonts w:ascii="仿宋" w:eastAsia="仿宋" w:hAnsi="仿宋" w:cs="仿宋" w:hint="eastAsia"/>
          <w:sz w:val="28"/>
        </w:rPr>
      </w:pPr>
      <w:r>
        <w:rPr>
          <w:rFonts w:ascii="仿宋" w:eastAsia="仿宋" w:hAnsi="仿宋" w:cs="仿宋" w:hint="eastAsia"/>
          <w:sz w:val="28"/>
          <w:lang w:eastAsia="zh-CN"/>
        </w:rPr>
        <w:t>2. 减少环境污染：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的核心目标之一是减少对环境的负面影响。通过采用低污染的生产技术，降低废物排放和有害物质的生成，实现对环境的保护。生产过程中，优先选择绿色、环保的原材料和生产方法，以减缓对生态系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节约能源：</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清洁生产着力降低能源消耗，通过优化生产流程、使用高效设备和采用新能源等手段，实现能源的有效利用。减少对非可再生能源的依赖，促进可持续能源的应用。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创新技术应用：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清洁生产鼓励创新技术的应用，采用先进的、环保的生产技术。通过研发和引进新技术，不断提高生产效率，减少对环境的负面影响。这包括数字化生产、智能制造等现代化技术手段。</w:t>
      </w:r>
    </w:p>
    <w:p>
      <w:pPr>
        <w:ind w:firstLine="560" w:firstLineChars="200"/>
        <w:rPr>
          <w:rFonts w:ascii="仿宋" w:eastAsia="仿宋" w:hAnsi="仿宋" w:cs="仿宋" w:hint="eastAsia"/>
          <w:sz w:val="28"/>
        </w:rPr>
      </w:pPr>
      <w:r>
        <w:rPr>
          <w:rFonts w:ascii="仿宋" w:eastAsia="仿宋" w:hAnsi="仿宋" w:cs="仿宋" w:hint="eastAsia"/>
          <w:sz w:val="28"/>
          <w:lang w:eastAsia="zh-CN"/>
        </w:rPr>
        <w:t>5. 生命周期分析：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清洁生产要求进行全面的生命周期分析，评估产品从原材料采购到生产、使用、再到废弃的整个过程中对环境的影响。这有助于全面了解产品的环境足迹，从而提出改进措施。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6. 培养清洁生产意识：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清洁生产不仅仅是一种技术手段，更是一种生产文化和理念。培养企业和员工对清洁生产的意识，倡导绿色生产方式，有助于在组织内部建立可持续发展的理念。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7. 法规遵循：</w:t>
      </w:r>
    </w:p>
    <w:p>
      <w:pPr>
        <w:ind w:firstLine="560" w:firstLineChars="200"/>
        <w:rPr>
          <w:rFonts w:ascii="仿宋" w:eastAsia="仿宋" w:hAnsi="仿宋" w:cs="仿宋" w:hint="eastAsia"/>
          <w:sz w:val="28"/>
        </w:rPr>
      </w:pPr>
      <w:r>
        <w:rPr>
          <w:rFonts w:ascii="仿宋" w:eastAsia="仿宋" w:hAnsi="仿宋" w:cs="仿宋" w:hint="eastAsia"/>
          <w:sz w:val="28"/>
          <w:lang w:eastAsia="zh-CN"/>
        </w:rPr>
        <w:t>清洁生产需要符合相关的法规和标准，确保生产活动在法律框架内进行。遵循法规不仅是对环境的保护，也是企业社会责任的体现。</w:t>
      </w:r>
    </w:p>
    <w:p>
      <w:pPr>
        <w:pStyle w:val="Heading2"/>
        <w:ind w:firstLine="560" w:firstLineChars="200"/>
        <w:rPr>
          <w:rFonts w:ascii="仿宋" w:eastAsia="仿宋" w:hAnsi="仿宋" w:cs="仿宋" w:hint="eastAsia"/>
          <w:sz w:val="28"/>
          <w:lang w:eastAsia="zh-CN"/>
        </w:rPr>
      </w:pPr>
      <w:bookmarkStart w:id="21" w:name="_Toc11983"/>
      <w:r>
        <w:rPr>
          <w:rFonts w:ascii="仿宋" w:eastAsia="仿宋" w:hAnsi="仿宋" w:cs="仿宋" w:hint="eastAsia"/>
          <w:sz w:val="28"/>
          <w:lang w:eastAsia="zh-CN"/>
        </w:rPr>
        <w:t>(八)、环境保护综合评价</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环境保护综合评价是对厂用防爆电器项目、企业或活动在环保方面综合表现的评估。这种评价综合考虑了对自然环境、生态系统、空气、水体等的影响，以及对环保法规和标准的遵守程度。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的第一步是对厂用防爆电器项目或活动的环境影响进行评估。这包括对空气质量、水质、土壤质量、生态系统等方面的影响进行科学分析。通过各种监测和模拟手段，全面了解厂用防爆电器项目可能引起的环境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废弃物管理：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评价厂用防爆电器项目的废弃物管理情况，包括废弃物的分类、收集、处理和处置。清晰的废弃物管理计划对于降低对环境的负担至关重要。合规处理和减少废弃物对生态系统和人类健康的影响是综合评价的重要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水资源管理：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评估厂用防爆电器项目对水资源的利用和管理情况，包括对水体的取水、排放和水质保护。特别关注是否存在过度取水、水质污染等问题，以及采取的补救和改进措施。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4. 大气排放控制：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分析厂用防爆电器项目的大气排放情况，包括对大气污染物的排放、空气质量的影响等。评估厂用防爆电器项目是否采取有效的减排措施，以保护大气环境质量。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5. 能源效益评估：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综合评价厂用防爆电器项目的能源效益，包括能源的使用效率、可再生能源的应用情况等。推动清洁能源的使用，提高能源效益是环境保护的重要方向。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6. 法规遵从与合规性：</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评估厂用防爆电器项目是否遵守国家和地方的环境保护法规和标准。合规性是一个企业或厂用防爆电器项目在环境保护方面的基本要求，对于环保综合评价至关重要。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环境保护投入：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评价厂用防爆电器项目在环境保护方面的投入，包括环境监测、治理设施建设、环保培训等方面的支出。这反映了企业对环保责任的认识和履行。</w:t>
      </w:r>
    </w:p>
    <w:p>
      <w:pPr>
        <w:ind w:firstLine="560" w:firstLineChars="200"/>
        <w:rPr>
          <w:rFonts w:ascii="仿宋" w:eastAsia="仿宋" w:hAnsi="仿宋" w:cs="仿宋" w:hint="eastAsia"/>
          <w:sz w:val="28"/>
        </w:rPr>
      </w:pPr>
      <w:r>
        <w:rPr>
          <w:rFonts w:ascii="仿宋" w:eastAsia="仿宋" w:hAnsi="仿宋" w:cs="仿宋" w:hint="eastAsia"/>
          <w:sz w:val="28"/>
          <w:lang w:eastAsia="zh-CN"/>
        </w:rPr>
        <w:t>8. 社会责任与公众参与：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考察厂用防爆电器项目对社会的责任感和公众参与程度。是否建立了有效的沟通机制，是否主动回应社会关切，这些都是综合评价的一部分。</w:t>
      </w:r>
    </w:p>
    <w:p>
      <w:pPr>
        <w:pStyle w:val="Heading1"/>
        <w:ind w:firstLine="560" w:firstLineChars="200"/>
        <w:rPr>
          <w:rFonts w:ascii="仿宋" w:eastAsia="仿宋" w:hAnsi="仿宋" w:cs="仿宋" w:hint="eastAsia"/>
          <w:sz w:val="28"/>
          <w:lang w:eastAsia="zh-CN"/>
        </w:rPr>
      </w:pPr>
      <w:bookmarkStart w:id="22" w:name="_Toc29603"/>
      <w:r>
        <w:rPr>
          <w:rFonts w:ascii="仿宋" w:eastAsia="仿宋" w:hAnsi="仿宋" w:cs="仿宋" w:hint="eastAsia"/>
          <w:sz w:val="28"/>
          <w:lang w:eastAsia="zh-CN"/>
        </w:rPr>
        <w:t>五、知识管理与技术创新</w:t>
      </w:r>
      <w:bookmarkEnd w:id="22"/>
    </w:p>
    <w:p>
      <w:pPr>
        <w:pStyle w:val="Heading2"/>
        <w:rPr>
          <w:rFonts w:ascii="仿宋" w:eastAsia="仿宋" w:hAnsi="仿宋" w:cs="仿宋" w:hint="eastAsia"/>
          <w:lang w:eastAsia="zh-CN"/>
        </w:rPr>
      </w:pPr>
      <w:bookmarkStart w:id="23" w:name="_Toc29690"/>
      <w:r>
        <w:rPr>
          <w:rFonts w:ascii="仿宋" w:eastAsia="仿宋" w:hAnsi="仿宋" w:cs="仿宋" w:hint="eastAsia"/>
          <w:lang w:eastAsia="zh-CN"/>
        </w:rPr>
        <w:t>(一)、知识管理体系建设</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当前，企业和组织面临着巨大的信息涌入，要素多样的环境。在这种情况下，建立一套完善的知识管理体系变得至关重要，以确保组织能够高效地获取、共享和利用知识资源，提高竞争力和创新能力。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人员培训</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构建一个有效的知识管理体系，首先需要对组织内的员工进行全面的培训。培训内容应包括如何使用知识管理工具，如何有效地协作和共享信息，以及如何利用数据分析工具提炼有用的见解。通过这样的培训，员工能够更好地适应知识管理体系的运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体系的建设离不开先进的技术支持。组织需要投资于强大的知识管理软件和平台，确保能够有效地组织和存储各种形式的知识。这些系统应当具备直观友好的用户界面，强大的搜索和分类功能，以及能够集成其他业务工具的能力。技术支持还包括对系统的及时更新和维护，以适应不断变化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文化转变</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的成功需要组织内部的文化得到转变，使知识共享成为一种日常习惯。领导层在这个过程中起到了关键的引导作用。他们需要倡导开放、透明的沟通文化，鼓励员工分享自己的经验和见解。此外，奖励制度和认可机制也应当调整，以更好地激励员工参与知识分享和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知识安全与隐私保护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知识管理体系建设中，保护知识的安全性和员工隐私是至关重要的。组织需要采取适当的措施，包括制定权限管理策略、加密敏感信息、并建立监控机制以及定期的安全审查。明确的知识管理政策能够帮助员工了解在知识共享和利用方面的规范，降低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效果评估与持续改进</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立知识管理体系是一个漫长而渐进的过程，其效果需要不断评估和改进。组织应当建立一套科学的评估指标，包括知识流动速度、员工满意度、创新效果等方面。通过数据分析和员工反馈，及时发现问题并进行调整，保持知识管理体系的活力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体系的建设需要全面考虑人员培训、技术支持、文化转变、知识安全与隐私保护以及效果评估与持续改进等多个方面。只有这样，组织才能够构建出一个真正健全、高效的知识管理体系，为未来的发展提供强有力的支持。在充满挑战的商业环境中，拥有强大的知识管理体系将成为组织持续创新和成功的重要保障。</w:t>
      </w:r>
    </w:p>
    <w:p>
      <w:pPr>
        <w:pStyle w:val="Heading2"/>
        <w:ind w:firstLine="560" w:firstLineChars="200"/>
        <w:rPr>
          <w:rFonts w:ascii="仿宋" w:eastAsia="仿宋" w:hAnsi="仿宋" w:cs="仿宋" w:hint="eastAsia"/>
          <w:sz w:val="28"/>
          <w:lang w:eastAsia="zh-CN"/>
        </w:rPr>
      </w:pPr>
      <w:bookmarkStart w:id="24" w:name="_Toc28785"/>
      <w:r>
        <w:rPr>
          <w:rFonts w:ascii="仿宋" w:eastAsia="仿宋" w:hAnsi="仿宋" w:cs="仿宋" w:hint="eastAsia"/>
          <w:sz w:val="28"/>
          <w:lang w:eastAsia="zh-CN"/>
        </w:rPr>
        <w:t>(二)、技术创新与研发投入</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技术创新和研发投入是企业在竞争激烈的市场中保持竞争优势和实现长期可持续发展的关键要素。在科技不断进步的时代，企业需要不断引入新技术、提升产品和服务的创新水平，以满足市场需求并应对变化。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研发投入的重要性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是企业实现技术创新的主要手段之一。通过增加在研发领域的投资，企业能够获得更多的技术资源、人才和设备，推动科技水平的提升。这不仅有助于产品和服务的创新，还能够提高生产效率，降低成本，并在市场上赢得更大的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技术团队的建设</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建设高效的技术团队是实现技术创新的基础。企业需要吸引并留住高素质的研发人才，通过培训和激励机制激发团队创造力。同时，鼓励跨学科的合作和知识分享，打破部门之间的壁垒，促进全员参与创新的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市场导向的研发策略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研发投入能够创造出有市场竞争力的产品和服务，企业需要采取市场导向的研发策略。这包括对市场需求和趋势的敏感性，与客户保持紧密的合作关系，及时调整研发方向，确保研发的成果能够满足市场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合作与开放创新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与外部机构和企业建立合作伙伴关系是推动技术创新的重要手段之一。通过开放创新，企业可以获取外部的技术资源和创新理念，加速新技术的引入和应用。这种合作不仅有助于降低研发成本，还能够促进产业生态系统的共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伴随着一定的风险，包括技术失败、市场变化等。因此，企业需要建立有效的风险管理机制，及时调整研发计划，最小化潜在的损失。同时，持续改进研发流程和方法，不断提升研发效能，确保企业在快速变化的市场中保持竞争力。</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r>
        <w:rPr>
          <w:rFonts w:ascii="仿宋" w:eastAsia="仿宋" w:hAnsi="仿宋" w:cs="仿宋" w:hint="eastAsia"/>
          <w:sz w:val="28"/>
          <w:lang w:eastAsia="zh-CN"/>
        </w:rPr>
        <w:t>技术创新与研发投入是企业实现长期竞争优势的重要推动力。通过增加研发投入、建设高效的技术团队、采取市场导向的研发策略、与外部合作伙伴开展开放创新，企业可以不断提升技术水平，推动产品和服务的创新，适应市场的变化，实现可持续的发展。在这个快速变化的时代，积极投入研发领域将成为企业保持竞争力和创造价值的不可或缺的要素。</w:t>
      </w:r>
    </w:p>
    <w:p>
      <w:pPr>
        <w:pStyle w:val="Heading2"/>
        <w:ind w:firstLine="560" w:firstLineChars="200"/>
        <w:rPr>
          <w:rFonts w:ascii="仿宋" w:eastAsia="仿宋" w:hAnsi="仿宋" w:cs="仿宋" w:hint="eastAsia"/>
          <w:sz w:val="28"/>
          <w:lang w:eastAsia="zh-CN"/>
        </w:rPr>
      </w:pPr>
      <w:bookmarkStart w:id="25" w:name="_Toc1228"/>
      <w:r>
        <w:rPr>
          <w:rFonts w:ascii="仿宋" w:eastAsia="仿宋" w:hAnsi="仿宋" w:cs="仿宋" w:hint="eastAsia"/>
          <w:sz w:val="28"/>
          <w:lang w:eastAsia="zh-CN"/>
        </w:rPr>
        <w:t>(三)、专利申请与技术保护</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在科技不断进步的时代，企业在创新和研发过程中所获得的技术成果需要得到有效的保护，以确保其在市场竞争中的长期优势。专利申请成为企业保护技术创新的主要手段之一。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专利的定义与种类</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是一种对于发明创造的独占权利，它不仅给予发明者一定的权益，也为社会创新注入了新的动力。专利分为不同的种类，包括发明专利、实用新型专利和外观设计专利。每种专利类型都有其独特的保护范围和要求，企业在申请专利时需根据实际情况选择适用的类型。</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专利申请的流程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是一个相对繁琐的流程，包括发明的提出、检索与分析、起草申请文件、递交申请、审查等环节。在这个过程中，申请者需要充分了解相关法规、技术标准，并确保所提出的发明达到一定的创新水平。专业的专利代理机构或专利律师的参与有助于提高申请的质量，减少审查的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专利的保护期限与范围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保护期限是其保护力量的关键因素之一。发明专利的保护期一般为20年，实用新型专利和外观设计专利的保护期分别为10年和15年。这意味着在保护期内，申请者拥有对发明的独占权。然而，在专利保护期结束后，其他企业可以合法地使用该技术。因此，企业需要在专利期限届满前寻找其他方式维持技术的竞争优势。</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r>
        <w:rPr>
          <w:rFonts w:ascii="仿宋" w:eastAsia="仿宋" w:hAnsi="仿宋" w:cs="仿宋" w:hint="eastAsia"/>
          <w:sz w:val="28"/>
          <w:lang w:eastAsia="zh-CN"/>
        </w:rPr>
        <w:t>专利的地域保护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地域保护是指专利在一定地理范围内生效。虽然国际上有一些专利合作体系，但在不同国家的专利保护仍然存在一定的差异。因此，企业在全球范围内经营时需要考虑在不同国家或地区分别申请专利。这有助于在全球范围内维护技术的独占权，提高企业在国际市场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专利的费用与效益分析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和保护并非免费，企业需要在申请、维持和保护专利的过程中支付一定的费用。因此，企业在决定申请专利时需要进行费用与效益的综合分析。这包括了专利的商业价值、市场潜力、技术创新水平等多个因素的综合考虑。在有限的资源下，企业需要权衡投入与产出，确保专利的申请与保护对企业具有实质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专利申请与技术创新的关系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不仅是对技术成果的一种法律保护，也与技术创新密切相关。在申请专利的过程中，企业需要清晰地表达发明的创新点，强调其在技术上的先进性。这促使企业在研发中更注重创新，推动技术水平的提升。同时，专利的申请也为企业创新提供了一定的资金支持，使得企业更有动力进行长期的研发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专利申请与竞争优势的维护</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r>
        <w:rPr>
          <w:rFonts w:ascii="仿宋" w:eastAsia="仿宋" w:hAnsi="仿宋" w:cs="仿宋" w:hint="eastAsia"/>
          <w:sz w:val="28"/>
          <w:lang w:eastAsia="zh-CN"/>
        </w:rPr>
        <w:t>在市场竞争激烈的环境中，拥有有效的专利可以帮助企业建立和维护竞争优势。专利保护使企业能够独占其创新成果，降低被复制的风险，从而在市场上建立品牌形象。有效的专利战略有助于巩固企业在行业中的地位，吸引更多的合作伙伴和投资者。</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专利侵权与纠纷解决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专利保护的同时，企业也需要关注专利侵权的风险。专利侵权可能导致法律纠纷，对企业产生不良影响。因此，企业在申请专利时需要进行充分的专利检索，确保所申请的专利不会侵犯他人的权益。同时，企业还需要建立专业的法务团队，以便在发生纠纷时能够迅速、有效地解决问题。</w:t>
      </w:r>
    </w:p>
    <w:p>
      <w:pPr>
        <w:pStyle w:val="Heading2"/>
        <w:ind w:firstLine="560" w:firstLineChars="200"/>
        <w:rPr>
          <w:rFonts w:ascii="仿宋" w:eastAsia="仿宋" w:hAnsi="仿宋" w:cs="仿宋" w:hint="eastAsia"/>
          <w:sz w:val="28"/>
          <w:lang w:eastAsia="zh-CN"/>
        </w:rPr>
      </w:pPr>
      <w:bookmarkStart w:id="26" w:name="_Toc25580"/>
      <w:r>
        <w:rPr>
          <w:rFonts w:ascii="仿宋" w:eastAsia="仿宋" w:hAnsi="仿宋" w:cs="仿宋" w:hint="eastAsia"/>
          <w:sz w:val="28"/>
          <w:lang w:eastAsia="zh-CN"/>
        </w:rPr>
        <w:t>(四)、人才培养与团队建设</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在当今竞争激烈的商业环境中，企业越来越意识到人才的重要性，而人才培养和团队建设成为实现组织长期成功的关键因素。在这个背景下，人才培养和团队建设的有效实施对于企业的可持续发展至关重要。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是企业为了满足业务需求、提高员工综合素质而采取的一系列有组织、有计划的培训和发展活动。这不仅包括技术培训，还包括领导力、沟通技巧、创新思维等方面的培训。企业通过不断提升员工的专业技能和综合素养，以适应变化莫测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内部导师制度</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r>
        <w:rPr>
          <w:rFonts w:ascii="仿宋" w:eastAsia="仿宋" w:hAnsi="仿宋" w:cs="仿宋" w:hint="eastAsia"/>
          <w:sz w:val="28"/>
          <w:lang w:eastAsia="zh-CN"/>
        </w:rPr>
        <w:t>内部导师制度是人才培养的重要组成部分。通过在团队内部建立导师制度，新员工能够更快速地融入团队，掌握工作技能，同时更有机会了解企业文化。对于导师而言，这也是一种领导力的锻炼，促进知识和经验的传承，实现员工间的互动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跨部门轮岗</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拓宽员工的视野和经验，企业可以实施跨部门轮岗计划。通过在不同部门的工作经历，员工可以更全面地了解企业的运作机制，培养多方面的能力和技能。这有助于打破部门之间的信息壁垒，促进组织内部的协作与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培养创新思维</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不断发展，创新思维成为企业成功的关键。为了培养创新思维，企业可以通过组织创意工作坊、鼓励员工提出新观点、设立创新奖励等方式。这种培养不仅仅关注技术创新，还包括管理和业务模式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团队建设是通过一系列的活动和培训来提高团队成员之间的合作和协作能力，达到提高整个团队绩效的目的。团队的协同效应可以使企业更具竞争力，因此团队建设也成为了组织发展中的不可或缺的一环。</w:t>
      </w:r>
    </w:p>
    <w:p>
      <w:pPr>
        <w:ind w:firstLine="560" w:firstLineChars="200"/>
        <w:rPr>
          <w:rFonts w:ascii="仿宋" w:eastAsia="仿宋" w:hAnsi="仿宋" w:cs="仿宋" w:hint="eastAsia"/>
          <w:sz w:val="28"/>
        </w:rPr>
      </w:pPr>
      <w:r>
        <w:rPr>
          <w:rFonts w:ascii="仿宋" w:eastAsia="仿宋" w:hAnsi="仿宋" w:cs="仿宋" w:hint="eastAsia"/>
          <w:sz w:val="28"/>
          <w:lang w:eastAsia="zh-CN"/>
        </w:rPr>
        <w:t>设立明确的团队目标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团队建设的首要任务是设立明确的团队目标。通过明确的目标，团队成员能够更好地理解组织的战略方向，形成共同的愿景。这有助于提高团队的凝聚力，使成员共同努力实现共同的目标。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促进有效沟通</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在团队协作中，沟通是至关重要的。企业可以通过建立开放透明的沟通渠道，鼓励团队成员分享信息和想法。定期的团队会议、在线协作平台等都是促进团队成员有效沟通的工具。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培养团队协作精神</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协作精神是团队建设的核心。企业可以通过组织团队活动、制定团队奖励机制等方式，培养团队成员的合作意识。此外，建立公平的激励机制，让每个团队成员都能够分享团队的成功，进一步增强团队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解决团队冲突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在团队协作中，难免会出现一些分歧和冲突。有效解决团队冲突是团队建设的一个重要环节。企业可以通过引入专业的冲突解决机制、提供冲突解决培训等方式，帮助团队成员更好地应对和解决冲突。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与团队建设是企业实现可持续发展的重要手段。通过培养全面素质的人才，建设高效协作的团队，企业能够更好地适应市场变化，提高创新能力，增强竞争力。在人才激烈争夺的时代，注重人才培养与团队建设将成为企业取得成功的关键因素之一。</w:t>
      </w:r>
    </w:p>
    <w:p>
      <w:pPr>
        <w:pStyle w:val="Heading1"/>
        <w:ind w:firstLine="560" w:firstLineChars="200"/>
        <w:rPr>
          <w:rFonts w:ascii="仿宋" w:eastAsia="仿宋" w:hAnsi="仿宋" w:cs="仿宋" w:hint="eastAsia"/>
          <w:sz w:val="28"/>
          <w:lang w:eastAsia="zh-CN"/>
        </w:rPr>
      </w:pPr>
      <w:bookmarkStart w:id="27" w:name="_Toc1449"/>
      <w:r>
        <w:rPr>
          <w:rFonts w:ascii="仿宋" w:eastAsia="仿宋" w:hAnsi="仿宋" w:cs="仿宋" w:hint="eastAsia"/>
          <w:sz w:val="28"/>
          <w:lang w:eastAsia="zh-CN"/>
        </w:rPr>
        <w:t>六、危机管理与应急预案</w:t>
      </w:r>
      <w:bookmarkEnd w:id="27"/>
    </w:p>
    <w:p>
      <w:pPr>
        <w:pStyle w:val="Heading2"/>
        <w:rPr>
          <w:rFonts w:ascii="仿宋" w:eastAsia="仿宋" w:hAnsi="仿宋" w:cs="仿宋" w:hint="eastAsia"/>
          <w:lang w:eastAsia="zh-CN"/>
        </w:rPr>
      </w:pPr>
      <w:bookmarkStart w:id="28" w:name="_Toc26636"/>
      <w:r>
        <w:rPr>
          <w:rFonts w:ascii="仿宋" w:eastAsia="仿宋" w:hAnsi="仿宋" w:cs="仿宋" w:hint="eastAsia"/>
          <w:lang w:eastAsia="zh-CN"/>
        </w:rPr>
        <w:t>(一)、危机预警与监测</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1. 建立监测体系</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立危机监测体系是有效进行危机预警与监测的首要步骤。这一体系需要全面覆盖外部和内部环境的多个方面，以确保企业能够全面了解潜在的危机因素。外部环境的监测包括政治、经济、社会、技术等方面，而内部环境的监测则需要关注组织内部的运营状况、员工情绪等。</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在建立监测体系时，企业需要采用先进的信息技术和数据分析手段，确保能够实时、准确地收集和分析大量信息。同时，要考虑不同领域的专业监测机构和专业人才的参与，以提高监测体系的专业性和敏感性。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数据收集与分析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数据收集与分析是危机监测的核心环节。企业需要建立高效的数据收集机制，以确保能够获取与企业相关的各类信息。这可能涉及到社交媒体的监测、新闻报道的跟踪、市场调研数据的收集等多方面工作。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一旦数据收集完成，接下来的关键步骤是对数据进行系统分析。这需要企业拥有一支专业的数据分析团队，能够从海量数据中提炼出有价值的信息。数据分析的目标是发现潜在的危机迹象和异常现象，为危机的及时处理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3. 预警机制建立</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建立灵敏的预警机制是确保企业能够在危机来临之前获得预警信息的关键。预警机制的建立需要考虑到监测体系的反馈、数据分析的结果以及与外部专业机构的合作。关键的步骤包括：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设定预警指标： 根据数据分析的结果和历史危机事件的经验，确定一系列可作为危机预警指标的关键因素。</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r>
        <w:rPr>
          <w:rFonts w:ascii="仿宋" w:eastAsia="仿宋" w:hAnsi="仿宋" w:cs="仿宋" w:hint="eastAsia"/>
          <w:sz w:val="28"/>
          <w:lang w:eastAsia="zh-CN"/>
        </w:rPr>
        <w:t>建立预警信号：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将确定的预警指标与实际监测结果相结合，建立一套能够发出明确信号的预警系统。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制定应急响应计划： 针对不同级别的预警信号，制定相应的应急响应计划，明确责任人和行动方案。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定期演练： 对预警机制进行定期演练，检验其实际效果，及时调整和改进机制。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预警与监测体系的建立是企业危机管理的基础，它使企业能够在危机爆发前就能够有针对性地采取措施，最大程度地降低潜在风险带来的损失。通过精细化的监测和灵活的应对机制，企业能够更好地应对多变的外部环境，保障组织的稳定和可持续发展。</w:t>
      </w:r>
    </w:p>
    <w:p>
      <w:pPr>
        <w:pStyle w:val="Heading2"/>
        <w:ind w:firstLine="560" w:firstLineChars="200"/>
        <w:rPr>
          <w:rFonts w:ascii="仿宋" w:eastAsia="仿宋" w:hAnsi="仿宋" w:cs="仿宋" w:hint="eastAsia"/>
          <w:sz w:val="28"/>
          <w:lang w:eastAsia="zh-CN"/>
        </w:rPr>
      </w:pPr>
      <w:bookmarkStart w:id="29" w:name="_Toc6979"/>
      <w:r>
        <w:rPr>
          <w:rFonts w:ascii="仿宋" w:eastAsia="仿宋" w:hAnsi="仿宋" w:cs="仿宋" w:hint="eastAsia"/>
          <w:sz w:val="28"/>
          <w:lang w:eastAsia="zh-CN"/>
        </w:rPr>
        <w:t>(二)、应急预案与危机响应</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1. 预案制定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应急预案的制定是为了在危机发生时提供清晰的指导和规范行动。预案需要覆盖各个可能出现危机的领域，确保在面对不同类型的紧急情况时能够迅速做出正确反应。制定应急预案的关键步骤包括：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综合性规划： 制定一份全面而综合的应急预案，覆盖从人员疏散到资源调配、从危机指挥到协同合作等多个方面。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 在制定预案前进行全面的风险评估，明确可能面临的各类威胁，以便有针对性地制定应对方案。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多方参与： 预案的制定需要多方面的参与，包括安全专家、卫生专业人员、法务顾问等，确保综合性和专业性。</w:t>
      </w:r>
    </w:p>
    <w:p>
      <w:pPr>
        <w:ind w:firstLine="560" w:firstLineChars="200"/>
        <w:rPr>
          <w:rFonts w:ascii="仿宋" w:eastAsia="仿宋" w:hAnsi="仿宋" w:cs="仿宋" w:hint="eastAsia"/>
          <w:sz w:val="28"/>
        </w:rPr>
        <w:sectPr>
          <w:headerReference w:type="default" r:id="rId78"/>
          <w:footerReference w:type="default" r:id="rId79"/>
          <w:type w:val="nextPage"/>
          <w:pgSz w:w="11906" w:h="16838"/>
          <w:pgMar w:top="1440" w:right="1800" w:bottom="1440" w:left="1800" w:header="851" w:footer="992" w:gutter="0"/>
          <w:pgNumType w:start="38"/>
          <w:cols w:num="1" w:space="425"/>
          <w:titlePg w:val="0"/>
          <w:docGrid w:type="lines" w:linePitch="312" w:charSpace="0"/>
        </w:sectPr>
      </w:pPr>
      <w:r>
        <w:rPr>
          <w:rFonts w:ascii="仿宋" w:eastAsia="仿宋" w:hAnsi="仿宋" w:cs="仿宋" w:hint="eastAsia"/>
          <w:sz w:val="28"/>
          <w:lang w:eastAsia="zh-CN"/>
        </w:rPr>
        <w:t>定期更新：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预案需要根据组织的变化和外部环境的变动进行定期更新，保持其时效性和适应性。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危机演练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定期组织危机演练是验证应急预案的有效性和可行性的关键手段。通过模拟真实危机情境，组织成员能够更好地理解应对程序，提高危机时的应对能力。危机演练的关键步骤包括：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制定演练计划： 设定演练目标、场景、参与人员和时间表，确保演练的全面性和实效性。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模拟真实情境： 在演练中模拟真实危机情境，包括人员伤亡、资源不足、信息不准确等各种可能的困难。</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评估演练结果： 对演练过程进行全面评估，发现问题和不足，为后续的改进提供依据。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定期调整： 根据演练的结果，及时对应急预案进行调整和完善，确保其实用性和灵活性。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指挥体系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建立明确的指挥体系是危机发生时能够迅速做出决策、协调资源的关键。指挥体系的构建需要确保信息流通畅，责任分工明确，决策迅速而准确。建立指挥体系的关键步骤包括：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明确层级： 制定清晰的指挥层级，确保在危机发生时能够迅速形成统一的指挥架构。</w:t>
      </w:r>
    </w:p>
    <w:p>
      <w:pPr>
        <w:ind w:firstLine="560" w:firstLineChars="200"/>
        <w:rPr>
          <w:rFonts w:ascii="仿宋" w:eastAsia="仿宋" w:hAnsi="仿宋" w:cs="仿宋" w:hint="eastAsia"/>
          <w:sz w:val="28"/>
        </w:rPr>
      </w:pPr>
      <w:r>
        <w:rPr>
          <w:rFonts w:ascii="仿宋" w:eastAsia="仿宋" w:hAnsi="仿宋" w:cs="仿宋" w:hint="eastAsia"/>
          <w:sz w:val="28"/>
          <w:lang w:eastAsia="zh-CN"/>
        </w:rPr>
        <w:t>角色分工： 确定每个指挥层级的角色和职责，以便在紧急情况下各司其职，协同工作。</w:t>
      </w:r>
    </w:p>
    <w:p>
      <w:pPr>
        <w:ind w:firstLine="560" w:firstLineChars="200"/>
        <w:rPr>
          <w:rFonts w:ascii="仿宋" w:eastAsia="仿宋" w:hAnsi="仿宋" w:cs="仿宋" w:hint="eastAsia"/>
          <w:sz w:val="28"/>
        </w:rPr>
        <w:sectPr>
          <w:headerReference w:type="default" r:id="rId80"/>
          <w:footerReference w:type="default" r:id="rId81"/>
          <w:type w:val="nextPage"/>
          <w:pgSz w:w="11906" w:h="16838"/>
          <w:pgMar w:top="1440" w:right="1800" w:bottom="1440" w:left="1800" w:header="851" w:footer="992" w:gutter="0"/>
          <w:pgNumType w:start="39"/>
          <w:cols w:num="1" w:space="425"/>
          <w:titlePg w:val="0"/>
          <w:docGrid w:type="lines" w:linePitch="312" w:charSpace="0"/>
        </w:sectPr>
      </w:pPr>
      <w:r>
        <w:rPr>
          <w:rFonts w:ascii="仿宋" w:eastAsia="仿宋" w:hAnsi="仿宋" w:cs="仿宋" w:hint="eastAsia"/>
          <w:sz w:val="28"/>
          <w:lang w:eastAsia="zh-CN"/>
        </w:rPr>
        <w:t>信息流动：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建立快速、准确的信息传递机制，确保决策者能够及时获取所需信息。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紧急决策培训： 对指挥层级的成员进行紧急决策的培训，提高其在危机时的决策效率。</w:t>
      </w:r>
    </w:p>
    <w:p>
      <w:pPr>
        <w:pStyle w:val="Heading2"/>
        <w:ind w:firstLine="560" w:firstLineChars="200"/>
        <w:rPr>
          <w:rFonts w:ascii="仿宋" w:eastAsia="仿宋" w:hAnsi="仿宋" w:cs="仿宋" w:hint="eastAsia"/>
          <w:sz w:val="28"/>
          <w:lang w:eastAsia="zh-CN"/>
        </w:rPr>
      </w:pPr>
      <w:bookmarkStart w:id="30" w:name="_Toc7916"/>
      <w:r>
        <w:rPr>
          <w:rFonts w:ascii="仿宋" w:eastAsia="仿宋" w:hAnsi="仿宋" w:cs="仿宋" w:hint="eastAsia"/>
          <w:sz w:val="28"/>
          <w:lang w:eastAsia="zh-CN"/>
        </w:rPr>
        <w:t>(三)、危机沟通与舆情控制</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1. 沟通计划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制定完善的危机沟通计划是确保在紧急情况下能够迅速、有序地传递信息的前提。沟通计划需要包括明确的沟通渠道、信息发布时机、沟通对象等关键元素。关键步骤包括：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建立沟通团队： 成立专门的危机沟通团队，包括公关专业人士、法务顾问等，确保具备危机时的敏感性和专业性。</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危机信息归类： 对危机信息进行分类，确定哪些信息可以及时公开，哪些需要谨慎处理。</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选择沟通渠道： 根据危机的性质和影响，选择最合适的沟通渠道，包括媒体发布、社交媒体、公司网站等。</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信息发布时机： 在危机发生后及时发布信息，但确保信息的准确性和完整性，避免过早或过晚发布导致误解。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2. 信息透明</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危机发生时，保持信息的透明度是建立信任和减轻公众焦虑的关键。透明沟通需要展示组织的负责任态度，积极回应公众关切。关键步骤包括：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真实情况公开：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2" w:history="1">
        <w:r>
          <w:rPr>
            <w:rFonts w:ascii="SimSun" w:eastAsia="SimSun" w:hAnsi="SimSun" w:cs="SimSun"/>
            <w:b/>
            <w:bCs/>
            <w:color w:val="0000EE"/>
            <w:kern w:val="0"/>
            <w:sz w:val="30"/>
            <w:szCs w:val="30"/>
            <w:u w:val="single" w:color="0000EE"/>
          </w:rPr>
          <w:t>https://d.book118.com/755324111002011114</w:t>
        </w:r>
      </w:hyperlink>
    </w:p>
    <w:p>
      <w:pPr>
        <w:ind w:firstLine="560" w:firstLineChars="200"/>
        <w:rPr>
          <w:rFonts w:ascii="仿宋" w:eastAsia="仿宋" w:hAnsi="仿宋" w:cs="仿宋" w:hint="eastAsia"/>
          <w:sz w:val="28"/>
        </w:rPr>
      </w:pPr>
    </w:p>
    <w:sectPr>
      <w:headerReference w:type="default" r:id="rId83"/>
      <w:footerReference w:type="default" r:id="rId84"/>
      <w:type w:val="nextPage"/>
      <w:pgSz w:w="11906" w:h="16838"/>
      <w:pgMar w:top="1440" w:right="1800" w:bottom="1440" w:left="1800" w:header="851" w:footer="992" w:gutter="0"/>
      <w:pgNumType w:start="4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厂用防爆电器项目工作报告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B07011"/>
    <w:rsid w:val="77B070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eader" Target="header38.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yperlink" Target="https://d.book118.com/755324111002011114" TargetMode="External" /><Relationship Id="rId83" Type="http://schemas.openxmlformats.org/officeDocument/2006/relationships/header" Target="header40.xml" /><Relationship Id="rId84" Type="http://schemas.openxmlformats.org/officeDocument/2006/relationships/footer" Target="footer40.xml" /><Relationship Id="rId85" Type="http://schemas.openxmlformats.org/officeDocument/2006/relationships/theme" Target="theme/theme1.xml" /><Relationship Id="rId86" Type="http://schemas.openxmlformats.org/officeDocument/2006/relationships/styles" Target="styles.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小吴</dc:creator>
  <cp:lastModifiedBy>小吴</cp:lastModifiedBy>
  <cp:revision>1</cp:revision>
  <dcterms:created xsi:type="dcterms:W3CDTF">2024-01-21T06:38:00Z</dcterms:created>
  <dcterms:modified xsi:type="dcterms:W3CDTF">2024-01-21T06:39:26Z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0EDD29592768407FAF8F33FDDBEB2327_11</vt:lpwstr>
  </property>
  <property fmtid="{D5CDD505-2E9C-101B-9397-08002B2CF9AE}" pid="3" name="KSOProductBuildVer">
    <vt:lpwstr>2052-12.1.0.16120</vt:lpwstr>
  </property>
</Properties>
</file>