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两系杂交水稻新组合行业相关公司设立可行性研究报告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5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_Toc28352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_Toc28082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_Toc8524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_Toc14999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_Toc16927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_Toc8767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_Toc2786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_Toc11873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_Toc1109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_Toc31772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_Toc7428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_Toc4836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_Toc21402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_Toc10295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3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_Toc7038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_Toc8130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_Toc7989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_Toc7636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_Toc13526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_Toc9651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(七)、两系杂交水稻新组合项目建设必要性分析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_Toc12639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_Toc26257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_Toc27054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_Toc10473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0" w:history="1">
        <w:r>
          <w:rPr>
            <w:rFonts w:ascii="仿宋" w:eastAsia="仿宋" w:hAnsi="仿宋" w:cs="仿宋" w:hint="eastAsia"/>
            <w:lang w:eastAsia="zh-CN"/>
          </w:rPr>
          <w:t>(五)、两系杂交水稻新组合项目总投资</w:t>
        </w:r>
        <w:r>
          <w:tab/>
        </w:r>
        <w:r>
          <w:fldChar w:fldCharType="begin"/>
        </w:r>
        <w:r>
          <w:instrText xml:space="preserve"> PAGEREF _Toc13670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_Toc17498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_Toc15647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_Toc21693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_Toc25996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6" w:history="1">
        <w:r>
          <w:rPr>
            <w:rFonts w:ascii="仿宋" w:eastAsia="仿宋" w:hAnsi="仿宋" w:cs="仿宋" w:hint="eastAsia"/>
            <w:lang w:eastAsia="zh-CN"/>
          </w:rPr>
          <w:t>(一)、两系杂交水稻新组合项目背景分析</w:t>
        </w:r>
        <w:r>
          <w:tab/>
        </w:r>
        <w:r>
          <w:fldChar w:fldCharType="begin"/>
        </w:r>
        <w:r>
          <w:instrText xml:space="preserve"> PAGEREF _Toc18186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6" w:history="1">
        <w:r>
          <w:rPr>
            <w:rFonts w:ascii="仿宋" w:eastAsia="仿宋" w:hAnsi="仿宋" w:cs="仿宋" w:hint="eastAsia"/>
            <w:lang w:eastAsia="zh-CN"/>
          </w:rPr>
          <w:t>(二)、两系杂交水稻新组合项目建设必要性分析</w:t>
        </w:r>
        <w:r>
          <w:tab/>
        </w:r>
        <w:r>
          <w:fldChar w:fldCharType="begin"/>
        </w:r>
        <w:r>
          <w:instrText xml:space="preserve"> PAGEREF _Toc18506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_Toc11689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4" w:history="1">
        <w:r>
          <w:rPr>
            <w:rFonts w:ascii="仿宋" w:eastAsia="仿宋" w:hAnsi="仿宋" w:cs="仿宋" w:hint="eastAsia"/>
            <w:lang w:eastAsia="zh-CN"/>
          </w:rPr>
          <w:t>九、两系杂交水稻新组合项目风险分析</w:t>
        </w:r>
        <w:r>
          <w:tab/>
        </w:r>
        <w:r>
          <w:fldChar w:fldCharType="begin"/>
        </w:r>
        <w:r>
          <w:instrText xml:space="preserve"> PAGEREF _Toc6974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(一)、两系杂交水稻新组合项目风险分析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(二)、两系杂交水稻新组合项目风险对策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_Toc16852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1" w:history="1">
        <w:r>
          <w:rPr>
            <w:rFonts w:ascii="仿宋" w:eastAsia="仿宋" w:hAnsi="仿宋" w:cs="仿宋" w:hint="eastAsia"/>
            <w:lang w:eastAsia="zh-CN"/>
          </w:rPr>
          <w:t>(一)、两系杂交水稻新组合项目进度安排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1" w:history="1">
        <w:r>
          <w:rPr>
            <w:rFonts w:ascii="仿宋" w:eastAsia="仿宋" w:hAnsi="仿宋" w:cs="仿宋" w:hint="eastAsia"/>
            <w:lang w:eastAsia="zh-CN"/>
          </w:rPr>
          <w:t>(二)、两系杂交水稻新组合项目实施保障措施</w:t>
        </w:r>
        <w:r>
          <w:tab/>
        </w:r>
        <w:r>
          <w:fldChar w:fldCharType="begin"/>
        </w:r>
        <w:r>
          <w:instrText xml:space="preserve"> PAGEREF _Toc21151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十一、两系杂交水稻新组合项目总结分析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5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8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2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https://d.book118.com/756114100224010050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两系杂交水稻新组合行业相关公司设立可行性研究报告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两系杂交水稻新组合行业相关公司设立可行性研究报告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两系杂交水稻新组合行业相关公司设立可行性研究报告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两系杂交水稻新组合行业相关公司设立可行性研究报告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两系杂交水稻新组合行业相关公司设立可行性研究报告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6114100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2024-02-07T05:48:00Z</dcterms:created>
  <dcterms:modified xsi:type="dcterms:W3CDTF">2024-02-07T05:49:00Z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2752DF93293F4310A449C01FC99E5E1F_11</vt:lpwstr>
  </property>
  <property fmtid="{D5CDD505-2E9C-101B-9397-08002B2CF9AE}" pid="3" name="KSOProductBuildVer">
    <vt:lpwstr>2052-12.1.0.16250</vt:lpwstr>
  </property>
</Properties>
</file>