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陶瓷电容器项目计划设计方案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53" w:history="1">
        <w:r>
          <w:rPr>
            <w:rFonts w:ascii="仿宋" w:eastAsia="仿宋" w:hAnsi="仿宋" w:cs="仿宋" w:hint="eastAsia"/>
            <w:lang w:eastAsia="zh-CN"/>
          </w:rPr>
          <w:t>概论</w:t>
        </w:r>
        <w:r>
          <w:tab/>
        </w:r>
        <w:r>
          <w:fldChar w:fldCharType="begin"/>
        </w:r>
        <w:r>
          <w:instrText xml:space="preserve"> PAGEREF _Toc22053 \h </w:instrText>
        </w:r>
        <w:r>
          <w:fldChar w:fldCharType="separate"/>
        </w:r>
        <w:r>
          <w:t>3</w:t>
        </w:r>
        <w:r>
          <w:fldChar w:fldCharType="end"/>
        </w:r>
      </w:hyperlink>
    </w:p>
    <w:p>
      <w:pPr>
        <w:pStyle w:val="TOC1"/>
        <w:tabs>
          <w:tab w:val="right" w:leader="dot" w:pos="8306"/>
        </w:tabs>
      </w:pPr>
      <w:hyperlink w:anchor="_Toc3738" w:history="1">
        <w:r>
          <w:rPr>
            <w:rFonts w:ascii="仿宋" w:eastAsia="仿宋" w:hAnsi="仿宋" w:cs="仿宋" w:hint="eastAsia"/>
            <w:lang w:eastAsia="zh-CN"/>
          </w:rPr>
          <w:t>一、工艺说明</w:t>
        </w:r>
        <w:r>
          <w:tab/>
        </w:r>
        <w:r>
          <w:fldChar w:fldCharType="begin"/>
        </w:r>
        <w:r>
          <w:instrText xml:space="preserve"> PAGEREF _Toc3738 \h </w:instrText>
        </w:r>
        <w:r>
          <w:fldChar w:fldCharType="separate"/>
        </w:r>
        <w:r>
          <w:t>3</w:t>
        </w:r>
        <w:r>
          <w:fldChar w:fldCharType="end"/>
        </w:r>
      </w:hyperlink>
    </w:p>
    <w:p>
      <w:pPr>
        <w:pStyle w:val="TOC2"/>
        <w:tabs>
          <w:tab w:val="right" w:leader="dot" w:pos="8306"/>
        </w:tabs>
      </w:pPr>
      <w:hyperlink w:anchor="_Toc5161" w:history="1">
        <w:r>
          <w:rPr>
            <w:rFonts w:ascii="仿宋" w:eastAsia="仿宋" w:hAnsi="仿宋" w:cs="仿宋" w:hint="eastAsia"/>
            <w:lang w:eastAsia="zh-CN"/>
          </w:rPr>
          <w:t>(一)、技术管理特点</w:t>
        </w:r>
        <w:r>
          <w:tab/>
        </w:r>
        <w:r>
          <w:fldChar w:fldCharType="begin"/>
        </w:r>
        <w:r>
          <w:instrText xml:space="preserve"> PAGEREF _Toc5161 \h </w:instrText>
        </w:r>
        <w:r>
          <w:fldChar w:fldCharType="separate"/>
        </w:r>
        <w:r>
          <w:t>3</w:t>
        </w:r>
        <w:r>
          <w:fldChar w:fldCharType="end"/>
        </w:r>
      </w:hyperlink>
    </w:p>
    <w:p>
      <w:pPr>
        <w:pStyle w:val="TOC2"/>
        <w:tabs>
          <w:tab w:val="right" w:leader="dot" w:pos="8306"/>
        </w:tabs>
      </w:pPr>
      <w:hyperlink w:anchor="_Toc20644" w:history="1">
        <w:r>
          <w:rPr>
            <w:rFonts w:ascii="仿宋" w:eastAsia="仿宋" w:hAnsi="仿宋" w:cs="仿宋" w:hint="eastAsia"/>
            <w:lang w:eastAsia="zh-CN"/>
          </w:rPr>
          <w:t>(二)、陶瓷电容器项目工艺技术设计方案</w:t>
        </w:r>
        <w:r>
          <w:tab/>
        </w:r>
        <w:r>
          <w:fldChar w:fldCharType="begin"/>
        </w:r>
        <w:r>
          <w:instrText xml:space="preserve"> PAGEREF _Toc20644 \h </w:instrText>
        </w:r>
        <w:r>
          <w:fldChar w:fldCharType="separate"/>
        </w:r>
        <w:r>
          <w:t>4</w:t>
        </w:r>
        <w:r>
          <w:fldChar w:fldCharType="end"/>
        </w:r>
      </w:hyperlink>
    </w:p>
    <w:p>
      <w:pPr>
        <w:pStyle w:val="TOC2"/>
        <w:tabs>
          <w:tab w:val="right" w:leader="dot" w:pos="8306"/>
        </w:tabs>
      </w:pPr>
      <w:hyperlink w:anchor="_Toc26095" w:history="1">
        <w:r>
          <w:rPr>
            <w:rFonts w:ascii="仿宋" w:eastAsia="仿宋" w:hAnsi="仿宋" w:cs="仿宋" w:hint="eastAsia"/>
            <w:lang w:eastAsia="zh-CN"/>
          </w:rPr>
          <w:t>(三)、设备选型方案</w:t>
        </w:r>
        <w:r>
          <w:tab/>
        </w:r>
        <w:r>
          <w:fldChar w:fldCharType="begin"/>
        </w:r>
        <w:r>
          <w:instrText xml:space="preserve"> PAGEREF _Toc26095 \h </w:instrText>
        </w:r>
        <w:r>
          <w:fldChar w:fldCharType="separate"/>
        </w:r>
        <w:r>
          <w:t>5</w:t>
        </w:r>
        <w:r>
          <w:fldChar w:fldCharType="end"/>
        </w:r>
      </w:hyperlink>
    </w:p>
    <w:p>
      <w:pPr>
        <w:pStyle w:val="TOC1"/>
        <w:tabs>
          <w:tab w:val="right" w:leader="dot" w:pos="8306"/>
        </w:tabs>
      </w:pPr>
      <w:hyperlink w:anchor="_Toc28491" w:history="1">
        <w:r>
          <w:rPr>
            <w:rFonts w:ascii="仿宋" w:eastAsia="仿宋" w:hAnsi="仿宋" w:cs="仿宋" w:hint="eastAsia"/>
            <w:lang w:eastAsia="zh-CN"/>
          </w:rPr>
          <w:t>二、市场分析、调研</w:t>
        </w:r>
        <w:r>
          <w:tab/>
        </w:r>
        <w:r>
          <w:fldChar w:fldCharType="begin"/>
        </w:r>
        <w:r>
          <w:instrText xml:space="preserve"> PAGEREF _Toc28491 \h </w:instrText>
        </w:r>
        <w:r>
          <w:fldChar w:fldCharType="separate"/>
        </w:r>
        <w:r>
          <w:t>7</w:t>
        </w:r>
        <w:r>
          <w:fldChar w:fldCharType="end"/>
        </w:r>
      </w:hyperlink>
    </w:p>
    <w:p>
      <w:pPr>
        <w:pStyle w:val="TOC2"/>
        <w:tabs>
          <w:tab w:val="right" w:leader="dot" w:pos="8306"/>
        </w:tabs>
      </w:pPr>
      <w:hyperlink w:anchor="_Toc15151" w:history="1">
        <w:r>
          <w:rPr>
            <w:rFonts w:ascii="仿宋" w:eastAsia="仿宋" w:hAnsi="仿宋" w:cs="仿宋" w:hint="eastAsia"/>
            <w:lang w:eastAsia="zh-CN"/>
          </w:rPr>
          <w:t>(一)、陶瓷电容器行业分析</w:t>
        </w:r>
        <w:r>
          <w:tab/>
        </w:r>
        <w:r>
          <w:fldChar w:fldCharType="begin"/>
        </w:r>
        <w:r>
          <w:instrText xml:space="preserve"> PAGEREF _Toc15151 \h </w:instrText>
        </w:r>
        <w:r>
          <w:fldChar w:fldCharType="separate"/>
        </w:r>
        <w:r>
          <w:t>7</w:t>
        </w:r>
        <w:r>
          <w:fldChar w:fldCharType="end"/>
        </w:r>
      </w:hyperlink>
    </w:p>
    <w:p>
      <w:pPr>
        <w:pStyle w:val="TOC2"/>
        <w:tabs>
          <w:tab w:val="right" w:leader="dot" w:pos="8306"/>
        </w:tabs>
      </w:pPr>
      <w:hyperlink w:anchor="_Toc5259" w:history="1">
        <w:r>
          <w:rPr>
            <w:rFonts w:ascii="仿宋" w:eastAsia="仿宋" w:hAnsi="仿宋" w:cs="仿宋" w:hint="eastAsia"/>
            <w:lang w:eastAsia="zh-CN"/>
          </w:rPr>
          <w:t>(二)、陶瓷电容器市场分析预测</w:t>
        </w:r>
        <w:r>
          <w:tab/>
        </w:r>
        <w:r>
          <w:fldChar w:fldCharType="begin"/>
        </w:r>
        <w:r>
          <w:instrText xml:space="preserve"> PAGEREF _Toc5259 \h </w:instrText>
        </w:r>
        <w:r>
          <w:fldChar w:fldCharType="separate"/>
        </w:r>
        <w:r>
          <w:t>7</w:t>
        </w:r>
        <w:r>
          <w:fldChar w:fldCharType="end"/>
        </w:r>
      </w:hyperlink>
    </w:p>
    <w:p>
      <w:pPr>
        <w:pStyle w:val="TOC1"/>
        <w:tabs>
          <w:tab w:val="right" w:leader="dot" w:pos="8306"/>
        </w:tabs>
      </w:pPr>
      <w:hyperlink w:anchor="_Toc12948" w:history="1">
        <w:r>
          <w:rPr>
            <w:rFonts w:ascii="仿宋" w:eastAsia="仿宋" w:hAnsi="仿宋" w:cs="仿宋" w:hint="eastAsia"/>
            <w:lang w:eastAsia="zh-CN"/>
          </w:rPr>
          <w:t>三、陶瓷电容器项目危机管理</w:t>
        </w:r>
        <w:r>
          <w:tab/>
        </w:r>
        <w:r>
          <w:fldChar w:fldCharType="begin"/>
        </w:r>
        <w:r>
          <w:instrText xml:space="preserve"> PAGEREF _Toc12948 \h </w:instrText>
        </w:r>
        <w:r>
          <w:fldChar w:fldCharType="separate"/>
        </w:r>
        <w:r>
          <w:t>8</w:t>
        </w:r>
        <w:r>
          <w:fldChar w:fldCharType="end"/>
        </w:r>
      </w:hyperlink>
    </w:p>
    <w:p>
      <w:pPr>
        <w:pStyle w:val="TOC2"/>
        <w:tabs>
          <w:tab w:val="right" w:leader="dot" w:pos="8306"/>
        </w:tabs>
      </w:pPr>
      <w:hyperlink w:anchor="_Toc30355" w:history="1">
        <w:r>
          <w:rPr>
            <w:rFonts w:ascii="仿宋" w:eastAsia="仿宋" w:hAnsi="仿宋" w:cs="仿宋" w:hint="eastAsia"/>
            <w:lang w:eastAsia="zh-CN"/>
          </w:rPr>
          <w:t>(一)、危机预警与识别</w:t>
        </w:r>
        <w:r>
          <w:tab/>
        </w:r>
        <w:r>
          <w:fldChar w:fldCharType="begin"/>
        </w:r>
        <w:r>
          <w:instrText xml:space="preserve"> PAGEREF _Toc30355 \h </w:instrText>
        </w:r>
        <w:r>
          <w:fldChar w:fldCharType="separate"/>
        </w:r>
        <w:r>
          <w:t>8</w:t>
        </w:r>
        <w:r>
          <w:fldChar w:fldCharType="end"/>
        </w:r>
      </w:hyperlink>
    </w:p>
    <w:p>
      <w:pPr>
        <w:pStyle w:val="TOC2"/>
        <w:tabs>
          <w:tab w:val="right" w:leader="dot" w:pos="8306"/>
        </w:tabs>
      </w:pPr>
      <w:hyperlink w:anchor="_Toc15091" w:history="1">
        <w:r>
          <w:rPr>
            <w:rFonts w:ascii="仿宋" w:eastAsia="仿宋" w:hAnsi="仿宋" w:cs="仿宋" w:hint="eastAsia"/>
            <w:lang w:eastAsia="zh-CN"/>
          </w:rPr>
          <w:t>(二)、危机应对与恢复</w:t>
        </w:r>
        <w:r>
          <w:tab/>
        </w:r>
        <w:r>
          <w:fldChar w:fldCharType="begin"/>
        </w:r>
        <w:r>
          <w:instrText xml:space="preserve"> PAGEREF _Toc15091 \h </w:instrText>
        </w:r>
        <w:r>
          <w:fldChar w:fldCharType="separate"/>
        </w:r>
        <w:r>
          <w:t>9</w:t>
        </w:r>
        <w:r>
          <w:fldChar w:fldCharType="end"/>
        </w:r>
      </w:hyperlink>
    </w:p>
    <w:p>
      <w:pPr>
        <w:pStyle w:val="TOC1"/>
        <w:tabs>
          <w:tab w:val="right" w:leader="dot" w:pos="8306"/>
        </w:tabs>
      </w:pPr>
      <w:hyperlink w:anchor="_Toc15525" w:history="1">
        <w:r>
          <w:rPr>
            <w:rFonts w:ascii="仿宋" w:eastAsia="仿宋" w:hAnsi="仿宋" w:cs="仿宋" w:hint="eastAsia"/>
            <w:lang w:eastAsia="zh-CN"/>
          </w:rPr>
          <w:t>四、陶瓷电容器项目建设背景及必要性分析</w:t>
        </w:r>
        <w:r>
          <w:tab/>
        </w:r>
        <w:r>
          <w:fldChar w:fldCharType="begin"/>
        </w:r>
        <w:r>
          <w:instrText xml:space="preserve"> PAGEREF _Toc15525 \h </w:instrText>
        </w:r>
        <w:r>
          <w:fldChar w:fldCharType="separate"/>
        </w:r>
        <w:r>
          <w:t>11</w:t>
        </w:r>
        <w:r>
          <w:fldChar w:fldCharType="end"/>
        </w:r>
      </w:hyperlink>
    </w:p>
    <w:p>
      <w:pPr>
        <w:pStyle w:val="TOC2"/>
        <w:tabs>
          <w:tab w:val="right" w:leader="dot" w:pos="8306"/>
        </w:tabs>
      </w:pPr>
      <w:hyperlink w:anchor="_Toc2888" w:history="1">
        <w:r>
          <w:rPr>
            <w:rFonts w:ascii="仿宋" w:eastAsia="仿宋" w:hAnsi="仿宋" w:cs="仿宋" w:hint="eastAsia"/>
            <w:lang w:eastAsia="zh-CN"/>
          </w:rPr>
          <w:t>(一)、陶瓷电容器项目背景分析</w:t>
        </w:r>
        <w:r>
          <w:tab/>
        </w:r>
        <w:r>
          <w:fldChar w:fldCharType="begin"/>
        </w:r>
        <w:r>
          <w:instrText xml:space="preserve"> PAGEREF _Toc2888 \h </w:instrText>
        </w:r>
        <w:r>
          <w:fldChar w:fldCharType="separate"/>
        </w:r>
        <w:r>
          <w:t>11</w:t>
        </w:r>
        <w:r>
          <w:fldChar w:fldCharType="end"/>
        </w:r>
      </w:hyperlink>
    </w:p>
    <w:p>
      <w:pPr>
        <w:pStyle w:val="TOC2"/>
        <w:tabs>
          <w:tab w:val="right" w:leader="dot" w:pos="8306"/>
        </w:tabs>
      </w:pPr>
      <w:hyperlink w:anchor="_Toc9124" w:history="1">
        <w:r>
          <w:rPr>
            <w:rFonts w:ascii="仿宋" w:eastAsia="仿宋" w:hAnsi="仿宋" w:cs="仿宋" w:hint="eastAsia"/>
            <w:lang w:eastAsia="zh-CN"/>
          </w:rPr>
          <w:t>(二)、陶瓷电容器项目建设必要性分析</w:t>
        </w:r>
        <w:r>
          <w:tab/>
        </w:r>
        <w:r>
          <w:fldChar w:fldCharType="begin"/>
        </w:r>
        <w:r>
          <w:instrText xml:space="preserve"> PAGEREF _Toc9124 \h </w:instrText>
        </w:r>
        <w:r>
          <w:fldChar w:fldCharType="separate"/>
        </w:r>
        <w:r>
          <w:t>12</w:t>
        </w:r>
        <w:r>
          <w:fldChar w:fldCharType="end"/>
        </w:r>
      </w:hyperlink>
    </w:p>
    <w:p>
      <w:pPr>
        <w:pStyle w:val="TOC1"/>
        <w:tabs>
          <w:tab w:val="right" w:leader="dot" w:pos="8306"/>
        </w:tabs>
      </w:pPr>
      <w:hyperlink w:anchor="_Toc3956" w:history="1">
        <w:r>
          <w:rPr>
            <w:rFonts w:ascii="仿宋" w:eastAsia="仿宋" w:hAnsi="仿宋" w:cs="仿宋" w:hint="eastAsia"/>
            <w:lang w:eastAsia="zh-CN"/>
          </w:rPr>
          <w:t>五、陶瓷电容器项目建设单位说明</w:t>
        </w:r>
        <w:r>
          <w:tab/>
        </w:r>
        <w:r>
          <w:fldChar w:fldCharType="begin"/>
        </w:r>
        <w:r>
          <w:instrText xml:space="preserve"> PAGEREF _Toc3956 \h </w:instrText>
        </w:r>
        <w:r>
          <w:fldChar w:fldCharType="separate"/>
        </w:r>
        <w:r>
          <w:t>14</w:t>
        </w:r>
        <w:r>
          <w:fldChar w:fldCharType="end"/>
        </w:r>
      </w:hyperlink>
    </w:p>
    <w:p>
      <w:pPr>
        <w:pStyle w:val="TOC2"/>
        <w:tabs>
          <w:tab w:val="right" w:leader="dot" w:pos="8306"/>
        </w:tabs>
      </w:pPr>
      <w:hyperlink w:anchor="_Toc10319" w:history="1">
        <w:r>
          <w:rPr>
            <w:rFonts w:ascii="仿宋" w:eastAsia="仿宋" w:hAnsi="仿宋" w:cs="仿宋" w:hint="eastAsia"/>
            <w:lang w:eastAsia="zh-CN"/>
          </w:rPr>
          <w:t>(一)、陶瓷电容器项目承办单位基本情况</w:t>
        </w:r>
        <w:r>
          <w:tab/>
        </w:r>
        <w:r>
          <w:fldChar w:fldCharType="begin"/>
        </w:r>
        <w:r>
          <w:instrText xml:space="preserve"> PAGEREF _Toc10319 \h </w:instrText>
        </w:r>
        <w:r>
          <w:fldChar w:fldCharType="separate"/>
        </w:r>
        <w:r>
          <w:t>14</w:t>
        </w:r>
        <w:r>
          <w:fldChar w:fldCharType="end"/>
        </w:r>
      </w:hyperlink>
    </w:p>
    <w:p>
      <w:pPr>
        <w:pStyle w:val="TOC2"/>
        <w:tabs>
          <w:tab w:val="right" w:leader="dot" w:pos="8306"/>
        </w:tabs>
      </w:pPr>
      <w:hyperlink w:anchor="_Toc6159" w:history="1">
        <w:r>
          <w:rPr>
            <w:rFonts w:ascii="仿宋" w:eastAsia="仿宋" w:hAnsi="仿宋" w:cs="仿宋" w:hint="eastAsia"/>
            <w:lang w:eastAsia="zh-CN"/>
          </w:rPr>
          <w:t>(二)、公司经济效益分析</w:t>
        </w:r>
        <w:r>
          <w:tab/>
        </w:r>
        <w:r>
          <w:fldChar w:fldCharType="begin"/>
        </w:r>
        <w:r>
          <w:instrText xml:space="preserve"> PAGEREF _Toc6159 \h </w:instrText>
        </w:r>
        <w:r>
          <w:fldChar w:fldCharType="separate"/>
        </w:r>
        <w:r>
          <w:t>14</w:t>
        </w:r>
        <w:r>
          <w:fldChar w:fldCharType="end"/>
        </w:r>
      </w:hyperlink>
    </w:p>
    <w:p>
      <w:pPr>
        <w:pStyle w:val="TOC1"/>
        <w:tabs>
          <w:tab w:val="right" w:leader="dot" w:pos="8306"/>
        </w:tabs>
      </w:pPr>
      <w:hyperlink w:anchor="_Toc27721" w:history="1">
        <w:r>
          <w:rPr>
            <w:rFonts w:ascii="仿宋" w:eastAsia="仿宋" w:hAnsi="仿宋" w:cs="仿宋" w:hint="eastAsia"/>
            <w:lang w:eastAsia="zh-CN"/>
          </w:rPr>
          <w:t>六、陶瓷电容器项目绩效评估</w:t>
        </w:r>
        <w:r>
          <w:tab/>
        </w:r>
        <w:r>
          <w:fldChar w:fldCharType="begin"/>
        </w:r>
        <w:r>
          <w:instrText xml:space="preserve"> PAGEREF _Toc27721 \h </w:instrText>
        </w:r>
        <w:r>
          <w:fldChar w:fldCharType="separate"/>
        </w:r>
        <w:r>
          <w:t>15</w:t>
        </w:r>
        <w:r>
          <w:fldChar w:fldCharType="end"/>
        </w:r>
      </w:hyperlink>
    </w:p>
    <w:p>
      <w:pPr>
        <w:pStyle w:val="TOC2"/>
        <w:tabs>
          <w:tab w:val="right" w:leader="dot" w:pos="8306"/>
        </w:tabs>
      </w:pPr>
      <w:hyperlink w:anchor="_Toc19930" w:history="1">
        <w:r>
          <w:rPr>
            <w:rFonts w:ascii="仿宋" w:eastAsia="仿宋" w:hAnsi="仿宋" w:cs="仿宋" w:hint="eastAsia"/>
            <w:lang w:eastAsia="zh-CN"/>
          </w:rPr>
          <w:t>(一)、绩效评估指标</w:t>
        </w:r>
        <w:r>
          <w:tab/>
        </w:r>
        <w:r>
          <w:fldChar w:fldCharType="begin"/>
        </w:r>
        <w:r>
          <w:instrText xml:space="preserve"> PAGEREF _Toc19930 \h </w:instrText>
        </w:r>
        <w:r>
          <w:fldChar w:fldCharType="separate"/>
        </w:r>
        <w:r>
          <w:t>15</w:t>
        </w:r>
        <w:r>
          <w:fldChar w:fldCharType="end"/>
        </w:r>
      </w:hyperlink>
    </w:p>
    <w:p>
      <w:pPr>
        <w:pStyle w:val="TOC2"/>
        <w:tabs>
          <w:tab w:val="right" w:leader="dot" w:pos="8306"/>
        </w:tabs>
      </w:pPr>
      <w:hyperlink w:anchor="_Toc29782" w:history="1">
        <w:r>
          <w:rPr>
            <w:rFonts w:ascii="仿宋" w:eastAsia="仿宋" w:hAnsi="仿宋" w:cs="仿宋" w:hint="eastAsia"/>
            <w:lang w:eastAsia="zh-CN"/>
          </w:rPr>
          <w:t>(二)、绩效评估方法</w:t>
        </w:r>
        <w:r>
          <w:tab/>
        </w:r>
        <w:r>
          <w:fldChar w:fldCharType="begin"/>
        </w:r>
        <w:r>
          <w:instrText xml:space="preserve"> PAGEREF _Toc29782 \h </w:instrText>
        </w:r>
        <w:r>
          <w:fldChar w:fldCharType="separate"/>
        </w:r>
        <w:r>
          <w:t>16</w:t>
        </w:r>
        <w:r>
          <w:fldChar w:fldCharType="end"/>
        </w:r>
      </w:hyperlink>
    </w:p>
    <w:p>
      <w:pPr>
        <w:pStyle w:val="TOC2"/>
        <w:tabs>
          <w:tab w:val="right" w:leader="dot" w:pos="8306"/>
        </w:tabs>
      </w:pPr>
      <w:hyperlink w:anchor="_Toc11656" w:history="1">
        <w:r>
          <w:rPr>
            <w:rFonts w:ascii="仿宋" w:eastAsia="仿宋" w:hAnsi="仿宋" w:cs="仿宋" w:hint="eastAsia"/>
            <w:lang w:eastAsia="zh-CN"/>
          </w:rPr>
          <w:t>(三)、绩效评估周期</w:t>
        </w:r>
        <w:r>
          <w:tab/>
        </w:r>
        <w:r>
          <w:fldChar w:fldCharType="begin"/>
        </w:r>
        <w:r>
          <w:instrText xml:space="preserve"> PAGEREF _Toc11656 \h </w:instrText>
        </w:r>
        <w:r>
          <w:fldChar w:fldCharType="separate"/>
        </w:r>
        <w:r>
          <w:t>17</w:t>
        </w:r>
        <w:r>
          <w:fldChar w:fldCharType="end"/>
        </w:r>
      </w:hyperlink>
    </w:p>
    <w:p>
      <w:pPr>
        <w:pStyle w:val="TOC1"/>
        <w:tabs>
          <w:tab w:val="right" w:leader="dot" w:pos="8306"/>
        </w:tabs>
      </w:pPr>
      <w:hyperlink w:anchor="_Toc4464" w:history="1">
        <w:r>
          <w:rPr>
            <w:rFonts w:ascii="仿宋" w:eastAsia="仿宋" w:hAnsi="仿宋" w:cs="仿宋" w:hint="eastAsia"/>
            <w:lang w:eastAsia="zh-CN"/>
          </w:rPr>
          <w:t>七、生产安全保护</w:t>
        </w:r>
        <w:r>
          <w:tab/>
        </w:r>
        <w:r>
          <w:fldChar w:fldCharType="begin"/>
        </w:r>
        <w:r>
          <w:instrText xml:space="preserve"> PAGEREF _Toc4464 \h </w:instrText>
        </w:r>
        <w:r>
          <w:fldChar w:fldCharType="separate"/>
        </w:r>
        <w:r>
          <w:t>18</w:t>
        </w:r>
        <w:r>
          <w:fldChar w:fldCharType="end"/>
        </w:r>
      </w:hyperlink>
    </w:p>
    <w:p>
      <w:pPr>
        <w:pStyle w:val="TOC2"/>
        <w:tabs>
          <w:tab w:val="right" w:leader="dot" w:pos="8306"/>
        </w:tabs>
      </w:pPr>
      <w:hyperlink w:anchor="_Toc14068" w:history="1">
        <w:r>
          <w:rPr>
            <w:rFonts w:ascii="仿宋" w:eastAsia="仿宋" w:hAnsi="仿宋" w:cs="仿宋" w:hint="eastAsia"/>
            <w:lang w:eastAsia="zh-CN"/>
          </w:rPr>
          <w:t>(一)、消防安全</w:t>
        </w:r>
        <w:r>
          <w:tab/>
        </w:r>
        <w:r>
          <w:fldChar w:fldCharType="begin"/>
        </w:r>
        <w:r>
          <w:instrText xml:space="preserve"> PAGEREF _Toc14068 \h </w:instrText>
        </w:r>
        <w:r>
          <w:fldChar w:fldCharType="separate"/>
        </w:r>
        <w:r>
          <w:t>18</w:t>
        </w:r>
        <w:r>
          <w:fldChar w:fldCharType="end"/>
        </w:r>
      </w:hyperlink>
    </w:p>
    <w:p>
      <w:pPr>
        <w:pStyle w:val="TOC2"/>
        <w:tabs>
          <w:tab w:val="right" w:leader="dot" w:pos="8306"/>
        </w:tabs>
      </w:pPr>
      <w:hyperlink w:anchor="_Toc5029" w:history="1">
        <w:r>
          <w:rPr>
            <w:rFonts w:ascii="仿宋" w:eastAsia="仿宋" w:hAnsi="仿宋" w:cs="仿宋" w:hint="eastAsia"/>
            <w:lang w:eastAsia="zh-CN"/>
          </w:rPr>
          <w:t>(二)、防火防爆总图布置措施</w:t>
        </w:r>
        <w:r>
          <w:tab/>
        </w:r>
        <w:r>
          <w:fldChar w:fldCharType="begin"/>
        </w:r>
        <w:r>
          <w:instrText xml:space="preserve"> PAGEREF _Toc5029 \h </w:instrText>
        </w:r>
        <w:r>
          <w:fldChar w:fldCharType="separate"/>
        </w:r>
        <w:r>
          <w:t>20</w:t>
        </w:r>
        <w:r>
          <w:fldChar w:fldCharType="end"/>
        </w:r>
      </w:hyperlink>
    </w:p>
    <w:p>
      <w:pPr>
        <w:pStyle w:val="TOC2"/>
        <w:tabs>
          <w:tab w:val="right" w:leader="dot" w:pos="8306"/>
        </w:tabs>
      </w:pPr>
      <w:hyperlink w:anchor="_Toc4873" w:history="1">
        <w:r>
          <w:rPr>
            <w:rFonts w:ascii="仿宋" w:eastAsia="仿宋" w:hAnsi="仿宋" w:cs="仿宋" w:hint="eastAsia"/>
            <w:lang w:eastAsia="zh-CN"/>
          </w:rPr>
          <w:t>(三)、自然灾害防范措施</w:t>
        </w:r>
        <w:r>
          <w:tab/>
        </w:r>
        <w:r>
          <w:fldChar w:fldCharType="begin"/>
        </w:r>
        <w:r>
          <w:instrText xml:space="preserve"> PAGEREF _Toc4873 \h </w:instrText>
        </w:r>
        <w:r>
          <w:fldChar w:fldCharType="separate"/>
        </w:r>
        <w:r>
          <w:t>21</w:t>
        </w:r>
        <w:r>
          <w:fldChar w:fldCharType="end"/>
        </w:r>
      </w:hyperlink>
    </w:p>
    <w:p>
      <w:pPr>
        <w:pStyle w:val="TOC2"/>
        <w:tabs>
          <w:tab w:val="right" w:leader="dot" w:pos="8306"/>
        </w:tabs>
      </w:pPr>
      <w:hyperlink w:anchor="_Toc7397" w:history="1">
        <w:r>
          <w:rPr>
            <w:rFonts w:ascii="仿宋" w:eastAsia="仿宋" w:hAnsi="仿宋" w:cs="仿宋" w:hint="eastAsia"/>
            <w:lang w:eastAsia="zh-CN"/>
          </w:rPr>
          <w:t>(四)、安全色及安全标志使用要求</w:t>
        </w:r>
        <w:r>
          <w:tab/>
        </w:r>
        <w:r>
          <w:fldChar w:fldCharType="begin"/>
        </w:r>
        <w:r>
          <w:instrText xml:space="preserve"> PAGEREF _Toc7397 \h </w:instrText>
        </w:r>
        <w:r>
          <w:fldChar w:fldCharType="separate"/>
        </w:r>
        <w:r>
          <w:t>22</w:t>
        </w:r>
        <w:r>
          <w:fldChar w:fldCharType="end"/>
        </w:r>
      </w:hyperlink>
    </w:p>
    <w:p>
      <w:pPr>
        <w:pStyle w:val="TOC2"/>
        <w:tabs>
          <w:tab w:val="right" w:leader="dot" w:pos="8306"/>
        </w:tabs>
      </w:pPr>
      <w:hyperlink w:anchor="_Toc19940" w:history="1">
        <w:r>
          <w:rPr>
            <w:rFonts w:ascii="仿宋" w:eastAsia="仿宋" w:hAnsi="仿宋" w:cs="仿宋" w:hint="eastAsia"/>
            <w:lang w:eastAsia="zh-CN"/>
          </w:rPr>
          <w:t>(五)、防尘防毒措施</w:t>
        </w:r>
        <w:r>
          <w:tab/>
        </w:r>
        <w:r>
          <w:fldChar w:fldCharType="begin"/>
        </w:r>
        <w:r>
          <w:instrText xml:space="preserve"> PAGEREF _Toc19940 \h </w:instrText>
        </w:r>
        <w:r>
          <w:fldChar w:fldCharType="separate"/>
        </w:r>
        <w:r>
          <w:t>23</w:t>
        </w:r>
        <w:r>
          <w:fldChar w:fldCharType="end"/>
        </w:r>
      </w:hyperlink>
    </w:p>
    <w:p>
      <w:pPr>
        <w:pStyle w:val="TOC2"/>
        <w:tabs>
          <w:tab w:val="right" w:leader="dot" w:pos="8306"/>
        </w:tabs>
      </w:pPr>
      <w:hyperlink w:anchor="_Toc23328" w:history="1">
        <w:r>
          <w:rPr>
            <w:rFonts w:ascii="仿宋" w:eastAsia="仿宋" w:hAnsi="仿宋" w:cs="仿宋" w:hint="eastAsia"/>
            <w:lang w:eastAsia="zh-CN"/>
          </w:rPr>
          <w:t>(六)、防静电、触电防护及防雷措施</w:t>
        </w:r>
        <w:r>
          <w:tab/>
        </w:r>
        <w:r>
          <w:fldChar w:fldCharType="begin"/>
        </w:r>
        <w:r>
          <w:instrText xml:space="preserve"> PAGEREF _Toc23328 \h </w:instrText>
        </w:r>
        <w:r>
          <w:fldChar w:fldCharType="separate"/>
        </w:r>
        <w:r>
          <w:t>23</w:t>
        </w:r>
        <w:r>
          <w:fldChar w:fldCharType="end"/>
        </w:r>
      </w:hyperlink>
    </w:p>
    <w:p>
      <w:pPr>
        <w:pStyle w:val="TOC2"/>
        <w:tabs>
          <w:tab w:val="right" w:leader="dot" w:pos="8306"/>
        </w:tabs>
      </w:pPr>
      <w:hyperlink w:anchor="_Toc28401" w:history="1">
        <w:r>
          <w:rPr>
            <w:rFonts w:ascii="仿宋" w:eastAsia="仿宋" w:hAnsi="仿宋" w:cs="仿宋" w:hint="eastAsia"/>
            <w:lang w:eastAsia="zh-CN"/>
          </w:rPr>
          <w:t>(七)、机械设备安全保障措施</w:t>
        </w:r>
        <w:r>
          <w:tab/>
        </w:r>
        <w:r>
          <w:fldChar w:fldCharType="begin"/>
        </w:r>
        <w:r>
          <w:instrText xml:space="preserve"> PAGEREF _Toc28401 \h </w:instrText>
        </w:r>
        <w:r>
          <w:fldChar w:fldCharType="separate"/>
        </w:r>
        <w:r>
          <w:t>25</w:t>
        </w:r>
        <w:r>
          <w:fldChar w:fldCharType="end"/>
        </w:r>
      </w:hyperlink>
    </w:p>
    <w:p>
      <w:pPr>
        <w:pStyle w:val="TOC1"/>
        <w:tabs>
          <w:tab w:val="right" w:leader="dot" w:pos="8306"/>
        </w:tabs>
      </w:pPr>
      <w:hyperlink w:anchor="_Toc27744" w:history="1">
        <w:r>
          <w:rPr>
            <w:rFonts w:ascii="仿宋" w:eastAsia="仿宋" w:hAnsi="仿宋" w:cs="仿宋" w:hint="eastAsia"/>
            <w:lang w:eastAsia="zh-CN"/>
          </w:rPr>
          <w:t>八、陶瓷电容器项目人力资源管理</w:t>
        </w:r>
        <w:r>
          <w:tab/>
        </w:r>
        <w:r>
          <w:fldChar w:fldCharType="begin"/>
        </w:r>
        <w:r>
          <w:instrText xml:space="preserve"> PAGEREF _Toc27744 \h </w:instrText>
        </w:r>
        <w:r>
          <w:fldChar w:fldCharType="separate"/>
        </w:r>
        <w:r>
          <w:t>26</w:t>
        </w:r>
        <w:r>
          <w:fldChar w:fldCharType="end"/>
        </w:r>
      </w:hyperlink>
    </w:p>
    <w:p>
      <w:pPr>
        <w:pStyle w:val="TOC2"/>
        <w:tabs>
          <w:tab w:val="right" w:leader="dot" w:pos="8306"/>
        </w:tabs>
      </w:pPr>
      <w:hyperlink w:anchor="_Toc18201" w:history="1">
        <w:r>
          <w:rPr>
            <w:rFonts w:ascii="仿宋" w:eastAsia="仿宋" w:hAnsi="仿宋" w:cs="仿宋" w:hint="eastAsia"/>
            <w:lang w:eastAsia="zh-CN"/>
          </w:rPr>
          <w:t>(一)、建立健全的预算管理制度</w:t>
        </w:r>
        <w:r>
          <w:tab/>
        </w:r>
        <w:r>
          <w:fldChar w:fldCharType="begin"/>
        </w:r>
        <w:r>
          <w:instrText xml:space="preserve"> PAGEREF _Toc18201 \h </w:instrText>
        </w:r>
        <w:r>
          <w:fldChar w:fldCharType="separate"/>
        </w:r>
        <w:r>
          <w:t>26</w:t>
        </w:r>
        <w:r>
          <w:fldChar w:fldCharType="end"/>
        </w:r>
      </w:hyperlink>
    </w:p>
    <w:p>
      <w:pPr>
        <w:pStyle w:val="TOC2"/>
        <w:tabs>
          <w:tab w:val="right" w:leader="dot" w:pos="8306"/>
        </w:tabs>
      </w:pPr>
      <w:hyperlink w:anchor="_Toc1231" w:history="1">
        <w:r>
          <w:rPr>
            <w:rFonts w:ascii="仿宋" w:eastAsia="仿宋" w:hAnsi="仿宋" w:cs="仿宋" w:hint="eastAsia"/>
            <w:lang w:eastAsia="zh-CN"/>
          </w:rPr>
          <w:t>(二)、加强资金流动监控</w:t>
        </w:r>
        <w:r>
          <w:tab/>
        </w:r>
        <w:r>
          <w:fldChar w:fldCharType="begin"/>
        </w:r>
        <w:r>
          <w:instrText xml:space="preserve"> PAGEREF _Toc1231 \h </w:instrText>
        </w:r>
        <w:r>
          <w:fldChar w:fldCharType="separate"/>
        </w:r>
        <w:r>
          <w:t>28</w:t>
        </w:r>
        <w:r>
          <w:fldChar w:fldCharType="end"/>
        </w:r>
      </w:hyperlink>
    </w:p>
    <w:p>
      <w:pPr>
        <w:pStyle w:val="TOC2"/>
        <w:tabs>
          <w:tab w:val="right" w:leader="dot" w:pos="8306"/>
        </w:tabs>
      </w:pPr>
      <w:hyperlink w:anchor="_Toc19770" w:history="1">
        <w:r>
          <w:rPr>
            <w:rFonts w:ascii="仿宋" w:eastAsia="仿宋" w:hAnsi="仿宋" w:cs="仿宋" w:hint="eastAsia"/>
            <w:lang w:eastAsia="zh-CN"/>
          </w:rPr>
          <w:t>(三)、制定完善的风险控制机制</w:t>
        </w:r>
        <w:r>
          <w:tab/>
        </w:r>
        <w:r>
          <w:fldChar w:fldCharType="begin"/>
        </w:r>
        <w:r>
          <w:instrText xml:space="preserve"> PAGEREF _Toc19770 \h </w:instrText>
        </w:r>
        <w:r>
          <w:fldChar w:fldCharType="separate"/>
        </w:r>
        <w:r>
          <w:t>29</w:t>
        </w:r>
        <w:r>
          <w:fldChar w:fldCharType="end"/>
        </w:r>
      </w:hyperlink>
    </w:p>
    <w:p>
      <w:pPr>
        <w:pStyle w:val="TOC2"/>
        <w:tabs>
          <w:tab w:val="right" w:leader="dot" w:pos="8306"/>
        </w:tabs>
      </w:pPr>
      <w:hyperlink w:anchor="_Toc28098" w:history="1">
        <w:r>
          <w:rPr>
            <w:rFonts w:ascii="仿宋" w:eastAsia="仿宋" w:hAnsi="仿宋" w:cs="仿宋" w:hint="eastAsia"/>
            <w:lang w:eastAsia="zh-CN"/>
          </w:rPr>
          <w:t>(四)、优化成本管理</w:t>
        </w:r>
        <w:r>
          <w:tab/>
        </w:r>
        <w:r>
          <w:fldChar w:fldCharType="begin"/>
        </w:r>
        <w:r>
          <w:instrText xml:space="preserve"> PAGEREF _Toc28098 \h </w:instrText>
        </w:r>
        <w:r>
          <w:fldChar w:fldCharType="separate"/>
        </w:r>
        <w:r>
          <w:t>30</w:t>
        </w:r>
        <w:r>
          <w:fldChar w:fldCharType="end"/>
        </w:r>
      </w:hyperlink>
    </w:p>
    <w:p>
      <w:pPr>
        <w:pStyle w:val="TOC1"/>
        <w:tabs>
          <w:tab w:val="right" w:leader="dot" w:pos="8306"/>
        </w:tabs>
      </w:pPr>
      <w:hyperlink w:anchor="_Toc25470" w:history="1">
        <w:r>
          <w:rPr>
            <w:rFonts w:ascii="仿宋" w:eastAsia="仿宋" w:hAnsi="仿宋" w:cs="仿宋" w:hint="eastAsia"/>
            <w:lang w:eastAsia="zh-CN"/>
          </w:rPr>
          <w:t>九、陶瓷电容器项目计划安排</w:t>
        </w:r>
        <w:r>
          <w:tab/>
        </w:r>
        <w:r>
          <w:fldChar w:fldCharType="begin"/>
        </w:r>
        <w:r>
          <w:instrText xml:space="preserve"> PAGEREF _Toc25470 \h </w:instrText>
        </w:r>
        <w:r>
          <w:fldChar w:fldCharType="separate"/>
        </w:r>
        <w:r>
          <w:t>32</w:t>
        </w:r>
        <w:r>
          <w:fldChar w:fldCharType="end"/>
        </w:r>
      </w:hyperlink>
    </w:p>
    <w:p>
      <w:pPr>
        <w:pStyle w:val="TOC2"/>
        <w:tabs>
          <w:tab w:val="right" w:leader="dot" w:pos="8306"/>
        </w:tabs>
      </w:pPr>
      <w:hyperlink w:anchor="_Toc28223" w:history="1">
        <w:r>
          <w:rPr>
            <w:rFonts w:ascii="仿宋" w:eastAsia="仿宋" w:hAnsi="仿宋" w:cs="仿宋" w:hint="eastAsia"/>
            <w:lang w:eastAsia="zh-CN"/>
          </w:rPr>
          <w:t>(一)、建设周期</w:t>
        </w:r>
        <w:r>
          <w:tab/>
        </w:r>
        <w:r>
          <w:fldChar w:fldCharType="begin"/>
        </w:r>
        <w:r>
          <w:instrText xml:space="preserve"> PAGEREF _Toc28223 \h </w:instrText>
        </w:r>
        <w:r>
          <w:fldChar w:fldCharType="separate"/>
        </w:r>
        <w:r>
          <w:t>32</w:t>
        </w:r>
        <w:r>
          <w:fldChar w:fldCharType="end"/>
        </w:r>
      </w:hyperlink>
    </w:p>
    <w:p>
      <w:pPr>
        <w:pStyle w:val="TOC2"/>
        <w:tabs>
          <w:tab w:val="right" w:leader="dot" w:pos="8306"/>
        </w:tabs>
      </w:pPr>
      <w:hyperlink w:anchor="_Toc29774" w:history="1">
        <w:r>
          <w:rPr>
            <w:rFonts w:ascii="仿宋" w:eastAsia="仿宋" w:hAnsi="仿宋" w:cs="仿宋" w:hint="eastAsia"/>
            <w:lang w:eastAsia="zh-CN"/>
          </w:rPr>
          <w:t>(二)、建设进度</w:t>
        </w:r>
        <w:r>
          <w:tab/>
        </w:r>
        <w:r>
          <w:fldChar w:fldCharType="begin"/>
        </w:r>
        <w:r>
          <w:instrText xml:space="preserve"> PAGEREF _Toc29774 \h </w:instrText>
        </w:r>
        <w:r>
          <w:fldChar w:fldCharType="separate"/>
        </w:r>
        <w:r>
          <w:t>33</w:t>
        </w:r>
        <w:r>
          <w:fldChar w:fldCharType="end"/>
        </w:r>
      </w:hyperlink>
    </w:p>
    <w:p>
      <w:pPr>
        <w:pStyle w:val="TOC2"/>
        <w:tabs>
          <w:tab w:val="right" w:leader="dot" w:pos="8306"/>
        </w:tabs>
      </w:pPr>
      <w:hyperlink w:anchor="_Toc28828" w:history="1">
        <w:r>
          <w:rPr>
            <w:rFonts w:ascii="仿宋" w:eastAsia="仿宋" w:hAnsi="仿宋" w:cs="仿宋" w:hint="eastAsia"/>
            <w:lang w:eastAsia="zh-CN"/>
          </w:rPr>
          <w:t>(三)、进度安排注意事项</w:t>
        </w:r>
        <w:r>
          <w:tab/>
        </w:r>
        <w:r>
          <w:fldChar w:fldCharType="begin"/>
        </w:r>
        <w:r>
          <w:instrText xml:space="preserve"> PAGEREF _Toc28828 \h </w:instrText>
        </w:r>
        <w:r>
          <w:fldChar w:fldCharType="separate"/>
        </w:r>
        <w:r>
          <w:t>33</w:t>
        </w:r>
        <w:r>
          <w:fldChar w:fldCharType="end"/>
        </w:r>
      </w:hyperlink>
    </w:p>
    <w:p>
      <w:pPr>
        <w:pStyle w:val="TOC2"/>
        <w:tabs>
          <w:tab w:val="right" w:leader="dot" w:pos="8306"/>
        </w:tabs>
      </w:pPr>
      <w:hyperlink w:anchor="_Toc3057" w:history="1">
        <w:r>
          <w:rPr>
            <w:rFonts w:ascii="仿宋" w:eastAsia="仿宋" w:hAnsi="仿宋" w:cs="仿宋" w:hint="eastAsia"/>
            <w:lang w:eastAsia="zh-CN"/>
          </w:rPr>
          <w:t>(四)、人力资源配置</w:t>
        </w:r>
        <w:r>
          <w:tab/>
        </w:r>
        <w:r>
          <w:fldChar w:fldCharType="begin"/>
        </w:r>
        <w:r>
          <w:instrText xml:space="preserve"> PAGEREF _Toc3057 \h </w:instrText>
        </w:r>
        <w:r>
          <w:fldChar w:fldCharType="separate"/>
        </w:r>
        <w:r>
          <w:t>35</w:t>
        </w:r>
        <w:r>
          <w:fldChar w:fldCharType="end"/>
        </w:r>
      </w:hyperlink>
    </w:p>
    <w:p>
      <w:pPr>
        <w:pStyle w:val="TOC1"/>
        <w:tabs>
          <w:tab w:val="right" w:leader="dot" w:pos="8306"/>
        </w:tabs>
      </w:pPr>
      <w:hyperlink w:anchor="_Toc5669" w:history="1">
        <w:r>
          <w:rPr>
            <w:rFonts w:ascii="仿宋" w:eastAsia="仿宋" w:hAnsi="仿宋" w:cs="仿宋" w:hint="eastAsia"/>
            <w:lang w:eastAsia="zh-CN"/>
          </w:rPr>
          <w:t>十、陶瓷电容器项目社会影响</w:t>
        </w:r>
        <w:r>
          <w:tab/>
        </w:r>
        <w:r>
          <w:fldChar w:fldCharType="begin"/>
        </w:r>
        <w:r>
          <w:instrText xml:space="preserve"> PAGEREF _Toc5669 \h </w:instrText>
        </w:r>
        <w:r>
          <w:fldChar w:fldCharType="separate"/>
        </w:r>
        <w:r>
          <w:t>36</w:t>
        </w:r>
        <w:r>
          <w:fldChar w:fldCharType="end"/>
        </w:r>
      </w:hyperlink>
    </w:p>
    <w:p>
      <w:pPr>
        <w:pStyle w:val="TOC2"/>
        <w:tabs>
          <w:tab w:val="right" w:leader="dot" w:pos="8306"/>
        </w:tabs>
      </w:pPr>
      <w:hyperlink w:anchor="_Toc31772" w:history="1">
        <w:r>
          <w:rPr>
            <w:rFonts w:ascii="仿宋" w:eastAsia="仿宋" w:hAnsi="仿宋" w:cs="仿宋" w:hint="eastAsia"/>
            <w:lang w:eastAsia="zh-CN"/>
          </w:rPr>
          <w:t>(一)、社会责任与义务</w:t>
        </w:r>
        <w:r>
          <w:tab/>
        </w:r>
        <w:r>
          <w:fldChar w:fldCharType="begin"/>
        </w:r>
        <w:r>
          <w:instrText xml:space="preserve"> PAGEREF _Toc31772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29" w:history="1">
        <w:r>
          <w:rPr>
            <w:rFonts w:ascii="仿宋" w:eastAsia="仿宋" w:hAnsi="仿宋" w:cs="仿宋" w:hint="eastAsia"/>
            <w:lang w:eastAsia="zh-CN"/>
          </w:rPr>
          <w:t>(二)、社会参与与沟通</w:t>
        </w:r>
        <w:r>
          <w:tab/>
        </w:r>
        <w:r>
          <w:fldChar w:fldCharType="begin"/>
        </w:r>
        <w:r>
          <w:instrText xml:space="preserve"> PAGEREF _Toc12529 \h </w:instrText>
        </w:r>
        <w:r>
          <w:fldChar w:fldCharType="separate"/>
        </w:r>
        <w:r>
          <w:t>37</w:t>
        </w:r>
        <w:r>
          <w:fldChar w:fldCharType="end"/>
        </w:r>
      </w:hyperlink>
    </w:p>
    <w:p>
      <w:pPr>
        <w:pStyle w:val="TOC1"/>
        <w:tabs>
          <w:tab w:val="right" w:leader="dot" w:pos="8306"/>
        </w:tabs>
      </w:pPr>
      <w:hyperlink w:anchor="_Toc16631" w:history="1">
        <w:r>
          <w:rPr>
            <w:rFonts w:ascii="仿宋" w:eastAsia="仿宋" w:hAnsi="仿宋" w:cs="仿宋" w:hint="eastAsia"/>
            <w:lang w:eastAsia="zh-CN"/>
          </w:rPr>
          <w:t>十一、陶瓷电容器项目风险管理</w:t>
        </w:r>
        <w:r>
          <w:tab/>
        </w:r>
        <w:r>
          <w:fldChar w:fldCharType="begin"/>
        </w:r>
        <w:r>
          <w:instrText xml:space="preserve"> PAGEREF _Toc16631 \h </w:instrText>
        </w:r>
        <w:r>
          <w:fldChar w:fldCharType="separate"/>
        </w:r>
        <w:r>
          <w:t>38</w:t>
        </w:r>
        <w:r>
          <w:fldChar w:fldCharType="end"/>
        </w:r>
      </w:hyperlink>
    </w:p>
    <w:p>
      <w:pPr>
        <w:pStyle w:val="TOC2"/>
        <w:tabs>
          <w:tab w:val="right" w:leader="dot" w:pos="8306"/>
        </w:tabs>
      </w:pPr>
      <w:hyperlink w:anchor="_Toc7493" w:history="1">
        <w:r>
          <w:rPr>
            <w:rFonts w:ascii="仿宋" w:eastAsia="仿宋" w:hAnsi="仿宋" w:cs="仿宋" w:hint="eastAsia"/>
            <w:lang w:eastAsia="zh-CN"/>
          </w:rPr>
          <w:t>(一)、风险识别与评估</w:t>
        </w:r>
        <w:r>
          <w:tab/>
        </w:r>
        <w:r>
          <w:fldChar w:fldCharType="begin"/>
        </w:r>
        <w:r>
          <w:instrText xml:space="preserve"> PAGEREF _Toc7493 \h </w:instrText>
        </w:r>
        <w:r>
          <w:fldChar w:fldCharType="separate"/>
        </w:r>
        <w:r>
          <w:t>38</w:t>
        </w:r>
        <w:r>
          <w:fldChar w:fldCharType="end"/>
        </w:r>
      </w:hyperlink>
    </w:p>
    <w:p>
      <w:pPr>
        <w:pStyle w:val="TOC2"/>
        <w:tabs>
          <w:tab w:val="right" w:leader="dot" w:pos="8306"/>
        </w:tabs>
      </w:pPr>
      <w:hyperlink w:anchor="_Toc23402" w:history="1">
        <w:r>
          <w:rPr>
            <w:rFonts w:ascii="仿宋" w:eastAsia="仿宋" w:hAnsi="仿宋" w:cs="仿宋" w:hint="eastAsia"/>
            <w:lang w:eastAsia="zh-CN"/>
          </w:rPr>
          <w:t>(二)、风险应对策略</w:t>
        </w:r>
        <w:r>
          <w:tab/>
        </w:r>
        <w:r>
          <w:fldChar w:fldCharType="begin"/>
        </w:r>
        <w:r>
          <w:instrText xml:space="preserve"> PAGEREF _Toc23402 \h </w:instrText>
        </w:r>
        <w:r>
          <w:fldChar w:fldCharType="separate"/>
        </w:r>
        <w:r>
          <w:t>39</w:t>
        </w:r>
        <w:r>
          <w:fldChar w:fldCharType="end"/>
        </w:r>
      </w:hyperlink>
    </w:p>
    <w:p>
      <w:pPr>
        <w:pStyle w:val="TOC2"/>
        <w:tabs>
          <w:tab w:val="right" w:leader="dot" w:pos="8306"/>
        </w:tabs>
      </w:pPr>
      <w:hyperlink w:anchor="_Toc32573" w:history="1">
        <w:r>
          <w:rPr>
            <w:rFonts w:ascii="仿宋" w:eastAsia="仿宋" w:hAnsi="仿宋" w:cs="仿宋" w:hint="eastAsia"/>
            <w:lang w:eastAsia="zh-CN"/>
          </w:rPr>
          <w:t>(三)、风险监控与控制</w:t>
        </w:r>
        <w:r>
          <w:tab/>
        </w:r>
        <w:r>
          <w:fldChar w:fldCharType="begin"/>
        </w:r>
        <w:r>
          <w:instrText xml:space="preserve"> PAGEREF _Toc32573 \h </w:instrText>
        </w:r>
        <w:r>
          <w:fldChar w:fldCharType="separate"/>
        </w:r>
        <w:r>
          <w:t>41</w:t>
        </w:r>
        <w:r>
          <w:fldChar w:fldCharType="end"/>
        </w:r>
      </w:hyperlink>
    </w:p>
    <w:p>
      <w:pPr>
        <w:pStyle w:val="TOC1"/>
        <w:tabs>
          <w:tab w:val="right" w:leader="dot" w:pos="8306"/>
        </w:tabs>
      </w:pPr>
      <w:hyperlink w:anchor="_Toc12974" w:history="1">
        <w:r>
          <w:rPr>
            <w:rFonts w:ascii="仿宋" w:eastAsia="仿宋" w:hAnsi="仿宋" w:cs="仿宋" w:hint="eastAsia"/>
            <w:lang w:eastAsia="zh-CN"/>
          </w:rPr>
          <w:t>十二、陶瓷电容器项目技术管理</w:t>
        </w:r>
        <w:r>
          <w:tab/>
        </w:r>
        <w:r>
          <w:fldChar w:fldCharType="begin"/>
        </w:r>
        <w:r>
          <w:instrText xml:space="preserve"> PAGEREF _Toc12974 \h </w:instrText>
        </w:r>
        <w:r>
          <w:fldChar w:fldCharType="separate"/>
        </w:r>
        <w:r>
          <w:t>42</w:t>
        </w:r>
        <w:r>
          <w:fldChar w:fldCharType="end"/>
        </w:r>
      </w:hyperlink>
    </w:p>
    <w:p>
      <w:pPr>
        <w:pStyle w:val="TOC2"/>
        <w:tabs>
          <w:tab w:val="right" w:leader="dot" w:pos="8306"/>
        </w:tabs>
      </w:pPr>
      <w:hyperlink w:anchor="_Toc20114" w:history="1">
        <w:r>
          <w:rPr>
            <w:rFonts w:ascii="仿宋" w:eastAsia="仿宋" w:hAnsi="仿宋" w:cs="仿宋" w:hint="eastAsia"/>
            <w:lang w:eastAsia="zh-CN"/>
          </w:rPr>
          <w:t>(一)、技术方案选用方向</w:t>
        </w:r>
        <w:r>
          <w:tab/>
        </w:r>
        <w:r>
          <w:fldChar w:fldCharType="begin"/>
        </w:r>
        <w:r>
          <w:instrText xml:space="preserve"> PAGEREF _Toc20114 \h </w:instrText>
        </w:r>
        <w:r>
          <w:fldChar w:fldCharType="separate"/>
        </w:r>
        <w:r>
          <w:t>42</w:t>
        </w:r>
        <w:r>
          <w:fldChar w:fldCharType="end"/>
        </w:r>
      </w:hyperlink>
    </w:p>
    <w:p>
      <w:pPr>
        <w:pStyle w:val="TOC2"/>
        <w:tabs>
          <w:tab w:val="right" w:leader="dot" w:pos="8306"/>
        </w:tabs>
      </w:pPr>
      <w:hyperlink w:anchor="_Toc24429" w:history="1">
        <w:r>
          <w:rPr>
            <w:rFonts w:ascii="仿宋" w:eastAsia="仿宋" w:hAnsi="仿宋" w:cs="仿宋" w:hint="eastAsia"/>
            <w:lang w:eastAsia="zh-CN"/>
          </w:rPr>
          <w:t>(二)、工艺技术方案选用原则</w:t>
        </w:r>
        <w:r>
          <w:tab/>
        </w:r>
        <w:r>
          <w:fldChar w:fldCharType="begin"/>
        </w:r>
        <w:r>
          <w:instrText xml:space="preserve"> PAGEREF _Toc24429 \h </w:instrText>
        </w:r>
        <w:r>
          <w:fldChar w:fldCharType="separate"/>
        </w:r>
        <w:r>
          <w:t>43</w:t>
        </w:r>
        <w:r>
          <w:fldChar w:fldCharType="end"/>
        </w:r>
      </w:hyperlink>
    </w:p>
    <w:p>
      <w:pPr>
        <w:pStyle w:val="TOC2"/>
        <w:tabs>
          <w:tab w:val="right" w:leader="dot" w:pos="8306"/>
        </w:tabs>
      </w:pPr>
      <w:hyperlink w:anchor="_Toc10677" w:history="1">
        <w:r>
          <w:rPr>
            <w:rFonts w:ascii="仿宋" w:eastAsia="仿宋" w:hAnsi="仿宋" w:cs="仿宋" w:hint="eastAsia"/>
            <w:lang w:eastAsia="zh-CN"/>
          </w:rPr>
          <w:t>(三)、工艺技术方案要求</w:t>
        </w:r>
        <w:r>
          <w:tab/>
        </w:r>
        <w:r>
          <w:fldChar w:fldCharType="begin"/>
        </w:r>
        <w:r>
          <w:instrText xml:space="preserve"> PAGEREF _Toc10677 \h </w:instrText>
        </w:r>
        <w:r>
          <w:fldChar w:fldCharType="separate"/>
        </w:r>
        <w:r>
          <w:t>46</w:t>
        </w:r>
        <w:r>
          <w:fldChar w:fldCharType="end"/>
        </w:r>
      </w:hyperlink>
    </w:p>
    <w:p>
      <w:pPr>
        <w:pStyle w:val="TOC1"/>
        <w:tabs>
          <w:tab w:val="right" w:leader="dot" w:pos="8306"/>
        </w:tabs>
      </w:pPr>
      <w:hyperlink w:anchor="_Toc5379" w:history="1">
        <w:r>
          <w:rPr>
            <w:rFonts w:ascii="仿宋" w:eastAsia="仿宋" w:hAnsi="仿宋" w:cs="仿宋" w:hint="eastAsia"/>
            <w:lang w:eastAsia="zh-CN"/>
          </w:rPr>
          <w:t>十三、陶瓷电容器项目治理与监督</w:t>
        </w:r>
        <w:r>
          <w:tab/>
        </w:r>
        <w:r>
          <w:fldChar w:fldCharType="begin"/>
        </w:r>
        <w:r>
          <w:instrText xml:space="preserve"> PAGEREF _Toc5379 \h </w:instrText>
        </w:r>
        <w:r>
          <w:fldChar w:fldCharType="separate"/>
        </w:r>
        <w:r>
          <w:t>48</w:t>
        </w:r>
        <w:r>
          <w:fldChar w:fldCharType="end"/>
        </w:r>
      </w:hyperlink>
    </w:p>
    <w:p>
      <w:pPr>
        <w:pStyle w:val="TOC2"/>
        <w:tabs>
          <w:tab w:val="right" w:leader="dot" w:pos="8306"/>
        </w:tabs>
      </w:pPr>
      <w:hyperlink w:anchor="_Toc29335" w:history="1">
        <w:r>
          <w:rPr>
            <w:rFonts w:ascii="仿宋" w:eastAsia="仿宋" w:hAnsi="仿宋" w:cs="仿宋" w:hint="eastAsia"/>
            <w:lang w:eastAsia="zh-CN"/>
          </w:rPr>
          <w:t>(一)、陶瓷电容器项目治理结构</w:t>
        </w:r>
        <w:r>
          <w:tab/>
        </w:r>
        <w:r>
          <w:fldChar w:fldCharType="begin"/>
        </w:r>
        <w:r>
          <w:instrText xml:space="preserve"> PAGEREF _Toc29335 \h </w:instrText>
        </w:r>
        <w:r>
          <w:fldChar w:fldCharType="separate"/>
        </w:r>
        <w:r>
          <w:t>48</w:t>
        </w:r>
        <w:r>
          <w:fldChar w:fldCharType="end"/>
        </w:r>
      </w:hyperlink>
    </w:p>
    <w:p>
      <w:pPr>
        <w:pStyle w:val="TOC2"/>
        <w:tabs>
          <w:tab w:val="right" w:leader="dot" w:pos="8306"/>
        </w:tabs>
      </w:pPr>
      <w:hyperlink w:anchor="_Toc16791" w:history="1">
        <w:r>
          <w:rPr>
            <w:rFonts w:ascii="仿宋" w:eastAsia="仿宋" w:hAnsi="仿宋" w:cs="仿宋" w:hint="eastAsia"/>
            <w:lang w:eastAsia="zh-CN"/>
          </w:rPr>
          <w:t>(二)、监督与审计</w:t>
        </w:r>
        <w:r>
          <w:tab/>
        </w:r>
        <w:r>
          <w:fldChar w:fldCharType="begin"/>
        </w:r>
        <w:r>
          <w:instrText xml:space="preserve"> PAGEREF _Toc16791 \h </w:instrText>
        </w:r>
        <w:r>
          <w:fldChar w:fldCharType="separate"/>
        </w:r>
        <w:r>
          <w:t>49</w:t>
        </w:r>
        <w:r>
          <w:fldChar w:fldCharType="end"/>
        </w:r>
      </w:hyperlink>
    </w:p>
    <w:p>
      <w:pPr>
        <w:pStyle w:val="TOC1"/>
        <w:tabs>
          <w:tab w:val="right" w:leader="dot" w:pos="8306"/>
        </w:tabs>
      </w:pPr>
      <w:hyperlink w:anchor="_Toc2769" w:history="1">
        <w:r>
          <w:rPr>
            <w:rFonts w:ascii="仿宋" w:eastAsia="仿宋" w:hAnsi="仿宋" w:cs="仿宋" w:hint="eastAsia"/>
            <w:lang w:eastAsia="zh-CN"/>
          </w:rPr>
          <w:t>十四、陶瓷电容器项目工程方案分析</w:t>
        </w:r>
        <w:r>
          <w:tab/>
        </w:r>
        <w:r>
          <w:fldChar w:fldCharType="begin"/>
        </w:r>
        <w:r>
          <w:instrText xml:space="preserve"> PAGEREF _Toc2769 \h </w:instrText>
        </w:r>
        <w:r>
          <w:fldChar w:fldCharType="separate"/>
        </w:r>
        <w:r>
          <w:t>51</w:t>
        </w:r>
        <w:r>
          <w:fldChar w:fldCharType="end"/>
        </w:r>
      </w:hyperlink>
    </w:p>
    <w:p>
      <w:pPr>
        <w:pStyle w:val="TOC2"/>
        <w:tabs>
          <w:tab w:val="right" w:leader="dot" w:pos="8306"/>
        </w:tabs>
      </w:pPr>
      <w:hyperlink w:anchor="_Toc1060" w:history="1">
        <w:r>
          <w:rPr>
            <w:rFonts w:ascii="仿宋" w:eastAsia="仿宋" w:hAnsi="仿宋" w:cs="仿宋" w:hint="eastAsia"/>
            <w:lang w:eastAsia="zh-CN"/>
          </w:rPr>
          <w:t>(一)、建筑工程设计原则</w:t>
        </w:r>
        <w:r>
          <w:tab/>
        </w:r>
        <w:r>
          <w:fldChar w:fldCharType="begin"/>
        </w:r>
        <w:r>
          <w:instrText xml:space="preserve"> PAGEREF _Toc1060 \h </w:instrText>
        </w:r>
        <w:r>
          <w:fldChar w:fldCharType="separate"/>
        </w:r>
        <w:r>
          <w:t>51</w:t>
        </w:r>
        <w:r>
          <w:fldChar w:fldCharType="end"/>
        </w:r>
      </w:hyperlink>
    </w:p>
    <w:p>
      <w:pPr>
        <w:pStyle w:val="TOC2"/>
        <w:tabs>
          <w:tab w:val="right" w:leader="dot" w:pos="8306"/>
        </w:tabs>
      </w:pPr>
      <w:hyperlink w:anchor="_Toc29205" w:history="1">
        <w:r>
          <w:rPr>
            <w:rFonts w:ascii="仿宋" w:eastAsia="仿宋" w:hAnsi="仿宋" w:cs="仿宋" w:hint="eastAsia"/>
            <w:lang w:eastAsia="zh-CN"/>
          </w:rPr>
          <w:t>(二)、土建工程建设指标</w:t>
        </w:r>
        <w:r>
          <w:tab/>
        </w:r>
        <w:r>
          <w:fldChar w:fldCharType="begin"/>
        </w:r>
        <w:r>
          <w:instrText xml:space="preserve"> PAGEREF _Toc29205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3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1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的技术管理特点体现在其创新导向。通过引入最先进的技术趋势和解决方案，陶瓷电容器项目致力于提升科技含量、提高质量和效率水平。这意味着我们将采用最新的工具和方法，确保陶瓷电容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陶瓷电容器项目技术管理的显著特征。通过整合不同领域的技术资源，我们实现了跨学科的协同工作。这有助于优化技术架构，提高整体效能。此外，整合性策略还促进了不同技术团队之间的紧密沟通和高效合作，确保陶瓷电容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陶瓷电容器项目所采用的技术。通过不断优化技术方案，陶瓷电容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陶瓷电容器项目团队将在陶瓷电容器项目初期识别可能的技术风险，并采取相应的预防和应对措施。通过建立健全的风险评估机制，陶瓷电容器项目能够在实施过程中及时发现并解决潜在的技术问题，保障陶瓷电容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陶瓷电容器项目中，技术将成为陶瓷电容器项目成功的有力支持。这一深度剖析揭示了技术管理在陶瓷电容器项目实施中的关键作用，为陶瓷电容器项目的技术基础奠定了坚实的基础。</w:t>
      </w:r>
    </w:p>
    <w:p>
      <w:pPr>
        <w:pStyle w:val="Heading2"/>
        <w:ind w:firstLine="560" w:firstLineChars="200"/>
        <w:rPr>
          <w:rFonts w:ascii="仿宋" w:eastAsia="仿宋" w:hAnsi="仿宋" w:cs="仿宋" w:hint="eastAsia"/>
          <w:sz w:val="28"/>
          <w:lang w:eastAsia="zh-CN"/>
        </w:rPr>
      </w:pPr>
      <w:bookmarkStart w:id="4" w:name="_Toc20644"/>
      <w:r>
        <w:rPr>
          <w:rFonts w:ascii="仿宋" w:eastAsia="仿宋" w:hAnsi="仿宋" w:cs="仿宋" w:hint="eastAsia"/>
          <w:sz w:val="28"/>
          <w:lang w:eastAsia="zh-CN"/>
        </w:rPr>
        <w:t>(二)、陶瓷电容器项目工艺技术设计方案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陶瓷电容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陶瓷电容器项目将严格按照相关行业规范要求进行组织。通过有效控制产品质量，陶瓷电容器项目将致力于为顾客提供优质的陶瓷电容器项目产品和良好的服务。这体现了陶瓷电容器项目对于生产活动合规性和质量标准的高度重视，为陶瓷电容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陶瓷电容器项目注重生态效益和清洁生产原则。陶瓷电容器项目建设将紧密结合地方特色经济发展，与社会经济发展规划和区域环境保护规划方案相协调一致。通过与当地区域自然生态系统的结合，陶瓷电容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陶瓷电容器项目产品具有多样化的客户需求和个性化的特点。因此，陶瓷电容器项目产品规格品种多样，且单批生产数量较小。为满足这一特点，陶瓷电容器项目承办单位将建设先进的柔性制造生产线。通过广泛应用柔性制造技术，陶瓷电容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陶瓷电容器项目采用的技术具有较高的技术含量和自动化水平，处于国内先进水平。这一技术选用不仅体现了对生产效率、质量和环境友好性的高标准要求，同时为陶瓷电容器项目的可持续发展奠定了坚实的基础。</w:t>
      </w:r>
    </w:p>
    <w:p>
      <w:pPr>
        <w:pStyle w:val="Heading2"/>
        <w:ind w:firstLine="560" w:firstLineChars="200"/>
        <w:rPr>
          <w:rFonts w:ascii="仿宋" w:eastAsia="仿宋" w:hAnsi="仿宋" w:cs="仿宋" w:hint="eastAsia"/>
          <w:sz w:val="28"/>
          <w:lang w:eastAsia="zh-CN"/>
        </w:rPr>
      </w:pPr>
      <w:bookmarkStart w:id="5" w:name="_Toc2609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为确保陶瓷电容器项目的高效生产和技术实施，我们制定了一套精心设计的设备选型方案，以满足陶瓷电容器项目生产、质量和环保的要求。该方案的主要特点如下：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陶瓷电容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针对陶瓷电容器项目产品的多样性和小批量生产的特点，我们将建设柔性制造生产线。通过在设备选型中考虑柔性制造技术，可以灵活应对不同产品规格和生产需求，实现生产线的高度灵活性和适应性。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49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5151"/>
      <w:r>
        <w:rPr>
          <w:rFonts w:ascii="仿宋" w:eastAsia="仿宋" w:hAnsi="仿宋" w:cs="仿宋" w:hint="eastAsia"/>
          <w:lang w:eastAsia="zh-CN"/>
        </w:rPr>
        <w:t>(一)、陶瓷电容器行业分析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行业一直以来都是市场的关注焦点。行业内的发展趋势、竞争态势以及潜在机会都对陶瓷电容器项目的推进产生深远的影响。通过深入研究行业的整体概貌，我们将更好地理解行业的核心特征，为陶瓷电容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电容器行业，技术一直是推动创新和发展的关键因素。我们将对当前技术趋势进行详尽分析，包括但不限于人工智能、大数据应用、先进制造技术等。这有助于陶瓷电容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电容器项目成功的基础。我们将对主要竞争对手进行深入研究，包括其市场份额、产品特点、市场定位等。通过全面了解竞争对手的优势和劣势，陶瓷电容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5259"/>
      <w:r>
        <w:rPr>
          <w:rFonts w:ascii="仿宋" w:eastAsia="仿宋" w:hAnsi="仿宋" w:cs="仿宋" w:hint="eastAsia"/>
          <w:sz w:val="28"/>
          <w:lang w:eastAsia="zh-CN"/>
        </w:rPr>
        <w:t>(二)、陶瓷电容器市场分析预测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电容器市场未来的增长趋势。这包括市场的整体规模、各细分领域的发展趋势等。陶瓷电容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电容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陶瓷电容器项目实施过程中需要充分考虑的因素。我们将对市场风险进行全面评估，包括但不限于政策法规风险、市场竞争风险、技术变革风险等。通过对潜在风险的深入分析，陶瓷电容器项目可以制定相应的风险缓解策略，降低不确定性对陶瓷电容器项目的影响。</w:t>
      </w:r>
    </w:p>
    <w:p>
      <w:pPr>
        <w:pStyle w:val="Heading1"/>
        <w:ind w:firstLine="560" w:firstLineChars="200"/>
        <w:rPr>
          <w:rFonts w:ascii="仿宋" w:eastAsia="仿宋" w:hAnsi="仿宋" w:cs="仿宋" w:hint="eastAsia"/>
          <w:sz w:val="28"/>
          <w:lang w:eastAsia="zh-CN"/>
        </w:rPr>
      </w:pPr>
      <w:bookmarkStart w:id="9" w:name="_Toc12948"/>
      <w:r>
        <w:rPr>
          <w:rFonts w:ascii="仿宋" w:eastAsia="仿宋" w:hAnsi="仿宋" w:cs="仿宋" w:hint="eastAsia"/>
          <w:sz w:val="28"/>
          <w:lang w:eastAsia="zh-CN"/>
        </w:rPr>
        <w:t>三、陶瓷电容器项目危机管理</w:t>
      </w:r>
      <w:bookmarkEnd w:id="9"/>
    </w:p>
    <w:p>
      <w:pPr>
        <w:pStyle w:val="Heading2"/>
        <w:rPr>
          <w:rFonts w:ascii="仿宋" w:eastAsia="仿宋" w:hAnsi="仿宋" w:cs="仿宋" w:hint="eastAsia"/>
          <w:lang w:eastAsia="zh-CN"/>
        </w:rPr>
      </w:pPr>
      <w:bookmarkStart w:id="10" w:name="_Toc3035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电容器项目危机管理中，危机预警与识别是确保陶瓷电容器项目稳健运行的核心步骤。通过建立全面的监测机制，陶瓷电容器项目团队旨在及时发现和理解潜在的风险和危机因素，以便采取及时的预防和应对措施，确保陶瓷电容器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首先，通过深入的风险评估，陶瓷电容器项目团队全面分析了整个陶瓷电容器项目和各个阶段可能存在的威胁。这包括准确评估每个潜在风险的发生概率和可能影响的程度，为后续危机预警提供了有力支持。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陶瓷电容器项目团队着重于明确定义陶瓷电容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陶瓷电容器项目进展的持续监控，团队能够及时发现潜在问题并作出迅速反应。陶瓷电容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在这一阶段，团队的专业素养和反应速度将发挥至关重要的作用，以确保潜在危机能够在初期得到有效的处理，最大程度地减轻负面影响。通过危机预警与识别，陶瓷电容器项目得以更有序、可控地推进。</w:t>
      </w:r>
    </w:p>
    <w:p>
      <w:pPr>
        <w:pStyle w:val="Heading2"/>
        <w:ind w:firstLine="560" w:firstLineChars="200"/>
        <w:rPr>
          <w:rFonts w:ascii="仿宋" w:eastAsia="仿宋" w:hAnsi="仿宋" w:cs="仿宋" w:hint="eastAsia"/>
          <w:sz w:val="28"/>
          <w:lang w:eastAsia="zh-CN"/>
        </w:rPr>
      </w:pPr>
      <w:bookmarkStart w:id="11" w:name="_Toc1509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在危机发生时，陶瓷电容器项目团队立即行动，成立了应急小组。该小组的任务是迅速制定并实施紧急应对措施，以最小化潜在损失。以下是采取的主要措施：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暂停陶瓷电容器项目进度：为遏制危机蔓延，陶瓷电容器项目暂时停止进行，以便全面评估当前状况。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资源重新分配：重新评估陶瓷电容器项目资源的分配，确保最大限度地减小损失。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实时沟通：与关键利益相关者建立实时沟通机制，向他们传递陶瓷电容器项目危机的实际状况，保障陶瓷电容器项目核心利益。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在紧急应对的同时，陶瓷电容器项目团队强调了团队协作和有效沟通的重要性。以下是团队协作的关键举措：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信息共享机制：建立了信息共享平台，确保团队成员能够及时获取陶瓷电容器项目危机的实时信息。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领导者沟通：陶瓷电容器项目领导者通过定期会议和即时沟通工具，指导团队应对危机，保持团队稳定运行。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随着危机得到初步控制，陶瓷电容器项目团队转向制定恢复计划，以确保陶瓷电容器项目能够从中迅速恢复。主要恢复计划包括：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修复受损的进度计划：重新评估陶瓷电容器项目进度，制定修复计划，确保陶瓷电容器项目尽快回归正常进程。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重新调整资源分配：优化资源分配，确保陶瓷电容器项目在有限资源下高效运转。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风险管理机制加强：对陶瓷电容器项目风险进行全面评估，制定更强化的风险管理策略，以预防未来可能的危机。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5525"/>
      <w:r>
        <w:rPr>
          <w:rFonts w:ascii="仿宋" w:eastAsia="仿宋" w:hAnsi="仿宋" w:cs="仿宋" w:hint="eastAsia"/>
          <w:sz w:val="28"/>
          <w:lang w:eastAsia="zh-CN"/>
        </w:rPr>
        <w:t>四、陶瓷电容器项目建设背景及必要性分析</w:t>
      </w:r>
      <w:bookmarkEnd w:id="12"/>
    </w:p>
    <w:p>
      <w:pPr>
        <w:pStyle w:val="Heading2"/>
        <w:rPr>
          <w:rFonts w:ascii="仿宋" w:eastAsia="仿宋" w:hAnsi="仿宋" w:cs="仿宋" w:hint="eastAsia"/>
          <w:lang w:eastAsia="zh-CN"/>
        </w:rPr>
      </w:pPr>
      <w:bookmarkStart w:id="13" w:name="_Toc2888"/>
      <w:r>
        <w:rPr>
          <w:rFonts w:ascii="仿宋" w:eastAsia="仿宋" w:hAnsi="仿宋" w:cs="仿宋" w:hint="eastAsia"/>
          <w:lang w:eastAsia="zh-CN"/>
        </w:rPr>
        <w:t>(一)、陶瓷电容器项目背景分析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电容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电容器项目在这个潮流中的定位。同时，我们将关注行业内涌现的新兴机遇，以便陶瓷电容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陶瓷电容器项目提供了强大的发展动力。我们将聚焦于行业内最新的技术发展趋势，包括但不限于人工智能、大数据分析、物联网等领域。通过深度的技术研究，我们将确保陶瓷电容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陶瓷电容器项目发展的源泉。我们将投入更多的精力对市场需求进行深入剖析，超越表面的需求，深入挖掘潜在的市场痛点和机遇。通过对市场需求的细致了解，陶瓷电容器项目将更有针对性地设计解决方案，满足市场的多样化需求，从而更好地促进陶瓷电容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陶瓷电容器项目战略至关重要。我们将对竞争态势进行更为深入的分析，包括但不限于市场份额、产品特点、客户满意度等多个维度。通过深度的竞争分析，陶瓷电容器项目将能够更准确地把握市场脉搏，制定具有竞争力的陶瓷电容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陶瓷电容器项目的发展具有直接的影响。我们将进行更为全面的法规和政策分析，了解行业发展中的潜在法律风险和合规挑战。通过充分了解和遵守相关法规，陶瓷电容器项目将确保在法律框架内合法合规运营，为陶瓷电容器项目的稳健发展提供有力支持。</w:t>
      </w:r>
    </w:p>
    <w:p>
      <w:pPr>
        <w:pStyle w:val="Heading2"/>
        <w:ind w:firstLine="560" w:firstLineChars="200"/>
        <w:rPr>
          <w:rFonts w:ascii="仿宋" w:eastAsia="仿宋" w:hAnsi="仿宋" w:cs="仿宋" w:hint="eastAsia"/>
          <w:sz w:val="28"/>
          <w:lang w:eastAsia="zh-CN"/>
        </w:rPr>
      </w:pPr>
      <w:bookmarkStart w:id="14" w:name="_Toc9124"/>
      <w:r>
        <w:rPr>
          <w:rFonts w:ascii="仿宋" w:eastAsia="仿宋" w:hAnsi="仿宋" w:cs="仿宋" w:hint="eastAsia"/>
          <w:sz w:val="28"/>
          <w:lang w:eastAsia="zh-CN"/>
        </w:rPr>
        <w:t>(二)、陶瓷电容器项目建设必要性分析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陶瓷电容器项目建设的迫切性源于对行业发展趋势的深刻洞察。我们正处于一个行业变革的时代，科技创新、数字化转型成为企业发展的关键动力。陶瓷电容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建设不仅仅是为了跟上潮流，更是为了通过技术创新推动企业的持续发展。通过引入先进的技术和解决方案，陶瓷电容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陶瓷电容器项目的建设成为必然选择，通过提高产品质量、拓展服务领域，从而在竞争中获得更多的机会。陶瓷电容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陶瓷电容器项目建设的必要性体现在对客户需求更精准的满足。通过陶瓷电容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陶瓷电容器项目建设的背后是对企业持续创新的追求。只有通过不断创新，企业才能在竞争中立于不败之地。陶瓷电容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956"/>
      <w:r>
        <w:rPr>
          <w:rFonts w:ascii="仿宋" w:eastAsia="仿宋" w:hAnsi="仿宋" w:cs="仿宋" w:hint="eastAsia"/>
          <w:sz w:val="28"/>
          <w:lang w:eastAsia="zh-CN"/>
        </w:rPr>
        <w:t>五、陶瓷电容器项目建设单位说明</w:t>
      </w:r>
      <w:bookmarkEnd w:id="15"/>
    </w:p>
    <w:p>
      <w:pPr>
        <w:pStyle w:val="Heading2"/>
        <w:rPr>
          <w:rFonts w:ascii="仿宋" w:eastAsia="仿宋" w:hAnsi="仿宋" w:cs="仿宋" w:hint="eastAsia"/>
          <w:lang w:eastAsia="zh-CN"/>
        </w:rPr>
      </w:pPr>
      <w:bookmarkStart w:id="16" w:name="_Toc10319"/>
      <w:r>
        <w:rPr>
          <w:rFonts w:ascii="仿宋" w:eastAsia="仿宋" w:hAnsi="仿宋" w:cs="仿宋" w:hint="eastAsia"/>
          <w:lang w:eastAsia="zh-CN"/>
        </w:rPr>
        <w:t>(一)、陶瓷电容器项目承办单位基本情况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615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陶瓷电容器项目承办单位的XXXX，我们着眼于实现可持续的经济效益。通过技术创新和解决方案的提供，公司预计在陶瓷电容器项目执行期间将获得可观的收入增长。这一收入来源主要包括陶瓷电容器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同时，我们注重成本控制和效率提升，以确保陶瓷电容器项目的可持续盈利。透过精细的管理和资源优化，公司期望实现陶瓷电容器项目利润最大化。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陶瓷电容器项目实施进行全面的投资评估，包括陶瓷电容器项目启动阶段的资金投入和后续运营成本。通过对陶瓷电容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陶瓷电容器项目实施过程中具备足够的资金流动性，公司将进行详尽的现金流分析。这包括资金需求的合理预测、陶瓷电容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7721"/>
      <w:r>
        <w:rPr>
          <w:rFonts w:ascii="仿宋" w:eastAsia="仿宋" w:hAnsi="仿宋" w:cs="仿宋" w:hint="eastAsia"/>
          <w:sz w:val="28"/>
          <w:lang w:eastAsia="zh-CN"/>
        </w:rPr>
        <w:t>六、陶瓷电容器项目绩效评估</w:t>
      </w:r>
      <w:bookmarkEnd w:id="18"/>
    </w:p>
    <w:p>
      <w:pPr>
        <w:pStyle w:val="Heading2"/>
        <w:rPr>
          <w:rFonts w:ascii="仿宋" w:eastAsia="仿宋" w:hAnsi="仿宋" w:cs="仿宋" w:hint="eastAsia"/>
          <w:lang w:eastAsia="zh-CN"/>
        </w:rPr>
      </w:pPr>
      <w:bookmarkStart w:id="19" w:name="_Toc19930"/>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陶瓷电容器项目中，我们设计了一套全面的绩效评估指标，以确保陶瓷电容器项目的可控和成功交付。这些指标跨足陶瓷电容器项目目标、成本、进度和质量等多个维度，为我们提供了全面洞察陶瓷电容器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目标达成率是我们关注的首要指标。我们设定了明确的目标，并通过定期监测和评估，迅速发现并应对潜在的目标偏差。这为陶瓷电容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成本绩效是另一个核心关注点。通过实际成本与预算成本的对比分析，我们深入了解成本差异的原因，及时调整资源分配，保持陶瓷电容器项目在经济效益方面的合理水平。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电容器项目进度作为关键的绩效指标之一，得到了精心的关注。我们制定了详细的陶瓷电容器项目进度计划，并设立了进度符合度指标，确保实际进度与计划进度保持一致。这使我们能够快速发现和解决潜在的进度问题，保持陶瓷电容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陶瓷电容器项目绩效的不可或缺的一环。我们引入了一系列的质量标准和客户满意度指标，以确保陶瓷电容器项目交付的成果在质量上达到或超越预期水平。通过持续监测这些指标，我们努力提升陶瓷电容器项目整体质量水平，为陶瓷电容器项目的成功交付提供有力保障。通过这些科学且全面的绩效评估，我们能够更好地引导陶瓷电容器项目的持续改进，确保陶瓷电容器项目目标的顺利达成。</w:t>
      </w:r>
    </w:p>
    <w:p>
      <w:pPr>
        <w:pStyle w:val="Heading2"/>
        <w:ind w:firstLine="560" w:firstLineChars="200"/>
        <w:rPr>
          <w:rFonts w:ascii="仿宋" w:eastAsia="仿宋" w:hAnsi="仿宋" w:cs="仿宋" w:hint="eastAsia"/>
          <w:sz w:val="28"/>
          <w:lang w:eastAsia="zh-CN"/>
        </w:rPr>
      </w:pPr>
      <w:bookmarkStart w:id="20" w:name="_Toc29782"/>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绩效评估是陶瓷电容器项目中的关键环节，为确保陶瓷电容器项目达到预期目标，我们采用了多层次、多维度的绩效评估方法。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https://d.book118.com/756150105054010041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陶瓷电容器项目计划设计方案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A0747"/>
    <w:rsid w:val="017A07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15010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2024-01-18T11:25:00Z</dcterms:created>
  <dcterms:modified xsi:type="dcterms:W3CDTF">2024-01-18T11:25:54Z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26BD49102CBF493E9D1D3D9C3923D4A5_11</vt:lpwstr>
  </property>
  <property fmtid="{D5CDD505-2E9C-101B-9397-08002B2CF9AE}" pid="3" name="KSOProductBuildVer">
    <vt:lpwstr>2052-12.1.0.16120</vt:lpwstr>
  </property>
</Properties>
</file>