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81E">
      <w:pPr>
        <w:ind w:firstLine="562"/>
        <w:jc w:val="center"/>
        <w:rPr>
          <w:rFonts w:hint="eastAsia"/>
          <w:b/>
          <w:sz w:val="28"/>
        </w:rPr>
      </w:pPr>
      <w:r>
        <w:rPr>
          <w:rFonts w:hint="eastAsia"/>
          <w:b/>
          <w:sz w:val="28"/>
        </w:rPr>
        <w:t>书目</w:t>
      </w:r>
    </w:p>
    <w:p w:rsidR="0061381E">
      <w:pPr>
        <w:pStyle w:val="TOC1"/>
        <w:tabs>
          <w:tab w:val="left" w:pos="1680"/>
          <w:tab w:val="right" w:leader="dot" w:pos="8495"/>
        </w:tabs>
        <w:ind w:firstLine="480"/>
        <w:rPr>
          <w:rFonts w:ascii="Times New Roman" w:hAnsi="Times New Roman"/>
          <w:noProof/>
          <w:color w:val="auto"/>
          <w:sz w:val="21"/>
        </w:rPr>
      </w:pPr>
      <w:r>
        <w:fldChar w:fldCharType="begin" w:dirty="1"/>
      </w:r>
      <w:r>
        <w:instrText xml:space="preserve"> TOC \o "1-4" </w:instrText>
      </w:r>
      <w:r>
        <w:fldChar w:fldCharType="separate"/>
      </w:r>
      <w:r>
        <w:rPr>
          <w:rFonts w:hAnsi="宋体" w:hint="eastAsia"/>
          <w:noProof/>
          <w:color w:val="auto"/>
          <w:szCs w:val="28"/>
        </w:rPr>
        <w:t>第1卷</w:t>
      </w:r>
      <w:r>
        <w:rPr>
          <w:rFonts w:ascii="Times New Roman" w:hAnsi="Times New Roman"/>
          <w:noProof/>
          <w:color w:val="auto"/>
          <w:sz w:val="21"/>
        </w:rPr>
        <w:tab/>
      </w:r>
      <w:r>
        <w:rPr>
          <w:rFonts w:hint="eastAsia"/>
          <w:noProof/>
          <w:szCs w:val="28"/>
        </w:rPr>
        <w:t>工程概况</w:t>
      </w:r>
      <w:r>
        <w:rPr>
          <w:noProof/>
        </w:rPr>
        <w:tab/>
      </w:r>
      <w:r>
        <w:rPr>
          <w:noProof/>
        </w:rPr>
        <w:fldChar w:fldCharType="begin"/>
      </w:r>
      <w:r>
        <w:rPr>
          <w:noProof/>
        </w:rPr>
        <w:instrText xml:space="preserve"> PAGEREF _Toc207007761 \h </w:instrText>
      </w:r>
      <w:r>
        <w:rPr>
          <w:noProof/>
        </w:rPr>
        <w:fldChar w:fldCharType="separate"/>
      </w:r>
      <w:r>
        <w:rPr>
          <w:noProof/>
        </w:rPr>
        <w:t>2</w:t>
      </w:r>
      <w:r>
        <w:rPr>
          <w:noProof/>
        </w:rPr>
        <w:fldChar w:fldCharType="end"/>
      </w:r>
    </w:p>
    <w:p w:rsidR="0061381E">
      <w:pPr>
        <w:pStyle w:val="TOC1"/>
        <w:tabs>
          <w:tab w:val="left" w:pos="1680"/>
          <w:tab w:val="right" w:leader="dot" w:pos="8495"/>
        </w:tabs>
        <w:ind w:firstLine="480"/>
        <w:rPr>
          <w:rFonts w:ascii="Times New Roman" w:hAnsi="Times New Roman"/>
          <w:noProof/>
          <w:color w:val="auto"/>
          <w:sz w:val="21"/>
        </w:rPr>
      </w:pPr>
      <w:r>
        <w:rPr>
          <w:rFonts w:hAnsi="宋体" w:hint="eastAsia"/>
          <w:noProof/>
          <w:color w:val="auto"/>
          <w:szCs w:val="28"/>
        </w:rPr>
        <w:t>第2卷</w:t>
      </w:r>
      <w:r>
        <w:rPr>
          <w:rFonts w:ascii="Times New Roman" w:hAnsi="Times New Roman"/>
          <w:noProof/>
          <w:color w:val="auto"/>
          <w:sz w:val="21"/>
        </w:rPr>
        <w:tab/>
      </w:r>
      <w:r>
        <w:rPr>
          <w:rFonts w:hint="eastAsia"/>
          <w:noProof/>
          <w:szCs w:val="28"/>
        </w:rPr>
        <w:t>施工布置</w:t>
      </w:r>
      <w:r>
        <w:rPr>
          <w:noProof/>
        </w:rPr>
        <w:tab/>
      </w:r>
      <w:r>
        <w:rPr>
          <w:noProof/>
        </w:rPr>
        <w:fldChar w:fldCharType="begin"/>
      </w:r>
      <w:r>
        <w:rPr>
          <w:noProof/>
        </w:rPr>
        <w:instrText xml:space="preserve"> PAGEREF _Toc207007762 \h </w:instrText>
      </w:r>
      <w:r>
        <w:rPr>
          <w:noProof/>
        </w:rPr>
        <w:fldChar w:fldCharType="separate"/>
      </w:r>
      <w:r>
        <w:rPr>
          <w:noProof/>
        </w:rPr>
        <w:t>17</w:t>
      </w:r>
      <w:r>
        <w:rPr>
          <w:noProof/>
        </w:rPr>
        <w:fldChar w:fldCharType="end"/>
      </w:r>
    </w:p>
    <w:p w:rsidR="0061381E">
      <w:pPr>
        <w:pStyle w:val="TOC1"/>
        <w:tabs>
          <w:tab w:val="left" w:pos="1680"/>
          <w:tab w:val="right" w:leader="dot" w:pos="8495"/>
        </w:tabs>
        <w:ind w:firstLine="480"/>
        <w:rPr>
          <w:rFonts w:ascii="Times New Roman" w:hAnsi="Times New Roman"/>
          <w:noProof/>
          <w:color w:val="auto"/>
          <w:sz w:val="21"/>
        </w:rPr>
      </w:pPr>
      <w:r>
        <w:rPr>
          <w:rFonts w:hAnsi="宋体" w:hint="eastAsia"/>
          <w:noProof/>
          <w:color w:val="auto"/>
          <w:szCs w:val="28"/>
        </w:rPr>
        <w:t>第3卷</w:t>
      </w:r>
      <w:r>
        <w:rPr>
          <w:rFonts w:ascii="Times New Roman" w:hAnsi="Times New Roman"/>
          <w:noProof/>
          <w:color w:val="auto"/>
          <w:sz w:val="21"/>
        </w:rPr>
        <w:tab/>
      </w:r>
      <w:r>
        <w:rPr>
          <w:rFonts w:hint="eastAsia"/>
          <w:noProof/>
          <w:szCs w:val="28"/>
        </w:rPr>
        <w:t>施工进度支配</w:t>
      </w:r>
      <w:r>
        <w:rPr>
          <w:noProof/>
        </w:rPr>
        <w:tab/>
      </w:r>
      <w:r>
        <w:rPr>
          <w:noProof/>
        </w:rPr>
        <w:fldChar w:fldCharType="begin"/>
      </w:r>
      <w:r>
        <w:rPr>
          <w:noProof/>
        </w:rPr>
        <w:instrText xml:space="preserve"> PAGEREF _Toc207007763 \h </w:instrText>
      </w:r>
      <w:r>
        <w:rPr>
          <w:noProof/>
        </w:rPr>
        <w:fldChar w:fldCharType="separate"/>
      </w:r>
      <w:r>
        <w:rPr>
          <w:noProof/>
        </w:rPr>
        <w:t>22</w:t>
      </w:r>
      <w:r>
        <w:rPr>
          <w:noProof/>
        </w:rPr>
        <w:fldChar w:fldCharType="end"/>
      </w:r>
    </w:p>
    <w:p w:rsidR="0061381E">
      <w:pPr>
        <w:pStyle w:val="TOC1"/>
        <w:tabs>
          <w:tab w:val="left" w:pos="1680"/>
          <w:tab w:val="right" w:leader="dot" w:pos="8495"/>
        </w:tabs>
        <w:ind w:firstLine="480"/>
        <w:rPr>
          <w:rFonts w:ascii="Times New Roman" w:hAnsi="Times New Roman"/>
          <w:noProof/>
          <w:color w:val="auto"/>
          <w:sz w:val="21"/>
        </w:rPr>
      </w:pPr>
      <w:r>
        <w:rPr>
          <w:rFonts w:hAnsi="宋体" w:hint="eastAsia"/>
          <w:noProof/>
          <w:color w:val="auto"/>
          <w:szCs w:val="28"/>
        </w:rPr>
        <w:t>第4卷</w:t>
      </w:r>
      <w:r>
        <w:rPr>
          <w:rFonts w:ascii="Times New Roman" w:hAnsi="Times New Roman"/>
          <w:noProof/>
          <w:color w:val="auto"/>
          <w:sz w:val="21"/>
        </w:rPr>
        <w:tab/>
      </w:r>
      <w:r>
        <w:rPr>
          <w:rFonts w:hint="eastAsia"/>
          <w:noProof/>
          <w:szCs w:val="28"/>
        </w:rPr>
        <w:t>主要施工工序及施工方法</w:t>
      </w:r>
      <w:r>
        <w:rPr>
          <w:noProof/>
        </w:rPr>
        <w:tab/>
      </w:r>
      <w:r>
        <w:rPr>
          <w:noProof/>
        </w:rPr>
        <w:fldChar w:fldCharType="begin"/>
      </w:r>
      <w:r>
        <w:rPr>
          <w:noProof/>
        </w:rPr>
        <w:instrText xml:space="preserve"> PAGEREF _Toc207007764 \h </w:instrText>
      </w:r>
      <w:r>
        <w:rPr>
          <w:noProof/>
        </w:rPr>
        <w:fldChar w:fldCharType="separate"/>
      </w:r>
      <w:r>
        <w:rPr>
          <w:noProof/>
        </w:rPr>
        <w:t>24</w:t>
      </w:r>
      <w:r>
        <w:rPr>
          <w:noProof/>
        </w:rPr>
        <w:fldChar w:fldCharType="end"/>
      </w:r>
    </w:p>
    <w:p w:rsidR="0061381E">
      <w:pPr>
        <w:pStyle w:val="TOC1"/>
        <w:tabs>
          <w:tab w:val="left" w:pos="1680"/>
          <w:tab w:val="right" w:leader="dot" w:pos="8495"/>
        </w:tabs>
        <w:ind w:firstLine="480"/>
        <w:rPr>
          <w:rFonts w:ascii="Times New Roman" w:hAnsi="Times New Roman"/>
          <w:noProof/>
          <w:color w:val="auto"/>
          <w:sz w:val="21"/>
        </w:rPr>
      </w:pPr>
      <w:r>
        <w:rPr>
          <w:rFonts w:hAnsi="宋体" w:hint="eastAsia"/>
          <w:noProof/>
          <w:color w:val="auto"/>
          <w:szCs w:val="28"/>
        </w:rPr>
        <w:t>第5卷</w:t>
      </w:r>
      <w:r>
        <w:rPr>
          <w:rFonts w:ascii="Times New Roman" w:hAnsi="Times New Roman"/>
          <w:noProof/>
          <w:color w:val="auto"/>
          <w:sz w:val="21"/>
        </w:rPr>
        <w:tab/>
      </w:r>
      <w:r>
        <w:rPr>
          <w:rFonts w:hint="eastAsia"/>
          <w:noProof/>
          <w:szCs w:val="28"/>
        </w:rPr>
        <w:t>主要资源供应支配</w:t>
      </w:r>
      <w:r>
        <w:rPr>
          <w:noProof/>
        </w:rPr>
        <w:tab/>
      </w:r>
      <w:r>
        <w:rPr>
          <w:noProof/>
        </w:rPr>
        <w:fldChar w:fldCharType="begin"/>
      </w:r>
      <w:r>
        <w:rPr>
          <w:noProof/>
        </w:rPr>
        <w:instrText xml:space="preserve"> PAGEREF _Toc207007765 \h </w:instrText>
      </w:r>
      <w:r>
        <w:rPr>
          <w:noProof/>
        </w:rPr>
        <w:fldChar w:fldCharType="separate"/>
      </w:r>
      <w:r>
        <w:rPr>
          <w:noProof/>
        </w:rPr>
        <w:t>35</w:t>
      </w:r>
      <w:r>
        <w:rPr>
          <w:noProof/>
        </w:rPr>
        <w:fldChar w:fldCharType="end"/>
      </w:r>
    </w:p>
    <w:p w:rsidR="0061381E">
      <w:pPr>
        <w:pStyle w:val="TOC1"/>
        <w:tabs>
          <w:tab w:val="left" w:pos="1680"/>
          <w:tab w:val="right" w:leader="dot" w:pos="8495"/>
        </w:tabs>
        <w:ind w:firstLine="480"/>
        <w:rPr>
          <w:rFonts w:ascii="Times New Roman" w:hAnsi="Times New Roman"/>
          <w:noProof/>
          <w:color w:val="auto"/>
          <w:sz w:val="21"/>
        </w:rPr>
      </w:pPr>
      <w:r>
        <w:rPr>
          <w:rFonts w:hAnsi="宋体" w:hint="eastAsia"/>
          <w:noProof/>
          <w:color w:val="auto"/>
          <w:szCs w:val="28"/>
        </w:rPr>
        <w:t>第6卷</w:t>
      </w:r>
      <w:r>
        <w:rPr>
          <w:rFonts w:ascii="Times New Roman" w:hAnsi="Times New Roman"/>
          <w:noProof/>
          <w:color w:val="auto"/>
          <w:sz w:val="21"/>
        </w:rPr>
        <w:tab/>
      </w:r>
      <w:r>
        <w:rPr>
          <w:rFonts w:hint="eastAsia"/>
          <w:noProof/>
          <w:szCs w:val="28"/>
        </w:rPr>
        <w:t>施工质量，平安降本缩短工期时措施</w:t>
      </w:r>
      <w:r>
        <w:rPr>
          <w:noProof/>
        </w:rPr>
        <w:tab/>
      </w:r>
      <w:r>
        <w:rPr>
          <w:noProof/>
        </w:rPr>
        <w:fldChar w:fldCharType="begin"/>
      </w:r>
      <w:r>
        <w:rPr>
          <w:noProof/>
        </w:rPr>
        <w:instrText xml:space="preserve"> PAGEREF _Toc207007766 \h </w:instrText>
      </w:r>
      <w:r>
        <w:rPr>
          <w:noProof/>
        </w:rPr>
        <w:fldChar w:fldCharType="separate"/>
      </w:r>
      <w:r>
        <w:rPr>
          <w:noProof/>
        </w:rPr>
        <w:t>37</w:t>
      </w:r>
      <w:r>
        <w:rPr>
          <w:noProof/>
        </w:rPr>
        <w:fldChar w:fldCharType="end"/>
      </w:r>
    </w:p>
    <w:p w:rsidR="0061381E">
      <w:pPr>
        <w:pStyle w:val="TOC1"/>
        <w:tabs>
          <w:tab w:val="left" w:pos="1680"/>
          <w:tab w:val="right" w:leader="dot" w:pos="8495"/>
        </w:tabs>
        <w:ind w:firstLine="480"/>
        <w:rPr>
          <w:rFonts w:ascii="Times New Roman" w:hAnsi="Times New Roman"/>
          <w:noProof/>
          <w:color w:val="auto"/>
          <w:sz w:val="21"/>
        </w:rPr>
      </w:pPr>
      <w:r>
        <w:rPr>
          <w:rFonts w:hAnsi="宋体" w:hint="eastAsia"/>
          <w:noProof/>
          <w:color w:val="auto"/>
          <w:szCs w:val="28"/>
        </w:rPr>
        <w:t>第7卷</w:t>
      </w:r>
      <w:r>
        <w:rPr>
          <w:rFonts w:ascii="Times New Roman" w:hAnsi="Times New Roman"/>
          <w:noProof/>
          <w:color w:val="auto"/>
          <w:sz w:val="21"/>
        </w:rPr>
        <w:tab/>
      </w:r>
      <w:r>
        <w:rPr>
          <w:rFonts w:hint="eastAsia"/>
          <w:noProof/>
          <w:szCs w:val="28"/>
        </w:rPr>
        <w:t>施工平面布置</w:t>
      </w:r>
      <w:r>
        <w:rPr>
          <w:noProof/>
        </w:rPr>
        <w:tab/>
      </w:r>
      <w:r>
        <w:rPr>
          <w:noProof/>
        </w:rPr>
        <w:fldChar w:fldCharType="begin"/>
      </w:r>
      <w:r>
        <w:rPr>
          <w:noProof/>
        </w:rPr>
        <w:instrText xml:space="preserve"> PAGEREF _Toc207007767 \h </w:instrText>
      </w:r>
      <w:r>
        <w:rPr>
          <w:noProof/>
        </w:rPr>
        <w:fldChar w:fldCharType="separate"/>
      </w:r>
      <w:r>
        <w:rPr>
          <w:noProof/>
        </w:rPr>
        <w:t>43</w:t>
      </w:r>
      <w:r>
        <w:rPr>
          <w:noProof/>
        </w:rPr>
        <w:fldChar w:fldCharType="end"/>
      </w:r>
    </w:p>
    <w:p w:rsidR="0061381E">
      <w:pPr>
        <w:ind w:firstLine="480"/>
        <w:sectPr>
          <w:pgSz w:w="11906" w:h="16838"/>
          <w:pgMar w:top="935" w:right="1800" w:bottom="1440" w:left="1800" w:header="851" w:footer="992" w:gutter="0"/>
          <w:cols w:space="425"/>
          <w:docGrid w:type="lines" w:linePitch="312"/>
        </w:sectPr>
      </w:pPr>
      <w:r>
        <w:fldChar w:fldCharType="end"/>
      </w:r>
    </w:p>
    <w:p w:rsidR="0061381E">
      <w:pPr>
        <w:pStyle w:val="Heading1"/>
        <w:ind w:left="240" w:right="240" w:firstLine="208"/>
      </w:pPr>
      <w:bookmarkStart w:id="0" w:name="_Toc207007761"/>
      <w:r>
        <w:t>工程概况</w:t>
      </w:r>
      <w:bookmarkStart w:id="1" w:name="bk100"/>
      <w:bookmarkEnd w:id="0"/>
      <w:bookmarkEnd w:id="1"/>
    </w:p>
    <w:p w:rsidR="0061381E">
      <w:pPr>
        <w:ind w:firstLine="480"/>
        <w:rPr>
          <w:kern w:val="0"/>
        </w:rPr>
      </w:pPr>
      <w:bookmarkStart w:id="2" w:name="bk101"/>
      <w:bookmarkEnd w:id="2"/>
      <w:r>
        <w:rPr>
          <w:rFonts w:cs="Arial"/>
          <w:kern w:val="0"/>
        </w:rPr>
        <w:t>(</w:t>
      </w:r>
      <w:r>
        <w:rPr>
          <w:rFonts w:hint="eastAsia"/>
          <w:kern w:val="0"/>
        </w:rPr>
        <w:t>一</w:t>
      </w:r>
      <w:r>
        <w:rPr>
          <w:rFonts w:cs="Arial"/>
          <w:kern w:val="0"/>
        </w:rPr>
        <w:t>)</w:t>
      </w:r>
      <w:r>
        <w:rPr>
          <w:rFonts w:hint="eastAsia"/>
          <w:kern w:val="0"/>
        </w:rPr>
        <w:t>工程简介：</w:t>
      </w:r>
    </w:p>
    <w:p w:rsidR="0061381E">
      <w:pPr>
        <w:ind w:firstLine="480"/>
        <w:rPr>
          <w:kern w:val="0"/>
        </w:rPr>
      </w:pPr>
      <w:r>
        <w:rPr>
          <w:rFonts w:hint="eastAsia"/>
          <w:kern w:val="0"/>
        </w:rPr>
        <w:t>本工程为星级酒店、宾馆、综合性高层建筑。总建筑面积</w:t>
      </w:r>
      <w:r>
        <w:rPr>
          <w:rFonts w:cs="Arial"/>
          <w:kern w:val="0"/>
        </w:rPr>
        <w:t xml:space="preserve">13.8 </w:t>
      </w:r>
      <w:r>
        <w:rPr>
          <w:rFonts w:hint="eastAsia"/>
          <w:kern w:val="0"/>
        </w:rPr>
        <w:t>万平方米，其中裙楼部分为</w:t>
      </w:r>
      <w:r>
        <w:rPr>
          <w:rFonts w:cs="Arial"/>
          <w:kern w:val="0"/>
        </w:rPr>
        <w:t xml:space="preserve">55042 </w:t>
      </w:r>
      <w:r>
        <w:rPr>
          <w:rFonts w:hint="eastAsia"/>
          <w:kern w:val="0"/>
        </w:rPr>
        <w:t>平方米；塔楼面积为</w:t>
      </w:r>
      <w:r>
        <w:rPr>
          <w:rFonts w:cs="Arial"/>
          <w:kern w:val="0"/>
        </w:rPr>
        <w:t xml:space="preserve">58546 </w:t>
      </w:r>
      <w:r>
        <w:rPr>
          <w:rFonts w:hint="eastAsia"/>
          <w:kern w:val="0"/>
        </w:rPr>
        <w:t>平方米；地下为</w:t>
      </w:r>
      <w:r>
        <w:rPr>
          <w:rFonts w:cs="Arial"/>
          <w:kern w:val="0"/>
        </w:rPr>
        <w:t xml:space="preserve">24418 </w:t>
      </w:r>
      <w:r>
        <w:rPr>
          <w:rFonts w:hint="eastAsia"/>
          <w:kern w:val="0"/>
        </w:rPr>
        <w:t>平方米。大厦共</w:t>
      </w:r>
      <w:r>
        <w:rPr>
          <w:rFonts w:cs="Arial"/>
          <w:kern w:val="0"/>
        </w:rPr>
        <w:t xml:space="preserve">36 </w:t>
      </w:r>
      <w:r>
        <w:rPr>
          <w:rFonts w:hint="eastAsia"/>
          <w:kern w:val="0"/>
        </w:rPr>
        <w:t>层，其中裙楼</w:t>
      </w:r>
      <w:r>
        <w:rPr>
          <w:rFonts w:cs="Arial"/>
          <w:kern w:val="0"/>
        </w:rPr>
        <w:t xml:space="preserve">8 </w:t>
      </w:r>
      <w:r>
        <w:rPr>
          <w:rFonts w:hint="eastAsia"/>
          <w:kern w:val="0"/>
        </w:rPr>
        <w:t>层，每层</w:t>
      </w:r>
      <w:r>
        <w:rPr>
          <w:rFonts w:cs="Arial"/>
          <w:kern w:val="0"/>
        </w:rPr>
        <w:t xml:space="preserve">7863 </w:t>
      </w:r>
      <w:r>
        <w:rPr>
          <w:rFonts w:hint="eastAsia"/>
          <w:kern w:val="0"/>
        </w:rPr>
        <w:t>平方米；地下</w:t>
      </w:r>
      <w:r>
        <w:rPr>
          <w:rFonts w:cs="Arial"/>
          <w:kern w:val="0"/>
        </w:rPr>
        <w:t xml:space="preserve">3 </w:t>
      </w:r>
      <w:r>
        <w:rPr>
          <w:rFonts w:hint="eastAsia"/>
          <w:kern w:val="0"/>
        </w:rPr>
        <w:t>层，每层</w:t>
      </w:r>
      <w:r>
        <w:rPr>
          <w:rFonts w:cs="Arial"/>
          <w:kern w:val="0"/>
        </w:rPr>
        <w:t xml:space="preserve">8137 </w:t>
      </w:r>
      <w:r>
        <w:rPr>
          <w:rFonts w:hint="eastAsia"/>
          <w:kern w:val="0"/>
        </w:rPr>
        <w:t>平方米；塔楼</w:t>
      </w:r>
      <w:r>
        <w:rPr>
          <w:rFonts w:cs="Arial"/>
          <w:kern w:val="0"/>
        </w:rPr>
        <w:t xml:space="preserve">24 </w:t>
      </w:r>
      <w:r>
        <w:rPr>
          <w:rFonts w:hint="eastAsia"/>
          <w:kern w:val="0"/>
        </w:rPr>
        <w:t>层，每层</w:t>
      </w:r>
      <w:r>
        <w:rPr>
          <w:rFonts w:cs="Arial"/>
          <w:kern w:val="0"/>
        </w:rPr>
        <w:t xml:space="preserve">2458 </w:t>
      </w:r>
      <w:r>
        <w:rPr>
          <w:rFonts w:hint="eastAsia"/>
          <w:kern w:val="0"/>
        </w:rPr>
        <w:t>平方米。</w:t>
      </w:r>
    </w:p>
    <w:p w:rsidR="0061381E">
      <w:pPr>
        <w:ind w:firstLine="480"/>
        <w:rPr>
          <w:kern w:val="0"/>
        </w:rPr>
      </w:pPr>
      <w:r>
        <w:rPr>
          <w:rFonts w:hint="eastAsia"/>
          <w:kern w:val="0"/>
        </w:rPr>
        <w:t>本工程土建主体结构已完工，安装工程预料总施工工期为</w:t>
      </w:r>
      <w:r>
        <w:rPr>
          <w:rFonts w:cs="Arial"/>
          <w:kern w:val="0"/>
        </w:rPr>
        <w:t xml:space="preserve">400 </w:t>
      </w:r>
      <w:r>
        <w:rPr>
          <w:rFonts w:hint="eastAsia"/>
          <w:kern w:val="0"/>
        </w:rPr>
        <w:t>天，详细开竣工日期短暂未定。</w:t>
      </w:r>
    </w:p>
    <w:p w:rsidR="0061381E">
      <w:pPr>
        <w:ind w:firstLine="480"/>
        <w:rPr>
          <w:kern w:val="0"/>
        </w:rPr>
      </w:pPr>
      <w:r>
        <w:rPr>
          <w:rFonts w:hint="eastAsia"/>
          <w:kern w:val="0"/>
        </w:rPr>
        <w:t>（二）主要工作内容</w:t>
      </w:r>
    </w:p>
    <w:p w:rsidR="0061381E">
      <w:pPr>
        <w:ind w:firstLine="480"/>
        <w:rPr>
          <w:kern w:val="0"/>
        </w:rPr>
      </w:pPr>
      <w:r>
        <w:rPr>
          <w:rFonts w:hint="eastAsia"/>
          <w:kern w:val="0"/>
        </w:rPr>
        <w:t>该工程因土建主体结构已完工，因此无预留预埋工作量，主要安装内容为：给排水，电气，通风空调。本方案主要考虑室给排水，强弱电；未考虑室内旧管线、设备等的拆除。</w:t>
      </w:r>
    </w:p>
    <w:p w:rsidR="0061381E">
      <w:pPr>
        <w:ind w:firstLine="480"/>
        <w:rPr>
          <w:kern w:val="0"/>
        </w:rPr>
      </w:pPr>
      <w:r>
        <w:rPr>
          <w:rFonts w:cs="Arial"/>
          <w:kern w:val="0"/>
        </w:rPr>
        <w:t>1</w:t>
      </w:r>
      <w:r>
        <w:rPr>
          <w:rFonts w:hint="eastAsia"/>
          <w:kern w:val="0"/>
        </w:rPr>
        <w:t>、给水排水部分</w:t>
      </w:r>
    </w:p>
    <w:p w:rsidR="0061381E">
      <w:pPr>
        <w:ind w:firstLine="480"/>
        <w:rPr>
          <w:kern w:val="0"/>
        </w:rPr>
      </w:pPr>
      <w:r>
        <w:rPr>
          <w:rFonts w:hint="eastAsia"/>
          <w:kern w:val="0"/>
        </w:rPr>
        <w:t>本工程主要包括生活给水系统、排水系统、废水系统、雨水系统、消防栓系统、自喷系统、热水及其循环系统及设备。</w:t>
      </w:r>
    </w:p>
    <w:p w:rsidR="0061381E">
      <w:pPr>
        <w:ind w:firstLine="480"/>
        <w:rPr>
          <w:kern w:val="0"/>
        </w:rPr>
      </w:pPr>
      <w:r>
        <w:rPr>
          <w:rFonts w:cs="Arial"/>
          <w:kern w:val="0"/>
        </w:rPr>
        <w:t xml:space="preserve">1.1 </w:t>
      </w:r>
      <w:r>
        <w:rPr>
          <w:rFonts w:hint="eastAsia"/>
          <w:kern w:val="0"/>
        </w:rPr>
        <w:t>生活给水系统：</w:t>
      </w:r>
    </w:p>
    <w:p w:rsidR="0061381E">
      <w:pPr>
        <w:ind w:firstLine="480"/>
        <w:rPr>
          <w:kern w:val="0"/>
        </w:rPr>
      </w:pPr>
      <w:r>
        <w:rPr>
          <w:rFonts w:cs="Arial"/>
          <w:kern w:val="0"/>
        </w:rPr>
        <w:t xml:space="preserve">1.1.1 </w:t>
      </w:r>
      <w:r>
        <w:rPr>
          <w:rFonts w:hint="eastAsia"/>
          <w:kern w:val="0"/>
        </w:rPr>
        <w:t>室内给水管采纳三种管材：</w:t>
      </w:r>
      <w:r>
        <w:rPr>
          <w:rFonts w:cs="Arial"/>
          <w:kern w:val="0"/>
        </w:rPr>
        <w:t>DN</w:t>
      </w:r>
      <w:r>
        <w:rPr>
          <w:rFonts w:hint="eastAsia"/>
          <w:kern w:val="0"/>
        </w:rPr>
        <w:t>≥</w:t>
      </w:r>
      <w:r>
        <w:rPr>
          <w:rFonts w:cs="Arial"/>
          <w:kern w:val="0"/>
        </w:rPr>
        <w:t xml:space="preserve">100 </w:t>
      </w:r>
      <w:r>
        <w:rPr>
          <w:rFonts w:hint="eastAsia"/>
          <w:kern w:val="0"/>
        </w:rPr>
        <w:t>采纳加厚焊接钢管，焊接连接；</w:t>
      </w:r>
      <w:r>
        <w:rPr>
          <w:rFonts w:cs="Arial"/>
          <w:kern w:val="0"/>
        </w:rPr>
        <w:t>DN</w:t>
      </w:r>
      <w:r>
        <w:rPr>
          <w:rFonts w:hint="eastAsia"/>
          <w:kern w:val="0"/>
        </w:rPr>
        <w:t>≤</w:t>
      </w:r>
      <w:r>
        <w:rPr>
          <w:rFonts w:cs="Arial"/>
          <w:kern w:val="0"/>
        </w:rPr>
        <w:t>80</w:t>
      </w:r>
      <w:r>
        <w:rPr>
          <w:rFonts w:hint="eastAsia"/>
          <w:kern w:val="0"/>
        </w:rPr>
        <w:t>，采纳镀锌钢管丝接；水表以内采纳铝塑管丝接。生活给水系统分为四个区：地下三层至七层，由市政管网管和九层生活水箱同时供水；八层至十七层由十九层减压生活水箱和市政管网同时供水；十八层至二十二层由市政管干脆供水；二十三层至三十三层，由十九层减压水箱加压后供至屋顶水箱再由其重力供水。</w:t>
      </w:r>
    </w:p>
    <w:p w:rsidR="0061381E">
      <w:pPr>
        <w:ind w:firstLine="480"/>
        <w:rPr>
          <w:kern w:val="0"/>
        </w:rPr>
      </w:pPr>
      <w:r>
        <w:rPr>
          <w:rFonts w:cs="Arial"/>
          <w:kern w:val="0"/>
        </w:rPr>
        <w:t xml:space="preserve">1.1.2 </w:t>
      </w:r>
      <w:r>
        <w:rPr>
          <w:rFonts w:hint="eastAsia"/>
          <w:kern w:val="0"/>
        </w:rPr>
        <w:t>该工程供水水源由两个水厂供水管网组成，各自引入一根</w:t>
      </w:r>
      <w:r>
        <w:rPr>
          <w:rFonts w:cs="Arial"/>
          <w:kern w:val="0"/>
        </w:rPr>
        <w:t xml:space="preserve">DN150 </w:t>
      </w:r>
      <w:r>
        <w:rPr>
          <w:rFonts w:hint="eastAsia"/>
          <w:kern w:val="0"/>
        </w:rPr>
        <w:t>水管，干脆供地下三层至七层给水管、九层水箱、八层至十七层给水管以及十九层生活水箱。</w:t>
      </w:r>
    </w:p>
    <w:p w:rsidR="0061381E">
      <w:pPr>
        <w:ind w:firstLine="480"/>
        <w:rPr>
          <w:kern w:val="0"/>
        </w:rPr>
      </w:pPr>
      <w:r>
        <w:rPr>
          <w:rFonts w:cs="Arial"/>
          <w:kern w:val="0"/>
        </w:rPr>
        <w:t xml:space="preserve">1.1.3 </w:t>
      </w:r>
      <w:r>
        <w:rPr>
          <w:rFonts w:hint="eastAsia"/>
          <w:kern w:val="0"/>
        </w:rPr>
        <w:t>生活给水内容主要是供地下三层至九层卫生间用水、部分厨房用水、十层至三十三层办公区用水等。</w:t>
      </w:r>
    </w:p>
    <w:p w:rsidR="0061381E">
      <w:pPr>
        <w:ind w:firstLine="480"/>
        <w:rPr>
          <w:kern w:val="0"/>
        </w:rPr>
      </w:pPr>
      <w:r>
        <w:rPr>
          <w:rFonts w:cs="Arial"/>
          <w:kern w:val="0"/>
        </w:rPr>
        <w:t xml:space="preserve">1.2 </w:t>
      </w:r>
      <w:r>
        <w:rPr>
          <w:rFonts w:hint="eastAsia"/>
          <w:kern w:val="0"/>
        </w:rPr>
        <w:t>排水系统</w:t>
      </w:r>
    </w:p>
    <w:p w:rsidR="0061381E">
      <w:pPr>
        <w:ind w:firstLine="480"/>
        <w:rPr>
          <w:kern w:val="0"/>
        </w:rPr>
      </w:pPr>
      <w:r>
        <w:rPr>
          <w:rFonts w:cs="Arial"/>
          <w:kern w:val="0"/>
        </w:rPr>
        <w:t xml:space="preserve">1.2.1 </w:t>
      </w:r>
      <w:r>
        <w:rPr>
          <w:rFonts w:hint="eastAsia"/>
          <w:kern w:val="0"/>
        </w:rPr>
        <w:t>排水系统主要指生活污水解除系统。依据高层的特殊须要，立管和主管采纳柔性排水铸铁管，法兰胶圈连接；支管（指卫生间内的连接管）采纳塑料排水管</w:t>
      </w:r>
      <w:r>
        <w:rPr>
          <w:rFonts w:cs="Arial"/>
          <w:kern w:val="0"/>
        </w:rPr>
        <w:t>UPVC</w:t>
      </w:r>
      <w:r>
        <w:rPr>
          <w:rFonts w:hint="eastAsia"/>
          <w:kern w:val="0"/>
        </w:rPr>
        <w:t>管，承插粘接连接；排出管采纳承插铸铁排水管石棉水泥接口连接。</w:t>
      </w:r>
    </w:p>
    <w:p w:rsidR="0061381E">
      <w:pPr>
        <w:ind w:firstLine="480"/>
        <w:rPr>
          <w:kern w:val="0"/>
        </w:rPr>
      </w:pPr>
      <w:r>
        <w:rPr>
          <w:rFonts w:cs="Arial"/>
          <w:kern w:val="0"/>
        </w:rPr>
        <w:t xml:space="preserve">1.2.2 </w:t>
      </w:r>
      <w:r>
        <w:rPr>
          <w:rFonts w:hint="eastAsia"/>
          <w:kern w:val="0"/>
        </w:rPr>
        <w:t>十层及十层以上的排水管在十层下（即九层空间）汇合，采纳</w:t>
      </w:r>
      <w:r>
        <w:rPr>
          <w:rFonts w:cs="Arial"/>
          <w:kern w:val="0"/>
        </w:rPr>
        <w:t xml:space="preserve">DN200 </w:t>
      </w:r>
      <w:r>
        <w:rPr>
          <w:rFonts w:hint="eastAsia"/>
          <w:kern w:val="0"/>
        </w:rPr>
        <w:t>排水管单独排出，排水横管排出口标高＋</w:t>
      </w:r>
      <w:r>
        <w:rPr>
          <w:rFonts w:cs="Arial"/>
          <w:kern w:val="0"/>
        </w:rPr>
        <w:t>3.70m</w:t>
      </w:r>
      <w:r>
        <w:rPr>
          <w:rFonts w:hint="eastAsia"/>
          <w:kern w:val="0"/>
        </w:rPr>
        <w:t>；其它部分排水，一层以上的排水管多单独排出，同一位置的立管，在地下三层排至各自旁边的污水池，然后由各自的排水泵提升排至室外污水井。</w:t>
      </w:r>
    </w:p>
    <w:p w:rsidR="0061381E">
      <w:pPr>
        <w:ind w:firstLine="480"/>
        <w:rPr>
          <w:kern w:val="0"/>
        </w:rPr>
      </w:pPr>
      <w:r>
        <w:rPr>
          <w:rFonts w:cs="Arial"/>
          <w:kern w:val="0"/>
        </w:rPr>
        <w:t xml:space="preserve">1.2.3 </w:t>
      </w:r>
      <w:r>
        <w:rPr>
          <w:rFonts w:hint="eastAsia"/>
          <w:kern w:val="0"/>
        </w:rPr>
        <w:t>较长的排水立管，都设置于其同管径的通气管；遇同位置地上部分单独排出，地下部分同位置排水立管仍旧设同管径的通气管，并与地上部分的通气管连通。</w:t>
      </w:r>
    </w:p>
    <w:p w:rsidR="0061381E">
      <w:pPr>
        <w:ind w:firstLine="480"/>
        <w:rPr>
          <w:kern w:val="0"/>
        </w:rPr>
      </w:pPr>
      <w:r>
        <w:rPr>
          <w:rFonts w:cs="Arial"/>
          <w:kern w:val="0"/>
        </w:rPr>
        <w:t xml:space="preserve">1.2.4 </w:t>
      </w:r>
      <w:r>
        <w:rPr>
          <w:rFonts w:hint="eastAsia"/>
          <w:kern w:val="0"/>
        </w:rPr>
        <w:t>排水立管上检查口，隔层设置，距各层地面高</w:t>
      </w:r>
      <w:r>
        <w:rPr>
          <w:rFonts w:cs="Arial"/>
          <w:kern w:val="0"/>
        </w:rPr>
        <w:t>1.00m</w:t>
      </w:r>
      <w:r>
        <w:rPr>
          <w:rFonts w:hint="eastAsia"/>
          <w:kern w:val="0"/>
        </w:rPr>
        <w:t>，遇有转弯地方，特殊状况特殊处理。</w:t>
      </w:r>
    </w:p>
    <w:p w:rsidR="0061381E">
      <w:pPr>
        <w:ind w:firstLine="480"/>
        <w:rPr>
          <w:kern w:val="0"/>
        </w:rPr>
      </w:pPr>
      <w:r>
        <w:rPr>
          <w:rFonts w:cs="Arial"/>
          <w:kern w:val="0"/>
        </w:rPr>
        <w:t xml:space="preserve">1.3 </w:t>
      </w:r>
      <w:r>
        <w:rPr>
          <w:rFonts w:hint="eastAsia"/>
          <w:kern w:val="0"/>
        </w:rPr>
        <w:t>废水系统</w:t>
      </w:r>
    </w:p>
    <w:p w:rsidR="0061381E">
      <w:pPr>
        <w:ind w:firstLine="480"/>
        <w:rPr>
          <w:kern w:val="0"/>
        </w:rPr>
      </w:pPr>
      <w:r>
        <w:rPr>
          <w:rFonts w:cs="Arial"/>
          <w:kern w:val="0"/>
        </w:rPr>
        <w:t xml:space="preserve">1.3.1 </w:t>
      </w:r>
      <w:r>
        <w:rPr>
          <w:rFonts w:hint="eastAsia"/>
          <w:kern w:val="0"/>
        </w:rPr>
        <w:t>主要是考虑地面上管道检修集水、水箱溢流水、排泄水、火灾发生时地面集水等，经过废水系统收集后统一排至地下三层集水坑中，再由提升泵加压排至室外。</w:t>
      </w:r>
    </w:p>
    <w:p w:rsidR="0061381E">
      <w:pPr>
        <w:ind w:firstLine="480"/>
        <w:rPr>
          <w:kern w:val="0"/>
        </w:rPr>
      </w:pPr>
      <w:r>
        <w:rPr>
          <w:rFonts w:cs="Arial"/>
          <w:kern w:val="0"/>
        </w:rPr>
        <w:t xml:space="preserve">1.3.2 </w:t>
      </w:r>
      <w:r>
        <w:rPr>
          <w:rFonts w:hint="eastAsia"/>
          <w:kern w:val="0"/>
        </w:rPr>
        <w:t>废水立管采纳柔性铸铁排水管，法兰胶圈连接；支管采纳</w:t>
      </w:r>
      <w:r>
        <w:rPr>
          <w:rFonts w:cs="Arial"/>
          <w:kern w:val="0"/>
        </w:rPr>
        <w:t xml:space="preserve">UPVC </w:t>
      </w:r>
      <w:r>
        <w:rPr>
          <w:rFonts w:hint="eastAsia"/>
          <w:kern w:val="0"/>
        </w:rPr>
        <w:t>管，承插粘接连接。</w:t>
      </w:r>
    </w:p>
    <w:p w:rsidR="0061381E">
      <w:pPr>
        <w:ind w:firstLine="480"/>
        <w:rPr>
          <w:kern w:val="0"/>
        </w:rPr>
      </w:pPr>
      <w:r>
        <w:rPr>
          <w:rFonts w:cs="Arial"/>
          <w:kern w:val="0"/>
        </w:rPr>
        <w:t xml:space="preserve">1.4 </w:t>
      </w:r>
      <w:r>
        <w:rPr>
          <w:rFonts w:hint="eastAsia"/>
          <w:kern w:val="0"/>
        </w:rPr>
        <w:t>雨水系统</w:t>
      </w:r>
    </w:p>
    <w:p w:rsidR="0061381E">
      <w:pPr>
        <w:ind w:firstLine="480"/>
        <w:rPr>
          <w:kern w:val="0"/>
        </w:rPr>
        <w:sectPr>
          <w:type w:val="nextPage"/>
          <w:pgSz w:w="11906" w:h="16838"/>
          <w:pgMar w:top="935" w:right="1800" w:bottom="1440" w:left="1800" w:header="851" w:footer="992" w:gutter="0"/>
          <w:pgNumType w:start="2"/>
          <w:cols w:space="425"/>
          <w:titlePg w:val="0"/>
          <w:docGrid w:type="lines" w:linePitch="312"/>
        </w:sectPr>
      </w:pPr>
      <w:r>
        <w:rPr>
          <w:rFonts w:hint="eastAsia"/>
          <w:kern w:val="0"/>
        </w:rPr>
        <w:t>雨水立管采纳柔性抗震铸铁排水管法兰胶圈连接，支管采纳</w:t>
      </w:r>
      <w:r>
        <w:rPr>
          <w:rFonts w:cs="Arial"/>
          <w:kern w:val="0"/>
        </w:rPr>
        <w:t xml:space="preserve">UPVC </w:t>
      </w:r>
    </w:p>
    <w:p w:rsidR="0061381E">
      <w:pPr>
        <w:ind w:firstLine="480"/>
        <w:rPr>
          <w:kern w:val="0"/>
        </w:rPr>
      </w:pPr>
      <w:r>
        <w:rPr>
          <w:rFonts w:hint="eastAsia"/>
          <w:kern w:val="0"/>
        </w:rPr>
        <w:t>管承插粘接连接。雨水收集是采纳一个</w:t>
      </w:r>
      <w:r>
        <w:rPr>
          <w:rFonts w:cs="Arial"/>
          <w:kern w:val="0"/>
        </w:rPr>
        <w:t xml:space="preserve">65 </w:t>
      </w:r>
      <w:r>
        <w:rPr>
          <w:rFonts w:hint="eastAsia"/>
          <w:kern w:val="0"/>
        </w:rPr>
        <w:t>型、二个</w:t>
      </w:r>
      <w:r>
        <w:rPr>
          <w:rFonts w:cs="Arial"/>
          <w:kern w:val="0"/>
        </w:rPr>
        <w:t xml:space="preserve">79 </w:t>
      </w:r>
      <w:r>
        <w:rPr>
          <w:rFonts w:hint="eastAsia"/>
          <w:kern w:val="0"/>
        </w:rPr>
        <w:t>型雨水口，分别接在三个</w:t>
      </w:r>
      <w:r>
        <w:rPr>
          <w:rFonts w:cs="Arial"/>
          <w:kern w:val="0"/>
        </w:rPr>
        <w:t xml:space="preserve">DN150 </w:t>
      </w:r>
      <w:r>
        <w:rPr>
          <w:rFonts w:hint="eastAsia"/>
          <w:kern w:val="0"/>
        </w:rPr>
        <w:t>立管上，在标高＋</w:t>
      </w:r>
      <w:r>
        <w:rPr>
          <w:rFonts w:cs="Arial"/>
          <w:kern w:val="0"/>
        </w:rPr>
        <w:t xml:space="preserve">3.70m </w:t>
      </w:r>
      <w:r>
        <w:rPr>
          <w:rFonts w:hint="eastAsia"/>
          <w:kern w:val="0"/>
        </w:rPr>
        <w:t>及＋</w:t>
      </w:r>
      <w:r>
        <w:rPr>
          <w:rFonts w:cs="Arial"/>
          <w:kern w:val="0"/>
        </w:rPr>
        <w:t xml:space="preserve">3.64m </w:t>
      </w:r>
      <w:r>
        <w:rPr>
          <w:rFonts w:hint="eastAsia"/>
          <w:kern w:val="0"/>
        </w:rPr>
        <w:t>分别排至室外，并且分别在</w:t>
      </w:r>
      <w:r>
        <w:rPr>
          <w:rFonts w:cs="Arial"/>
          <w:kern w:val="0"/>
        </w:rPr>
        <w:t>7F</w:t>
      </w:r>
      <w:r>
        <w:rPr>
          <w:rFonts w:hint="eastAsia"/>
          <w:kern w:val="0"/>
        </w:rPr>
        <w:t>、</w:t>
      </w:r>
      <w:r>
        <w:rPr>
          <w:rFonts w:cs="Arial"/>
          <w:kern w:val="0"/>
        </w:rPr>
        <w:t>13F</w:t>
      </w:r>
      <w:r>
        <w:rPr>
          <w:rFonts w:hint="eastAsia"/>
          <w:kern w:val="0"/>
        </w:rPr>
        <w:t>、</w:t>
      </w:r>
      <w:r>
        <w:rPr>
          <w:rFonts w:cs="Arial"/>
          <w:kern w:val="0"/>
        </w:rPr>
        <w:t>20F</w:t>
      </w:r>
      <w:r>
        <w:rPr>
          <w:rFonts w:hint="eastAsia"/>
          <w:kern w:val="0"/>
        </w:rPr>
        <w:t>、</w:t>
      </w:r>
      <w:r>
        <w:rPr>
          <w:rFonts w:cs="Arial"/>
          <w:kern w:val="0"/>
        </w:rPr>
        <w:t xml:space="preserve">28F </w:t>
      </w:r>
      <w:r>
        <w:rPr>
          <w:rFonts w:hint="eastAsia"/>
          <w:kern w:val="0"/>
        </w:rPr>
        <w:t>等处设置消能装置。</w:t>
      </w:r>
    </w:p>
    <w:p w:rsidR="0061381E">
      <w:pPr>
        <w:ind w:firstLine="480"/>
        <w:rPr>
          <w:kern w:val="0"/>
        </w:rPr>
      </w:pPr>
      <w:r>
        <w:rPr>
          <w:rFonts w:cs="Arial"/>
          <w:kern w:val="0"/>
        </w:rPr>
        <w:t xml:space="preserve">1.5 </w:t>
      </w:r>
      <w:r>
        <w:rPr>
          <w:rFonts w:hint="eastAsia"/>
          <w:kern w:val="0"/>
        </w:rPr>
        <w:t>消火栓系统</w:t>
      </w:r>
    </w:p>
    <w:p w:rsidR="0061381E">
      <w:pPr>
        <w:ind w:firstLine="480"/>
        <w:rPr>
          <w:kern w:val="0"/>
        </w:rPr>
      </w:pPr>
      <w:r>
        <w:rPr>
          <w:rFonts w:cs="Arial"/>
          <w:kern w:val="0"/>
        </w:rPr>
        <w:t xml:space="preserve">1.5.1 </w:t>
      </w:r>
      <w:r>
        <w:rPr>
          <w:rFonts w:hint="eastAsia"/>
          <w:kern w:val="0"/>
        </w:rPr>
        <w:t>消火栓系统管道：立管及各主管采纳无缝钢管焊接连接，支管</w:t>
      </w:r>
      <w:r>
        <w:rPr>
          <w:rFonts w:cs="Arial"/>
          <w:kern w:val="0"/>
        </w:rPr>
        <w:t xml:space="preserve">DN65 </w:t>
      </w:r>
      <w:r>
        <w:rPr>
          <w:rFonts w:hint="eastAsia"/>
          <w:kern w:val="0"/>
        </w:rPr>
        <w:t>镀锌钢管螺纹连接。整个消火栓系统分为三个区，低区为地下三层至九层；中区为十层至二十一层；高区为二十二层至三十三层及屋面部分。</w:t>
      </w:r>
    </w:p>
    <w:p w:rsidR="0061381E">
      <w:pPr>
        <w:ind w:firstLine="480"/>
        <w:rPr>
          <w:kern w:val="0"/>
        </w:rPr>
      </w:pPr>
      <w:r>
        <w:rPr>
          <w:rFonts w:cs="Arial"/>
          <w:kern w:val="0"/>
        </w:rPr>
        <w:t xml:space="preserve">1.5.2 </w:t>
      </w:r>
      <w:r>
        <w:rPr>
          <w:rFonts w:hint="eastAsia"/>
          <w:kern w:val="0"/>
        </w:rPr>
        <w:t>低区由十层消防水箱和地下三层的低区消防水泵同时供水，并在九层成环；同时从水箱以及从低区消火栓加压泵都是两根管供水，保证了供水的平安性。</w:t>
      </w:r>
    </w:p>
    <w:p w:rsidR="0061381E">
      <w:pPr>
        <w:ind w:firstLine="480"/>
        <w:rPr>
          <w:kern w:val="0"/>
        </w:rPr>
      </w:pPr>
      <w:r>
        <w:rPr>
          <w:rFonts w:cs="Arial"/>
          <w:kern w:val="0"/>
        </w:rPr>
        <w:t xml:space="preserve">1.5.3 </w:t>
      </w:r>
      <w:r>
        <w:rPr>
          <w:rFonts w:hint="eastAsia"/>
          <w:kern w:val="0"/>
        </w:rPr>
        <w:t>中区是由屋顶消防水箱利用重力干脆供水和由地下三层中区消防水泵供水，整个中区横管不成环而是利用各立管成环。同时水箱及水泵分别引两根管，保证其供平安性。</w:t>
      </w:r>
    </w:p>
    <w:p w:rsidR="0061381E">
      <w:pPr>
        <w:ind w:firstLine="480"/>
        <w:rPr>
          <w:kern w:val="0"/>
        </w:rPr>
      </w:pPr>
      <w:r>
        <w:rPr>
          <w:rFonts w:cs="Arial"/>
          <w:kern w:val="0"/>
        </w:rPr>
        <w:t xml:space="preserve">1.5.4 </w:t>
      </w:r>
      <w:r>
        <w:rPr>
          <w:rFonts w:hint="eastAsia"/>
          <w:kern w:val="0"/>
        </w:rPr>
        <w:t>高区是由层顶消火栓增压装置、高区消防水泵以及利用屋顶消防水箱同时供水。增压装置主要供二十九层及其以上部分；二十二层至二十八层利用水箱中水重力满意消防压力要求；高区消防水泵同时满意供二十二层至二十八层和二十九以上部分的消防要求。高区也是利用立管自然成环。</w:t>
      </w:r>
    </w:p>
    <w:p w:rsidR="0061381E">
      <w:pPr>
        <w:ind w:firstLine="480"/>
        <w:rPr>
          <w:kern w:val="0"/>
        </w:rPr>
      </w:pPr>
      <w:r>
        <w:rPr>
          <w:rFonts w:cs="Arial"/>
          <w:kern w:val="0"/>
        </w:rPr>
        <w:t xml:space="preserve">1.6 </w:t>
      </w:r>
      <w:r>
        <w:rPr>
          <w:rFonts w:hint="eastAsia"/>
          <w:kern w:val="0"/>
        </w:rPr>
        <w:t>自动喷洒系统</w:t>
      </w:r>
    </w:p>
    <w:p w:rsidR="0061381E">
      <w:pPr>
        <w:ind w:firstLine="480"/>
        <w:rPr>
          <w:kern w:val="0"/>
        </w:rPr>
      </w:pPr>
      <w:r>
        <w:rPr>
          <w:rFonts w:cs="Arial"/>
          <w:kern w:val="0"/>
        </w:rPr>
        <w:t xml:space="preserve">1.6.1 </w:t>
      </w:r>
      <w:r>
        <w:rPr>
          <w:rFonts w:hint="eastAsia"/>
          <w:kern w:val="0"/>
        </w:rPr>
        <w:t>自动喷洒系统管道：立管采纳无缝钢管焊接连接，水流指示器之后支管采纳镀锌钢管丝接。自动喷洒系统分为三个区：地下三层至九层为低区，十层至十九层为中区，二十层至三十层为高区。地下三层自燃机房、发电机房和全部车库采纳成层轻水泡沫灭火系统。整个系统共设有二十一个湿式报警阀，分别限制各个分区。各个分区分别由各自的喷洒增压装置、喷洒水泵、水泵结合器、管网组成。</w:t>
      </w:r>
    </w:p>
    <w:p w:rsidR="0061381E">
      <w:pPr>
        <w:ind w:firstLine="480"/>
        <w:rPr>
          <w:kern w:val="0"/>
        </w:rPr>
      </w:pPr>
      <w:r>
        <w:rPr>
          <w:rFonts w:cs="Arial"/>
          <w:kern w:val="0"/>
        </w:rPr>
        <w:t xml:space="preserve">1.6.2 </w:t>
      </w:r>
      <w:r>
        <w:rPr>
          <w:rFonts w:hint="eastAsia"/>
          <w:kern w:val="0"/>
        </w:rPr>
        <w:t>在自动喷洒系统中，每根立管顶端皆设有自动排气阀；每个支管系统未端皆设有试水装置，其排出水在九层以下排至旁边的卫生间、十层及其以上部分由废水系统特地收集排至地下室集水池中。</w:t>
      </w:r>
    </w:p>
    <w:p w:rsidR="0061381E">
      <w:pPr>
        <w:ind w:firstLine="480"/>
        <w:rPr>
          <w:kern w:val="0"/>
        </w:rPr>
      </w:pPr>
      <w:r>
        <w:rPr>
          <w:rFonts w:cs="Arial"/>
          <w:kern w:val="0"/>
        </w:rPr>
        <w:t xml:space="preserve">1.7 </w:t>
      </w:r>
      <w:r>
        <w:rPr>
          <w:rFonts w:hint="eastAsia"/>
          <w:kern w:val="0"/>
        </w:rPr>
        <w:t>热水及其循环系统</w:t>
      </w:r>
    </w:p>
    <w:p w:rsidR="0061381E">
      <w:pPr>
        <w:ind w:firstLine="480"/>
        <w:rPr>
          <w:kern w:val="0"/>
        </w:rPr>
      </w:pPr>
      <w:r>
        <w:rPr>
          <w:rFonts w:cs="Arial"/>
          <w:kern w:val="0"/>
        </w:rPr>
        <w:t xml:space="preserve">1.7.1 </w:t>
      </w:r>
      <w:r>
        <w:rPr>
          <w:rFonts w:hint="eastAsia"/>
          <w:kern w:val="0"/>
        </w:rPr>
        <w:t>热水管道采纳铜管，管件采纳铜质管件。</w:t>
      </w:r>
    </w:p>
    <w:p w:rsidR="0061381E">
      <w:pPr>
        <w:ind w:firstLine="480"/>
        <w:rPr>
          <w:kern w:val="0"/>
        </w:rPr>
      </w:pPr>
      <w:r>
        <w:rPr>
          <w:rFonts w:cs="Arial"/>
          <w:kern w:val="0"/>
        </w:rPr>
        <w:t xml:space="preserve">1.7.2 </w:t>
      </w:r>
      <w:r>
        <w:rPr>
          <w:rFonts w:hint="eastAsia"/>
          <w:kern w:val="0"/>
        </w:rPr>
        <w:t>热水系统分为两个区：十层至十八层为中区，二十层至三十三层为高区，采纳全日制开敞式的循环系统。中区采纳上供下给式，由热水循环泵供热水至十九层热水水箱，再由其重力供至各用水点。高区供水方式同中区，热水水箱设于屋面上。</w:t>
      </w:r>
    </w:p>
    <w:p w:rsidR="0061381E">
      <w:pPr>
        <w:ind w:firstLine="480"/>
        <w:rPr>
          <w:kern w:val="0"/>
        </w:rPr>
      </w:pPr>
      <w:r>
        <w:rPr>
          <w:rFonts w:cs="Arial"/>
          <w:kern w:val="0"/>
        </w:rPr>
        <w:t xml:space="preserve">1.7.3 </w:t>
      </w:r>
      <w:r>
        <w:rPr>
          <w:rFonts w:hint="eastAsia"/>
          <w:kern w:val="0"/>
        </w:rPr>
        <w:t>为了满意排气和热水膨胀须要，分别在十九层和屋面上设了膨胀水箱。</w:t>
      </w:r>
    </w:p>
    <w:p w:rsidR="0061381E">
      <w:pPr>
        <w:ind w:firstLine="480"/>
        <w:rPr>
          <w:kern w:val="0"/>
        </w:rPr>
      </w:pPr>
      <w:r>
        <w:rPr>
          <w:rFonts w:cs="Arial"/>
          <w:kern w:val="0"/>
        </w:rPr>
        <w:t xml:space="preserve">1.8 </w:t>
      </w:r>
      <w:r>
        <w:rPr>
          <w:rFonts w:hint="eastAsia"/>
          <w:kern w:val="0"/>
        </w:rPr>
        <w:t>设备</w:t>
      </w:r>
    </w:p>
    <w:p w:rsidR="0061381E">
      <w:pPr>
        <w:ind w:firstLine="480"/>
        <w:rPr>
          <w:kern w:val="0"/>
        </w:rPr>
      </w:pPr>
      <w:r>
        <w:rPr>
          <w:rFonts w:hint="eastAsia"/>
          <w:kern w:val="0"/>
        </w:rPr>
        <w:t>主要为消防泵、污废水提升泵和各种加压装置。</w:t>
      </w:r>
    </w:p>
    <w:p w:rsidR="0061381E">
      <w:pPr>
        <w:ind w:firstLine="480"/>
        <w:rPr>
          <w:kern w:val="0"/>
        </w:rPr>
      </w:pPr>
      <w:r>
        <w:rPr>
          <w:rFonts w:cs="Arial"/>
          <w:kern w:val="0"/>
        </w:rPr>
        <w:t>2</w:t>
      </w:r>
      <w:r>
        <w:rPr>
          <w:rFonts w:hint="eastAsia"/>
          <w:kern w:val="0"/>
        </w:rPr>
        <w:t>、强电</w:t>
      </w:r>
    </w:p>
    <w:p w:rsidR="0061381E">
      <w:pPr>
        <w:ind w:firstLine="480"/>
        <w:rPr>
          <w:kern w:val="0"/>
        </w:rPr>
      </w:pPr>
      <w:r>
        <w:rPr>
          <w:rFonts w:hint="eastAsia"/>
          <w:kern w:val="0"/>
        </w:rPr>
        <w:t>主要包括：供配电系统、电力配电系统、自动限制系统、照明配电系统、防雷接地。</w:t>
      </w:r>
    </w:p>
    <w:p w:rsidR="0061381E">
      <w:pPr>
        <w:ind w:firstLine="480"/>
        <w:rPr>
          <w:kern w:val="0"/>
        </w:rPr>
      </w:pPr>
      <w:r>
        <w:rPr>
          <w:rFonts w:cs="Arial"/>
          <w:kern w:val="0"/>
        </w:rPr>
        <w:t xml:space="preserve">2.1 </w:t>
      </w:r>
      <w:r>
        <w:rPr>
          <w:rFonts w:hint="eastAsia"/>
          <w:kern w:val="0"/>
        </w:rPr>
        <w:t>供配电系统：分为高压配电、低压配电、柴油发电机组配电。高压配电由供电局安装；柴油发电机组由厂家安装；本方案未考虑。低压配电系统采纳单母线分段运行，各段母线之间设联络开关，以便在季节性负荷变更时能调整变压器的运行台数。低压配电设备采纳</w:t>
      </w:r>
      <w:r>
        <w:rPr>
          <w:rFonts w:cs="Arial"/>
          <w:kern w:val="0"/>
        </w:rPr>
        <w:t xml:space="preserve">CUBIC </w:t>
      </w:r>
      <w:r>
        <w:rPr>
          <w:rFonts w:hint="eastAsia"/>
          <w:kern w:val="0"/>
        </w:rPr>
        <w:t>型低压抽屉式开关柜，对出线容量较大的回路和主进联络回路均选用进口开关。本工程采纳低压补偿，配有专用低压功率因数自动补偿仪，无功补偿后功率因数可提高至</w:t>
      </w:r>
      <w:r>
        <w:rPr>
          <w:rFonts w:cs="Arial"/>
          <w:kern w:val="0"/>
        </w:rPr>
        <w:t>0.95</w:t>
      </w:r>
      <w:r>
        <w:rPr>
          <w:rFonts w:hint="eastAsia"/>
          <w:kern w:val="0"/>
        </w:rPr>
        <w:t>。</w:t>
      </w:r>
    </w:p>
    <w:p w:rsidR="0061381E">
      <w:pPr>
        <w:ind w:firstLine="480"/>
        <w:rPr>
          <w:kern w:val="0"/>
        </w:rPr>
      </w:pPr>
      <w:r>
        <w:rPr>
          <w:rFonts w:cs="Arial"/>
          <w:kern w:val="0"/>
        </w:rPr>
        <w:t xml:space="preserve">2.2 </w:t>
      </w:r>
      <w:r>
        <w:rPr>
          <w:rFonts w:hint="eastAsia"/>
          <w:kern w:val="0"/>
        </w:rPr>
        <w:t>电力配电系统：采纳树干式和放射式相结合，对消防用电设备均采纳双回路电源供电，消防设备的双电源回路在末端自动切换。配电干线采纳密集型插接母线和电力电缆沿电气竖井和穿金属线槽敷设，支线均采纳金属线槽或穿钢管暗敷。</w:t>
      </w:r>
    </w:p>
    <w:p w:rsidR="0061381E">
      <w:pPr>
        <w:ind w:firstLine="480"/>
        <w:rPr>
          <w:kern w:val="0"/>
        </w:rPr>
      </w:pPr>
      <w:r>
        <w:rPr>
          <w:rFonts w:cs="Arial"/>
          <w:kern w:val="0"/>
        </w:rPr>
        <w:t xml:space="preserve">2.3 </w:t>
      </w:r>
      <w:r>
        <w:rPr>
          <w:rFonts w:hint="eastAsia"/>
          <w:kern w:val="0"/>
        </w:rPr>
        <w:t>动限制系统：消火栓泵、喷洒泵采纳恒压自动限制或消防优先自动限制；生活给水泵采纳变频调速节能运行或水位自动限制；排水泵采纳水位自动限制。燃气机房排烟风机和机组引风机联动限制，限制为自动和手动。</w:t>
      </w:r>
    </w:p>
    <w:p w:rsidR="0061381E">
      <w:pPr>
        <w:ind w:firstLine="480"/>
        <w:rPr>
          <w:kern w:val="0"/>
        </w:rPr>
        <w:sectPr>
          <w:type w:val="nextPage"/>
          <w:pgSz w:w="11906" w:h="16838"/>
          <w:pgMar w:top="935" w:right="1800" w:bottom="1440" w:left="1800" w:header="851" w:footer="992" w:gutter="0"/>
          <w:pgNumType w:start="3"/>
          <w:cols w:space="425"/>
          <w:titlePg w:val="0"/>
          <w:docGrid w:type="lines" w:linePitch="312"/>
        </w:sectPr>
      </w:pPr>
      <w:r>
        <w:rPr>
          <w:rFonts w:cs="Arial"/>
          <w:kern w:val="0"/>
        </w:rPr>
        <w:t xml:space="preserve">2.4 </w:t>
      </w:r>
      <w:r>
        <w:rPr>
          <w:rFonts w:hint="eastAsia"/>
          <w:kern w:val="0"/>
        </w:rPr>
        <w:t>照明配电系统：照明干采纳密集型母线供电，分支线采纳</w:t>
      </w:r>
      <w:r>
        <w:rPr>
          <w:rFonts w:cs="Arial"/>
          <w:kern w:val="0"/>
        </w:rPr>
        <w:t>BV-450/750V</w:t>
      </w:r>
      <w:r>
        <w:rPr>
          <w:rFonts w:hint="eastAsia"/>
          <w:kern w:val="0"/>
        </w:rPr>
        <w:t>，</w:t>
      </w:r>
      <w:r>
        <w:rPr>
          <w:rFonts w:cs="Arial"/>
          <w:kern w:val="0"/>
        </w:rPr>
        <w:t xml:space="preserve">2.5 </w:t>
      </w:r>
      <w:r>
        <w:rPr>
          <w:rFonts w:hint="eastAsia"/>
          <w:kern w:val="0"/>
        </w:rPr>
        <w:t>㎜</w:t>
      </w:r>
      <w:r>
        <w:rPr>
          <w:rFonts w:cs="Arial"/>
          <w:kern w:val="0"/>
        </w:rPr>
        <w:t xml:space="preserve">2 </w:t>
      </w:r>
    </w:p>
    <w:p w:rsidR="0061381E">
      <w:pPr>
        <w:ind w:firstLine="480"/>
        <w:rPr>
          <w:kern w:val="0"/>
        </w:rPr>
      </w:pPr>
      <w:r>
        <w:rPr>
          <w:rFonts w:hint="eastAsia"/>
          <w:kern w:val="0"/>
        </w:rPr>
        <w:t>铜芯导线穿阻燃</w:t>
      </w:r>
      <w:r>
        <w:rPr>
          <w:rFonts w:cs="Arial"/>
          <w:kern w:val="0"/>
        </w:rPr>
        <w:t xml:space="preserve">PVC </w:t>
      </w:r>
      <w:r>
        <w:rPr>
          <w:rFonts w:hint="eastAsia"/>
          <w:kern w:val="0"/>
        </w:rPr>
        <w:t>电线管暗敷，线全长预留商场、餐厅、消遣及建筑物立面部分照明容量。</w:t>
      </w:r>
    </w:p>
    <w:p w:rsidR="0061381E">
      <w:pPr>
        <w:ind w:firstLine="480"/>
        <w:rPr>
          <w:rFonts w:cs="Arial"/>
          <w:kern w:val="0"/>
        </w:rPr>
      </w:pPr>
      <w:r>
        <w:rPr>
          <w:rFonts w:cs="Arial"/>
          <w:kern w:val="0"/>
        </w:rPr>
        <w:t xml:space="preserve">2.5 </w:t>
      </w:r>
      <w:r>
        <w:rPr>
          <w:rFonts w:hint="eastAsia"/>
          <w:kern w:val="0"/>
        </w:rPr>
        <w:t>防雷接地：本工程防雷等级为民用一级，采纳层顶暗装避雷带爱护，屋面采纳不大于</w:t>
      </w:r>
      <w:r>
        <w:rPr>
          <w:rFonts w:cs="Arial"/>
          <w:kern w:val="0"/>
        </w:rPr>
        <w:t>10</w:t>
      </w:r>
      <w:r>
        <w:rPr>
          <w:rFonts w:hint="eastAsia"/>
          <w:kern w:val="0"/>
        </w:rPr>
        <w:t>×</w:t>
      </w:r>
      <w:r>
        <w:rPr>
          <w:rFonts w:cs="Arial"/>
          <w:kern w:val="0"/>
        </w:rPr>
        <w:t xml:space="preserve">10 </w:t>
      </w:r>
      <w:r>
        <w:rPr>
          <w:rFonts w:hint="eastAsia"/>
          <w:kern w:val="0"/>
        </w:rPr>
        <w:t>米的网格和引下线及航空障碍灯基脚牢靠焊接，一并引下基础接地</w:t>
      </w:r>
      <w:r>
        <w:rPr>
          <w:rFonts w:cs="Arial"/>
          <w:kern w:val="0"/>
        </w:rPr>
        <w:t>.</w:t>
      </w:r>
      <w:r>
        <w:rPr>
          <w:rFonts w:hint="eastAsia"/>
          <w:kern w:val="0"/>
        </w:rPr>
        <w:t>利用钢筋砼柱内钢筋作防雷引下线</w:t>
      </w:r>
      <w:r>
        <w:rPr>
          <w:rFonts w:cs="Arial"/>
          <w:kern w:val="0"/>
        </w:rPr>
        <w:t>,</w:t>
      </w:r>
      <w:r>
        <w:rPr>
          <w:rFonts w:hint="eastAsia"/>
          <w:kern w:val="0"/>
        </w:rPr>
        <w:t>利用基础作防雷接地体</w:t>
      </w:r>
      <w:r>
        <w:rPr>
          <w:rFonts w:cs="Arial"/>
          <w:kern w:val="0"/>
        </w:rPr>
        <w:t>.</w:t>
      </w:r>
      <w:r>
        <w:rPr>
          <w:rFonts w:hint="eastAsia"/>
          <w:kern w:val="0"/>
        </w:rPr>
        <w:t>在建筑物</w:t>
      </w:r>
      <w:r>
        <w:rPr>
          <w:rFonts w:cs="Arial"/>
          <w:kern w:val="0"/>
        </w:rPr>
        <w:t xml:space="preserve">30M </w:t>
      </w:r>
      <w:r>
        <w:rPr>
          <w:rFonts w:hint="eastAsia"/>
          <w:kern w:val="0"/>
        </w:rPr>
        <w:t>以上，每三层设置均压环以防侧雷击，屋面突出设备和屋面避雷带、侧面金属门、窗和引下线牢靠连接，一并引下至基础接地，在大厦底部利用不上于</w:t>
      </w:r>
      <w:r>
        <w:rPr>
          <w:rFonts w:cs="Arial"/>
          <w:kern w:val="0"/>
        </w:rPr>
        <w:t>40</w:t>
      </w:r>
      <w:r>
        <w:rPr>
          <w:rFonts w:hint="eastAsia"/>
          <w:kern w:val="0"/>
        </w:rPr>
        <w:t>×</w:t>
      </w:r>
      <w:r>
        <w:rPr>
          <w:rFonts w:cs="Arial"/>
          <w:kern w:val="0"/>
        </w:rPr>
        <w:t xml:space="preserve">4 </w:t>
      </w:r>
      <w:r>
        <w:rPr>
          <w:rFonts w:hint="eastAsia"/>
          <w:kern w:val="0"/>
        </w:rPr>
        <w:t>的镀锌扁钢做成不大于</w:t>
      </w:r>
      <w:r>
        <w:rPr>
          <w:rFonts w:cs="Arial"/>
          <w:kern w:val="0"/>
        </w:rPr>
        <w:t>10</w:t>
      </w:r>
      <w:r>
        <w:rPr>
          <w:rFonts w:hint="eastAsia"/>
          <w:kern w:val="0"/>
        </w:rPr>
        <w:t>×</w:t>
      </w:r>
      <w:r>
        <w:rPr>
          <w:rFonts w:cs="Arial"/>
          <w:kern w:val="0"/>
        </w:rPr>
        <w:t xml:space="preserve">10 </w:t>
      </w:r>
      <w:r>
        <w:rPr>
          <w:rFonts w:hint="eastAsia"/>
          <w:kern w:val="0"/>
        </w:rPr>
        <w:t>米的接地网，建筑防雷接地弱电接地、变压器、发电机中性点接地共用接地网。接地电阻不大于</w:t>
      </w:r>
      <w:r>
        <w:rPr>
          <w:rFonts w:cs="Arial"/>
          <w:kern w:val="0"/>
        </w:rPr>
        <w:t xml:space="preserve">1 </w:t>
      </w:r>
      <w:r>
        <w:rPr>
          <w:rFonts w:hint="eastAsia"/>
          <w:kern w:val="0"/>
        </w:rPr>
        <w:t>欧</w:t>
      </w:r>
      <w:r>
        <w:rPr>
          <w:rFonts w:cs="Arial"/>
          <w:kern w:val="0"/>
        </w:rPr>
        <w:t>.</w:t>
      </w:r>
    </w:p>
    <w:p w:rsidR="0061381E">
      <w:pPr>
        <w:ind w:firstLine="480"/>
        <w:rPr>
          <w:kern w:val="0"/>
        </w:rPr>
      </w:pPr>
      <w:r>
        <w:rPr>
          <w:rFonts w:cs="Arial"/>
          <w:kern w:val="0"/>
        </w:rPr>
        <w:t>3</w:t>
      </w:r>
      <w:r>
        <w:rPr>
          <w:rFonts w:hint="eastAsia"/>
          <w:kern w:val="0"/>
        </w:rPr>
        <w:t>、弱电部分</w:t>
      </w:r>
    </w:p>
    <w:p w:rsidR="0061381E">
      <w:pPr>
        <w:ind w:firstLine="480"/>
        <w:rPr>
          <w:kern w:val="0"/>
        </w:rPr>
      </w:pPr>
      <w:r>
        <w:rPr>
          <w:rFonts w:hint="eastAsia"/>
          <w:kern w:val="0"/>
        </w:rPr>
        <w:t>包括火灾自动报警、消防联动、应急广、背景音响系统、火警电话系统、电话通讯系、电视监控系统、电缆电视系统、保安巡更系统、车库车理系统。</w:t>
      </w:r>
    </w:p>
    <w:p w:rsidR="0061381E">
      <w:pPr>
        <w:ind w:firstLine="480"/>
        <w:rPr>
          <w:kern w:val="0"/>
        </w:rPr>
      </w:pPr>
      <w:r>
        <w:rPr>
          <w:rFonts w:cs="Arial"/>
          <w:kern w:val="0"/>
        </w:rPr>
        <w:t xml:space="preserve">3.1 </w:t>
      </w:r>
      <w:r>
        <w:rPr>
          <w:rFonts w:hint="eastAsia"/>
          <w:kern w:val="0"/>
        </w:rPr>
        <w:t>火灾自动报警和联动系统：系统为智能型二总线报警系统和联动系统，由烟、温、燃气探测器、手动报警器、消火栓开关水流指示器、湿式报警阀和压力开关检修阀、灭火限制器、消防中心计算机构成火灾自动报警系统和联动系统。系统设置不拨号火警电话，各防火区域火警电话直通消防中心。消防电梯内正常通讯电话与火警电话合用，正常状态和火灾时相互切换，火灾时作火警电话用。火灾紧急广播和背景音乐合用喇叭箱，功率不小于</w:t>
      </w:r>
      <w:r>
        <w:rPr>
          <w:rFonts w:cs="Arial"/>
          <w:kern w:val="0"/>
        </w:rPr>
        <w:t>3W</w:t>
      </w:r>
      <w:r>
        <w:rPr>
          <w:rFonts w:hint="eastAsia"/>
          <w:kern w:val="0"/>
        </w:rPr>
        <w:t>。</w:t>
      </w:r>
    </w:p>
    <w:p w:rsidR="0061381E">
      <w:pPr>
        <w:ind w:firstLine="480"/>
        <w:rPr>
          <w:kern w:val="0"/>
        </w:rPr>
      </w:pPr>
      <w:r>
        <w:rPr>
          <w:rFonts w:cs="Arial"/>
          <w:kern w:val="0"/>
        </w:rPr>
        <w:t xml:space="preserve">3.2 </w:t>
      </w:r>
      <w:r>
        <w:rPr>
          <w:rFonts w:hint="eastAsia"/>
          <w:kern w:val="0"/>
        </w:rPr>
        <w:t>电话通讯系统：市网进线</w:t>
      </w:r>
      <w:r>
        <w:rPr>
          <w:rFonts w:cs="Arial"/>
          <w:kern w:val="0"/>
        </w:rPr>
        <w:t xml:space="preserve">600 </w:t>
      </w:r>
      <w:r>
        <w:rPr>
          <w:rFonts w:hint="eastAsia"/>
          <w:kern w:val="0"/>
        </w:rPr>
        <w:t>对，其中中继线</w:t>
      </w:r>
      <w:r>
        <w:rPr>
          <w:rFonts w:cs="Arial"/>
          <w:kern w:val="0"/>
        </w:rPr>
        <w:t xml:space="preserve">150 </w:t>
      </w:r>
      <w:r>
        <w:rPr>
          <w:rFonts w:hint="eastAsia"/>
          <w:kern w:val="0"/>
        </w:rPr>
        <w:t>对，直拔电话</w:t>
      </w:r>
      <w:r>
        <w:rPr>
          <w:rFonts w:cs="Arial"/>
          <w:kern w:val="0"/>
        </w:rPr>
        <w:t xml:space="preserve">400 </w:t>
      </w:r>
      <w:r>
        <w:rPr>
          <w:rFonts w:hint="eastAsia"/>
          <w:kern w:val="0"/>
        </w:rPr>
        <w:t>对。选择程控交换机，</w:t>
      </w:r>
      <w:r>
        <w:rPr>
          <w:rFonts w:cs="Arial"/>
          <w:kern w:val="0"/>
        </w:rPr>
        <w:t xml:space="preserve">1500 </w:t>
      </w:r>
      <w:r>
        <w:rPr>
          <w:rFonts w:hint="eastAsia"/>
          <w:kern w:val="0"/>
        </w:rPr>
        <w:t>门全配置。配备二套维护终端和</w:t>
      </w:r>
      <w:r>
        <w:rPr>
          <w:rFonts w:cs="Arial"/>
          <w:kern w:val="0"/>
        </w:rPr>
        <w:t xml:space="preserve">240AH </w:t>
      </w:r>
      <w:r>
        <w:rPr>
          <w:rFonts w:hint="eastAsia"/>
          <w:kern w:val="0"/>
        </w:rPr>
        <w:t>不停电电源。各电话通讯采纳地面线槽和</w:t>
      </w:r>
      <w:r>
        <w:rPr>
          <w:rFonts w:cs="Arial"/>
          <w:kern w:val="0"/>
        </w:rPr>
        <w:t xml:space="preserve">PVC </w:t>
      </w:r>
      <w:r>
        <w:rPr>
          <w:rFonts w:hint="eastAsia"/>
          <w:kern w:val="0"/>
        </w:rPr>
        <w:t>阻燃电线管暗敷至各用户。十</w:t>
      </w:r>
      <w:r>
        <w:rPr>
          <w:rFonts w:cs="Arial"/>
          <w:kern w:val="0"/>
        </w:rPr>
        <w:t>~</w:t>
      </w:r>
      <w:r>
        <w:rPr>
          <w:rFonts w:hint="eastAsia"/>
          <w:kern w:val="0"/>
        </w:rPr>
        <w:t>十八层通讯信息插座仅作预留。</w:t>
      </w:r>
    </w:p>
    <w:p w:rsidR="0061381E">
      <w:pPr>
        <w:ind w:firstLine="480"/>
        <w:rPr>
          <w:kern w:val="0"/>
        </w:rPr>
      </w:pPr>
      <w:r>
        <w:rPr>
          <w:rFonts w:cs="Arial"/>
          <w:kern w:val="0"/>
        </w:rPr>
        <w:t xml:space="preserve">3.3 </w:t>
      </w:r>
      <w:r>
        <w:rPr>
          <w:rFonts w:hint="eastAsia"/>
          <w:kern w:val="0"/>
        </w:rPr>
        <w:t>电缆电视系统：由城市电缆电视引入前端箱，由安排器引分支干线至各层分支安排箱。每层设两个四分支器</w:t>
      </w:r>
      <w:r>
        <w:rPr>
          <w:rFonts w:cs="Arial"/>
          <w:kern w:val="0"/>
        </w:rPr>
        <w:t>,</w:t>
      </w:r>
      <w:r>
        <w:rPr>
          <w:rFonts w:hint="eastAsia"/>
          <w:kern w:val="0"/>
        </w:rPr>
        <w:t>采纳串接四分支器至各用户。每层分支线用线槽敷设</w:t>
      </w:r>
      <w:r>
        <w:rPr>
          <w:rFonts w:cs="Arial"/>
          <w:kern w:val="0"/>
        </w:rPr>
        <w:t>,</w:t>
      </w:r>
      <w:r>
        <w:rPr>
          <w:rFonts w:hint="eastAsia"/>
          <w:kern w:val="0"/>
        </w:rPr>
        <w:t>用户线用阻燃</w:t>
      </w:r>
      <w:r>
        <w:rPr>
          <w:rFonts w:cs="Arial"/>
          <w:kern w:val="0"/>
        </w:rPr>
        <w:t xml:space="preserve">PVC </w:t>
      </w:r>
      <w:r>
        <w:rPr>
          <w:rFonts w:hint="eastAsia"/>
          <w:kern w:val="0"/>
        </w:rPr>
        <w:t>电线管暗敷。</w:t>
      </w:r>
    </w:p>
    <w:p w:rsidR="0061381E">
      <w:pPr>
        <w:ind w:firstLine="480"/>
        <w:rPr>
          <w:kern w:val="0"/>
        </w:rPr>
      </w:pPr>
      <w:r>
        <w:rPr>
          <w:rFonts w:cs="Arial"/>
          <w:kern w:val="0"/>
        </w:rPr>
        <w:t xml:space="preserve">3.4 </w:t>
      </w:r>
      <w:r>
        <w:rPr>
          <w:rFonts w:hint="eastAsia"/>
          <w:kern w:val="0"/>
        </w:rPr>
        <w:t>电视监控系统：设置多头多尾电视监控系统，各层设置摄像机，摄像机为</w:t>
      </w:r>
      <w:r>
        <w:rPr>
          <w:rFonts w:cs="Arial"/>
          <w:kern w:val="0"/>
        </w:rPr>
        <w:t>CVD8</w:t>
      </w:r>
      <w:r>
        <w:rPr>
          <w:rFonts w:hint="eastAsia"/>
          <w:kern w:val="0"/>
        </w:rPr>
        <w:t>倍三可变镜头</w:t>
      </w:r>
      <w:r>
        <w:rPr>
          <w:rFonts w:cs="Arial"/>
          <w:kern w:val="0"/>
        </w:rPr>
        <w:t xml:space="preserve">360 </w:t>
      </w:r>
      <w:r>
        <w:rPr>
          <w:rFonts w:hint="eastAsia"/>
          <w:kern w:val="0"/>
        </w:rPr>
        <w:t>度云台限制。车库监控采纳四画面分割显示式，随意定格放大；每层设一台四画面限制器和监视器，大厦每台客梯设置一针孔广角摄像机</w:t>
      </w:r>
      <w:r>
        <w:rPr>
          <w:rFonts w:cs="Arial"/>
          <w:kern w:val="0"/>
        </w:rPr>
        <w:t>,</w:t>
      </w:r>
      <w:r>
        <w:rPr>
          <w:rFonts w:hint="eastAsia"/>
          <w:kern w:val="0"/>
        </w:rPr>
        <w:t>配置一台限制器和监控器，系统配置稳压电源和</w:t>
      </w:r>
      <w:r>
        <w:rPr>
          <w:rFonts w:cs="Arial"/>
          <w:kern w:val="0"/>
        </w:rPr>
        <w:t xml:space="preserve">EP80 24V AC </w:t>
      </w:r>
      <w:r>
        <w:rPr>
          <w:rFonts w:hint="eastAsia"/>
          <w:kern w:val="0"/>
        </w:rPr>
        <w:t>专用电源</w:t>
      </w:r>
    </w:p>
    <w:p w:rsidR="0061381E">
      <w:pPr>
        <w:ind w:firstLine="480"/>
        <w:rPr>
          <w:kern w:val="0"/>
        </w:rPr>
      </w:pPr>
      <w:r>
        <w:rPr>
          <w:rFonts w:cs="Arial"/>
          <w:kern w:val="0"/>
        </w:rPr>
        <w:t xml:space="preserve">3.5 </w:t>
      </w:r>
      <w:r>
        <w:rPr>
          <w:rFonts w:hint="eastAsia"/>
          <w:kern w:val="0"/>
        </w:rPr>
        <w:t>保安巡更系统：在九楼监控机房设置保安巡更计算机，主楼和裙房各设置三点和（二～三）点巡更点，最近两点的巡查时间由</w:t>
      </w:r>
      <w:r>
        <w:rPr>
          <w:rFonts w:cs="Arial"/>
          <w:kern w:val="0"/>
        </w:rPr>
        <w:t>2</w:t>
      </w:r>
      <w:r>
        <w:rPr>
          <w:rFonts w:hint="eastAsia"/>
          <w:kern w:val="0"/>
        </w:rPr>
        <w:t>～</w:t>
      </w:r>
      <w:r>
        <w:rPr>
          <w:rFonts w:cs="Arial"/>
          <w:kern w:val="0"/>
        </w:rPr>
        <w:t xml:space="preserve">30 </w:t>
      </w:r>
      <w:r>
        <w:rPr>
          <w:rFonts w:hint="eastAsia"/>
          <w:kern w:val="0"/>
        </w:rPr>
        <w:t>分钟可调，每个点采纳钥匙传感器输出，各层设置一数据收集器和各节能限制点合用，收集器按标准配置</w:t>
      </w:r>
      <w:r>
        <w:rPr>
          <w:rFonts w:cs="Arial"/>
          <w:kern w:val="0"/>
        </w:rPr>
        <w:t>64</w:t>
      </w:r>
      <w:r>
        <w:rPr>
          <w:rFonts w:hint="eastAsia"/>
          <w:kern w:val="0"/>
        </w:rPr>
        <w:t>点。十至十八层和二十至三十二层各电气管井内配置一台分线箱，作各类分线、跳线用。</w:t>
      </w:r>
    </w:p>
    <w:p w:rsidR="0061381E">
      <w:pPr>
        <w:ind w:firstLine="480"/>
        <w:rPr>
          <w:kern w:val="0"/>
        </w:rPr>
      </w:pPr>
      <w:r>
        <w:rPr>
          <w:rFonts w:hint="eastAsia"/>
          <w:kern w:val="0"/>
        </w:rPr>
        <w:t>（三）工程特点</w:t>
      </w:r>
    </w:p>
    <w:p w:rsidR="0061381E">
      <w:pPr>
        <w:ind w:firstLine="480"/>
        <w:rPr>
          <w:kern w:val="0"/>
        </w:rPr>
      </w:pPr>
      <w:r>
        <w:rPr>
          <w:rFonts w:cs="Arial"/>
          <w:kern w:val="0"/>
        </w:rPr>
        <w:t>1</w:t>
      </w:r>
      <w:r>
        <w:rPr>
          <w:rFonts w:hint="eastAsia"/>
          <w:kern w:val="0"/>
        </w:rPr>
        <w:t>、施工技术，质量要求高</w:t>
      </w:r>
    </w:p>
    <w:p w:rsidR="0061381E">
      <w:pPr>
        <w:ind w:firstLine="480"/>
        <w:rPr>
          <w:kern w:val="0"/>
        </w:rPr>
      </w:pPr>
      <w:r>
        <w:rPr>
          <w:rFonts w:hint="eastAsia"/>
          <w:kern w:val="0"/>
        </w:rPr>
        <w:t>本工程为一类民用建筑，确保一次性验收合格，并要求达到市优良工程。给排水及电气部分材料、设备多</w:t>
      </w:r>
      <w:r>
        <w:rPr>
          <w:rFonts w:cs="Arial"/>
          <w:kern w:val="0"/>
        </w:rPr>
        <w:t>,</w:t>
      </w:r>
      <w:r>
        <w:rPr>
          <w:rFonts w:hint="eastAsia"/>
          <w:kern w:val="0"/>
        </w:rPr>
        <w:t>型号广涉及的施工方法及施工技术要求全面。因有大型设备（如柴油发电机组、变压器、水泵等）及精密仪器（如消防探头、计算机系统及各种仪表等）安装质量要求高。</w:t>
      </w:r>
    </w:p>
    <w:p w:rsidR="0061381E">
      <w:pPr>
        <w:ind w:firstLine="480"/>
        <w:rPr>
          <w:kern w:val="0"/>
        </w:rPr>
      </w:pPr>
      <w:r>
        <w:rPr>
          <w:rFonts w:cs="Arial"/>
          <w:kern w:val="0"/>
        </w:rPr>
        <w:t>2</w:t>
      </w:r>
      <w:r>
        <w:rPr>
          <w:rFonts w:hint="eastAsia"/>
          <w:kern w:val="0"/>
        </w:rPr>
        <w:t>、工程占地面积广，施工场地较好：</w:t>
      </w:r>
    </w:p>
    <w:p w:rsidR="0061381E">
      <w:pPr>
        <w:ind w:firstLine="480"/>
        <w:rPr>
          <w:kern w:val="0"/>
        </w:rPr>
      </w:pPr>
      <w:r>
        <w:rPr>
          <w:rFonts w:hint="eastAsia"/>
          <w:kern w:val="0"/>
        </w:rPr>
        <w:t>本工程处于</w:t>
      </w:r>
      <w:r>
        <w:rPr>
          <w:rFonts w:hint="eastAsia"/>
          <w:kern w:val="0"/>
        </w:rPr>
        <w:t>××</w:t>
      </w:r>
      <w:r>
        <w:rPr>
          <w:rFonts w:hint="eastAsia"/>
          <w:kern w:val="0"/>
        </w:rPr>
        <w:t>区主干道旁，由于交通管理等缘由材料进出场运输受限，白天不行进入，必需利用晚上时间进出场。因该工程主体结构已基本完工，因此对于现场预制加工及临设等方面均比较有利，可利用楼面作施工场地及搭设临建设施。</w:t>
      </w:r>
    </w:p>
    <w:p w:rsidR="0061381E">
      <w:pPr>
        <w:ind w:firstLine="480"/>
        <w:rPr>
          <w:kern w:val="0"/>
        </w:rPr>
      </w:pPr>
      <w:r>
        <w:rPr>
          <w:rFonts w:cs="Arial"/>
          <w:kern w:val="0"/>
        </w:rPr>
        <w:t>3</w:t>
      </w:r>
      <w:r>
        <w:rPr>
          <w:rFonts w:hint="eastAsia"/>
          <w:kern w:val="0"/>
        </w:rPr>
        <w:t>、工程施工期紧</w:t>
      </w:r>
    </w:p>
    <w:p w:rsidR="0061381E">
      <w:pPr>
        <w:ind w:firstLine="480"/>
        <w:rPr>
          <w:kern w:val="0"/>
        </w:rPr>
        <w:sectPr>
          <w:type w:val="nextPage"/>
          <w:pgSz w:w="11906" w:h="16838"/>
          <w:pgMar w:top="935" w:right="1800" w:bottom="1440" w:left="1800" w:header="851" w:footer="992" w:gutter="0"/>
          <w:pgNumType w:start="4"/>
          <w:cols w:space="425"/>
          <w:titlePg w:val="0"/>
          <w:docGrid w:type="lines" w:linePitch="312"/>
        </w:sectPr>
      </w:pPr>
      <w:r>
        <w:rPr>
          <w:rFonts w:hint="eastAsia"/>
          <w:kern w:val="0"/>
        </w:rPr>
        <w:t>本工程预料安装总工期为</w:t>
      </w:r>
      <w:r>
        <w:rPr>
          <w:rFonts w:cs="Arial"/>
          <w:kern w:val="0"/>
        </w:rPr>
        <w:t xml:space="preserve">400 </w:t>
      </w:r>
      <w:r>
        <w:rPr>
          <w:rFonts w:hint="eastAsia"/>
          <w:kern w:val="0"/>
        </w:rPr>
        <w:t>天，土建主体结构已完工，已可全面进入安装，因本工程工作量很大，因此在施工支配上必需与空调、装饰及其它工种亲密协作，本工程为</w:t>
      </w:r>
      <w:r>
        <w:rPr>
          <w:rFonts w:cs="Arial"/>
          <w:kern w:val="0"/>
        </w:rPr>
        <w:t xml:space="preserve">36 </w:t>
      </w:r>
      <w:r>
        <w:rPr>
          <w:rFonts w:hint="eastAsia"/>
          <w:kern w:val="0"/>
        </w:rPr>
        <w:t>层，基本上每层安装工期只有</w:t>
      </w:r>
      <w:r>
        <w:rPr>
          <w:rFonts w:cs="Arial"/>
          <w:kern w:val="0"/>
        </w:rPr>
        <w:t xml:space="preserve">11 </w:t>
      </w:r>
      <w:r>
        <w:rPr>
          <w:rFonts w:hint="eastAsia"/>
          <w:kern w:val="0"/>
        </w:rPr>
        <w:t>天左右，即使分三个工作面施工每层也只有</w:t>
      </w:r>
      <w:r>
        <w:rPr>
          <w:rFonts w:cs="Arial"/>
          <w:kern w:val="0"/>
        </w:rPr>
        <w:t xml:space="preserve">1 </w:t>
      </w:r>
      <w:r>
        <w:rPr>
          <w:rFonts w:hint="eastAsia"/>
          <w:kern w:val="0"/>
        </w:rPr>
        <w:t>个月左右的安装时间。</w:t>
      </w:r>
    </w:p>
    <w:p w:rsidR="0061381E">
      <w:pPr>
        <w:ind w:firstLine="480"/>
        <w:rPr>
          <w:kern w:val="0"/>
        </w:rPr>
      </w:pPr>
      <w:r>
        <w:rPr>
          <w:rFonts w:cs="Arial"/>
          <w:kern w:val="0"/>
        </w:rPr>
        <w:t>4</w:t>
      </w:r>
      <w:r>
        <w:rPr>
          <w:rFonts w:hint="eastAsia"/>
          <w:kern w:val="0"/>
        </w:rPr>
        <w:t>、工程施工协作量大，协作面广，时间长</w:t>
      </w:r>
    </w:p>
    <w:p w:rsidR="0061381E">
      <w:pPr>
        <w:ind w:firstLine="480"/>
        <w:rPr>
          <w:kern w:val="0"/>
        </w:rPr>
      </w:pPr>
      <w:r>
        <w:rPr>
          <w:rFonts w:hint="eastAsia"/>
          <w:kern w:val="0"/>
        </w:rPr>
        <w:t>安装工程包括管道、电气、空调</w:t>
      </w:r>
      <w:r>
        <w:rPr>
          <w:kern w:val="0"/>
        </w:rPr>
        <w:t xml:space="preserve"> </w:t>
      </w:r>
      <w:r>
        <w:rPr>
          <w:rFonts w:hint="eastAsia"/>
          <w:kern w:val="0"/>
        </w:rPr>
        <w:t>、弱电等。因该工程主体结构已完工，因此在预埋方面遗留下来的问题（如漏埋、错埋、预留洞移位、管线堵塞等）在施工前必需与土建及有关施工单位作好交接并处理好，以免影响进度。各安装单位均全面进场施工，因此与各专业之间交叉作业及协作特别重要，假如协作不好就会引起各种问题（如损坏半成品、返工、窝工等）从安装工程开工到竣工，始终需与各专业协作（如管道试压必需在吊顶之前，灯具必需在门作好室内装修已基本完成之后，喷头、灯头盒必需在吊顶时预留出线孔洞等）。</w:t>
      </w:r>
    </w:p>
    <w:p w:rsidR="0061381E">
      <w:pPr>
        <w:ind w:firstLine="480"/>
        <w:rPr>
          <w:kern w:val="0"/>
        </w:rPr>
      </w:pPr>
      <w:r>
        <w:rPr>
          <w:rFonts w:hint="eastAsia"/>
          <w:kern w:val="0"/>
        </w:rPr>
        <w:t>（四）施工应遵守的技术标准规范</w:t>
      </w:r>
    </w:p>
    <w:p w:rsidR="0061381E">
      <w:pPr>
        <w:ind w:firstLine="480"/>
        <w:rPr>
          <w:rFonts w:cs="Arial"/>
          <w:kern w:val="0"/>
        </w:rPr>
      </w:pPr>
      <w:r>
        <w:rPr>
          <w:rFonts w:hint="eastAsia"/>
          <w:kern w:val="0"/>
        </w:rPr>
        <w:t>《压缩机、风机、泵安装工程施工及验收规范》</w:t>
      </w:r>
      <w:r>
        <w:rPr>
          <w:rFonts w:cs="Arial"/>
          <w:kern w:val="0"/>
        </w:rPr>
        <w:t>GB50275-98</w:t>
      </w:r>
    </w:p>
    <w:p w:rsidR="0061381E">
      <w:pPr>
        <w:ind w:firstLine="480"/>
        <w:rPr>
          <w:rFonts w:cs="Arial"/>
          <w:kern w:val="0"/>
        </w:rPr>
      </w:pPr>
      <w:r>
        <w:rPr>
          <w:rFonts w:hint="eastAsia"/>
          <w:kern w:val="0"/>
        </w:rPr>
        <w:t>《电气装置安装工程高压电器施工及验收规范》</w:t>
      </w:r>
      <w:r>
        <w:rPr>
          <w:rFonts w:cs="Arial"/>
          <w:kern w:val="0"/>
        </w:rPr>
        <w:t>GNJ-147-90</w:t>
      </w:r>
    </w:p>
    <w:p w:rsidR="0061381E">
      <w:pPr>
        <w:ind w:firstLine="480"/>
        <w:rPr>
          <w:rFonts w:cs="Arial"/>
          <w:kern w:val="0"/>
        </w:rPr>
      </w:pPr>
      <w:r>
        <w:rPr>
          <w:rFonts w:hint="eastAsia"/>
          <w:kern w:val="0"/>
        </w:rPr>
        <w:t>《电气装置安装工程电力变压器，油浸电抗器，互感器施工及验收规范》</w:t>
      </w:r>
      <w:r>
        <w:rPr>
          <w:rFonts w:cs="Arial"/>
          <w:kern w:val="0"/>
        </w:rPr>
        <w:t>GBJ-148-90</w:t>
      </w:r>
    </w:p>
    <w:p w:rsidR="0061381E">
      <w:pPr>
        <w:ind w:firstLine="480"/>
        <w:rPr>
          <w:rFonts w:cs="Arial"/>
          <w:kern w:val="0"/>
        </w:rPr>
      </w:pPr>
      <w:r>
        <w:rPr>
          <w:rFonts w:hint="eastAsia"/>
          <w:kern w:val="0"/>
        </w:rPr>
        <w:t>《制冷设备、空气分别设备安装工程施工及验收规范》</w:t>
      </w:r>
      <w:r>
        <w:rPr>
          <w:rFonts w:cs="Arial"/>
          <w:kern w:val="0"/>
        </w:rPr>
        <w:t>GB50274-98</w:t>
      </w:r>
    </w:p>
    <w:p w:rsidR="0061381E">
      <w:pPr>
        <w:ind w:firstLine="480"/>
        <w:rPr>
          <w:rFonts w:cs="Arial"/>
          <w:kern w:val="0"/>
        </w:rPr>
      </w:pPr>
      <w:r>
        <w:rPr>
          <w:rFonts w:hint="eastAsia"/>
          <w:kern w:val="0"/>
        </w:rPr>
        <w:t>《电气装置安装工程母线装置施工验收规范》</w:t>
      </w:r>
      <w:r>
        <w:rPr>
          <w:rFonts w:cs="Arial"/>
          <w:kern w:val="0"/>
        </w:rPr>
        <w:t>GBJ-149-90</w:t>
      </w:r>
    </w:p>
    <w:p w:rsidR="0061381E">
      <w:pPr>
        <w:ind w:firstLine="480"/>
        <w:rPr>
          <w:rFonts w:cs="Arial"/>
          <w:kern w:val="0"/>
        </w:rPr>
      </w:pPr>
      <w:r>
        <w:rPr>
          <w:rFonts w:hint="eastAsia"/>
          <w:kern w:val="0"/>
        </w:rPr>
        <w:t>《电气装置安装工程接装置施工及验收规范》</w:t>
      </w:r>
      <w:r>
        <w:rPr>
          <w:rFonts w:cs="Arial"/>
          <w:kern w:val="0"/>
        </w:rPr>
        <w:t>GB50169-92</w:t>
      </w:r>
    </w:p>
    <w:p w:rsidR="0061381E">
      <w:pPr>
        <w:ind w:firstLine="480"/>
        <w:rPr>
          <w:rFonts w:cs="Arial"/>
          <w:kern w:val="0"/>
        </w:rPr>
      </w:pPr>
      <w:r>
        <w:rPr>
          <w:rFonts w:hint="eastAsia"/>
          <w:kern w:val="0"/>
        </w:rPr>
        <w:t>《电气装置安装工程盘、柜及二次回路接线施工及验收规范》</w:t>
      </w:r>
      <w:r>
        <w:rPr>
          <w:rFonts w:cs="Arial"/>
          <w:kern w:val="0"/>
        </w:rPr>
        <w:t>GB50-1719</w:t>
      </w:r>
    </w:p>
    <w:p w:rsidR="0061381E">
      <w:pPr>
        <w:ind w:firstLine="480"/>
        <w:rPr>
          <w:rFonts w:cs="Arial"/>
          <w:kern w:val="0"/>
        </w:rPr>
      </w:pPr>
      <w:r>
        <w:rPr>
          <w:rFonts w:hint="eastAsia"/>
          <w:kern w:val="0"/>
        </w:rPr>
        <w:t>《电气装置安装工程低压电器施工及验收规范》</w:t>
      </w:r>
      <w:r>
        <w:rPr>
          <w:rFonts w:cs="Arial"/>
          <w:kern w:val="0"/>
        </w:rPr>
        <w:t>GB50254-96</w:t>
      </w:r>
    </w:p>
    <w:p w:rsidR="0061381E">
      <w:pPr>
        <w:ind w:firstLine="480"/>
        <w:rPr>
          <w:rFonts w:cs="Arial"/>
          <w:kern w:val="0"/>
        </w:rPr>
      </w:pPr>
      <w:r>
        <w:rPr>
          <w:rFonts w:hint="eastAsia"/>
          <w:kern w:val="0"/>
        </w:rPr>
        <w:t>《电气装置安装工程</w:t>
      </w:r>
      <w:r>
        <w:rPr>
          <w:rFonts w:cs="Arial"/>
          <w:kern w:val="0"/>
        </w:rPr>
        <w:t xml:space="preserve">1kv </w:t>
      </w:r>
      <w:r>
        <w:rPr>
          <w:rFonts w:hint="eastAsia"/>
          <w:kern w:val="0"/>
        </w:rPr>
        <w:t>及以下配线工程施工及验收规范》</w:t>
      </w:r>
      <w:r>
        <w:rPr>
          <w:kern w:val="0"/>
        </w:rPr>
        <w:t xml:space="preserve"> </w:t>
      </w:r>
      <w:r>
        <w:rPr>
          <w:rFonts w:cs="Arial"/>
          <w:kern w:val="0"/>
        </w:rPr>
        <w:t>GB50258-96</w:t>
      </w:r>
    </w:p>
    <w:p w:rsidR="0061381E">
      <w:pPr>
        <w:ind w:firstLine="480"/>
        <w:rPr>
          <w:rFonts w:cs="Arial"/>
          <w:kern w:val="0"/>
        </w:rPr>
      </w:pPr>
      <w:r>
        <w:rPr>
          <w:rFonts w:hint="eastAsia"/>
          <w:kern w:val="0"/>
        </w:rPr>
        <w:t>《电气装置安装工程电气照明装置施工及验收规范》</w:t>
      </w:r>
      <w:r>
        <w:rPr>
          <w:rFonts w:cs="Arial"/>
          <w:kern w:val="0"/>
        </w:rPr>
        <w:t>GB50259-96</w:t>
      </w:r>
    </w:p>
    <w:p w:rsidR="0061381E">
      <w:pPr>
        <w:ind w:firstLine="480"/>
        <w:rPr>
          <w:kern w:val="0"/>
        </w:rPr>
      </w:pPr>
      <w:r>
        <w:rPr>
          <w:rFonts w:hint="eastAsia"/>
          <w:kern w:val="0"/>
        </w:rPr>
        <w:t>《电气建设质量评定等级》</w:t>
      </w:r>
    </w:p>
    <w:p w:rsidR="0061381E">
      <w:pPr>
        <w:ind w:firstLine="480"/>
        <w:rPr>
          <w:rFonts w:cs="Arial"/>
          <w:kern w:val="0"/>
        </w:rPr>
      </w:pPr>
      <w:r>
        <w:rPr>
          <w:rFonts w:hint="eastAsia"/>
          <w:kern w:val="0"/>
        </w:rPr>
        <w:t>《工业管道工程施工及验收规范》（金属管道篇）</w:t>
      </w:r>
      <w:r>
        <w:rPr>
          <w:rFonts w:cs="Arial"/>
          <w:kern w:val="0"/>
        </w:rPr>
        <w:t>GB50235-97</w:t>
      </w:r>
    </w:p>
    <w:p w:rsidR="0061381E">
      <w:pPr>
        <w:ind w:firstLine="480"/>
        <w:rPr>
          <w:rFonts w:cs="Arial"/>
          <w:kern w:val="0"/>
        </w:rPr>
      </w:pPr>
      <w:r>
        <w:rPr>
          <w:rFonts w:hint="eastAsia"/>
          <w:kern w:val="0"/>
        </w:rPr>
        <w:t>《自动喷水灭火系统施工及验收规范》</w:t>
      </w:r>
      <w:r>
        <w:rPr>
          <w:rFonts w:cs="Arial"/>
          <w:kern w:val="0"/>
        </w:rPr>
        <w:t>GB50261-96</w:t>
      </w:r>
    </w:p>
    <w:p w:rsidR="0061381E">
      <w:pPr>
        <w:ind w:firstLine="480"/>
        <w:rPr>
          <w:rFonts w:cs="Arial"/>
          <w:kern w:val="0"/>
        </w:rPr>
      </w:pPr>
      <w:r>
        <w:rPr>
          <w:rFonts w:hint="eastAsia"/>
          <w:kern w:val="0"/>
        </w:rPr>
        <w:t>《通用给排水标准图集》</w:t>
      </w:r>
      <w:r>
        <w:rPr>
          <w:rFonts w:cs="Arial"/>
          <w:kern w:val="0"/>
        </w:rPr>
        <w:t>86S164</w:t>
      </w:r>
      <w:r>
        <w:rPr>
          <w:rFonts w:hint="eastAsia"/>
          <w:kern w:val="0"/>
        </w:rPr>
        <w:t>、</w:t>
      </w:r>
      <w:r>
        <w:rPr>
          <w:rFonts w:cs="Arial"/>
          <w:kern w:val="0"/>
        </w:rPr>
        <w:t>87S163</w:t>
      </w:r>
      <w:r>
        <w:rPr>
          <w:rFonts w:hint="eastAsia"/>
          <w:kern w:val="0"/>
        </w:rPr>
        <w:t>、</w:t>
      </w:r>
      <w:r>
        <w:rPr>
          <w:rFonts w:cs="Arial"/>
          <w:kern w:val="0"/>
        </w:rPr>
        <w:t>88S162</w:t>
      </w:r>
      <w:r>
        <w:rPr>
          <w:rFonts w:hint="eastAsia"/>
          <w:kern w:val="0"/>
        </w:rPr>
        <w:t>、</w:t>
      </w:r>
      <w:r>
        <w:rPr>
          <w:rFonts w:cs="Arial"/>
          <w:kern w:val="0"/>
        </w:rPr>
        <w:t>89SS175</w:t>
      </w:r>
      <w:r>
        <w:rPr>
          <w:rFonts w:hint="eastAsia"/>
          <w:kern w:val="0"/>
        </w:rPr>
        <w:t>、</w:t>
      </w:r>
      <w:r>
        <w:rPr>
          <w:rFonts w:cs="Arial"/>
          <w:kern w:val="0"/>
        </w:rPr>
        <w:t>S312</w:t>
      </w:r>
    </w:p>
    <w:p w:rsidR="0061381E">
      <w:pPr>
        <w:ind w:firstLine="480"/>
        <w:rPr>
          <w:rFonts w:cs="Arial"/>
          <w:kern w:val="0"/>
        </w:rPr>
      </w:pPr>
      <w:r>
        <w:rPr>
          <w:rFonts w:hint="eastAsia"/>
          <w:kern w:val="0"/>
        </w:rPr>
        <w:t>《采暖报告与卫生工程施工及验收规范》</w:t>
      </w:r>
      <w:r>
        <w:rPr>
          <w:rFonts w:cs="Arial"/>
          <w:kern w:val="0"/>
        </w:rPr>
        <w:t>GBJ242-82</w:t>
      </w:r>
    </w:p>
    <w:p w:rsidR="0061381E">
      <w:pPr>
        <w:ind w:firstLine="480"/>
        <w:rPr>
          <w:rFonts w:cs="Arial"/>
          <w:kern w:val="0"/>
        </w:rPr>
      </w:pPr>
      <w:r>
        <w:rPr>
          <w:rFonts w:hint="eastAsia"/>
          <w:kern w:val="0"/>
        </w:rPr>
        <w:t>《工业设备、管道防腐蚀工程施工及验收规范》</w:t>
      </w:r>
      <w:r>
        <w:rPr>
          <w:rFonts w:cs="Arial"/>
          <w:kern w:val="0"/>
        </w:rPr>
        <w:t>HGJ229-91</w:t>
      </w:r>
    </w:p>
    <w:p w:rsidR="0061381E">
      <w:pPr>
        <w:ind w:firstLine="480"/>
        <w:rPr>
          <w:kern w:val="0"/>
        </w:rPr>
      </w:pPr>
      <w:r>
        <w:rPr>
          <w:rFonts w:hint="eastAsia"/>
          <w:kern w:val="0"/>
        </w:rPr>
        <w:t>（五）主要工程量</w:t>
      </w:r>
    </w:p>
    <w:p w:rsidR="0061381E">
      <w:pPr>
        <w:ind w:firstLine="480"/>
        <w:rPr>
          <w:rFonts w:hint="eastAsia"/>
          <w:kern w:val="0"/>
        </w:rPr>
      </w:pPr>
      <w:r>
        <w:rPr>
          <w:rFonts w:hint="eastAsia"/>
          <w:kern w:val="0"/>
        </w:rPr>
        <w:t>设备及主要材料表</w:t>
      </w:r>
    </w:p>
    <w:p w:rsidR="0061381E">
      <w:pPr>
        <w:ind w:firstLine="480"/>
      </w:pPr>
    </w:p>
    <w:tbl>
      <w:tblPr>
        <w:tblStyle w:val="TableNormal"/>
        <w:tblW w:w="8293" w:type="dxa"/>
        <w:tblBorders>
          <w:top w:val="nil"/>
          <w:left w:val="nil"/>
          <w:bottom w:val="nil"/>
          <w:right w:val="nil"/>
          <w:insideH w:val="none" w:sz="0" w:space="0" w:color="auto"/>
          <w:insideV w:val="none" w:sz="0" w:space="0" w:color="auto"/>
        </w:tblBorders>
        <w:tblLook w:val="0000"/>
      </w:tblPr>
      <w:tblGrid>
        <w:gridCol w:w="906"/>
        <w:gridCol w:w="1306"/>
        <w:gridCol w:w="19"/>
        <w:gridCol w:w="820"/>
        <w:gridCol w:w="1231"/>
        <w:gridCol w:w="53"/>
        <w:gridCol w:w="173"/>
        <w:gridCol w:w="9"/>
        <w:gridCol w:w="26"/>
        <w:gridCol w:w="1518"/>
        <w:gridCol w:w="906"/>
        <w:gridCol w:w="1326"/>
      </w:tblGrid>
      <w:tr>
        <w:tblPrEx>
          <w:tblW w:w="8293" w:type="dxa"/>
          <w:tblBorders>
            <w:top w:val="nil"/>
            <w:left w:val="nil"/>
            <w:bottom w:val="nil"/>
            <w:right w:val="nil"/>
            <w:insideH w:val="none" w:sz="0" w:space="0" w:color="auto"/>
            <w:insideV w:val="none" w:sz="0" w:space="0" w:color="auto"/>
          </w:tblBorders>
          <w:tblLook w:val="0000"/>
        </w:tblPrEx>
        <w:trPr>
          <w:trHeight w:val="385"/>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序号</w:t>
            </w:r>
          </w:p>
        </w:tc>
        <w:tc>
          <w:tcPr>
            <w:tcW w:w="2430" w:type="dxa"/>
            <w:gridSpan w:val="2"/>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名称</w:t>
            </w:r>
          </w:p>
        </w:tc>
        <w:tc>
          <w:tcPr>
            <w:tcW w:w="3203" w:type="dxa"/>
            <w:gridSpan w:val="7"/>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规格型号</w:t>
            </w: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单位</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数量</w:t>
            </w:r>
          </w:p>
        </w:tc>
      </w:tr>
      <w:tr>
        <w:tblPrEx>
          <w:tblW w:w="8293" w:type="dxa"/>
          <w:tblLook w:val="0000"/>
        </w:tblPrEx>
        <w:trPr>
          <w:trHeight w:val="370"/>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1</w:t>
            </w:r>
          </w:p>
        </w:tc>
        <w:tc>
          <w:tcPr>
            <w:tcW w:w="2430" w:type="dxa"/>
            <w:gridSpan w:val="2"/>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高区喷洒加压装置</w:t>
            </w:r>
          </w:p>
        </w:tc>
        <w:tc>
          <w:tcPr>
            <w:tcW w:w="3203" w:type="dxa"/>
            <w:gridSpan w:val="7"/>
            <w:tcBorders>
              <w:top w:val="single" w:sz="6" w:space="0" w:color="000000"/>
              <w:left w:val="single" w:sz="6" w:space="0" w:color="000000"/>
              <w:bottom w:val="single" w:sz="6" w:space="0" w:color="000000"/>
              <w:right w:val="single" w:sz="6" w:space="0" w:color="000000"/>
            </w:tcBorders>
            <w:vAlign w:val="center"/>
          </w:tcPr>
          <w:p w:rsidR="0061381E">
            <w:pPr>
              <w:ind w:firstLine="480"/>
            </w:pP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套</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1</w:t>
            </w:r>
          </w:p>
        </w:tc>
      </w:tr>
      <w:tr>
        <w:tblPrEx>
          <w:tblW w:w="8293" w:type="dxa"/>
          <w:tblLook w:val="0000"/>
        </w:tblPrEx>
        <w:trPr>
          <w:trHeight w:val="370"/>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80"/>
            </w:pPr>
          </w:p>
        </w:tc>
        <w:tc>
          <w:tcPr>
            <w:tcW w:w="2430" w:type="dxa"/>
            <w:gridSpan w:val="2"/>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其中工作泵</w:t>
            </w:r>
          </w:p>
        </w:tc>
        <w:tc>
          <w:tcPr>
            <w:tcW w:w="1752" w:type="dxa"/>
            <w:gridSpan w:val="4"/>
            <w:tcBorders>
              <w:top w:val="single" w:sz="6" w:space="0" w:color="000000"/>
              <w:left w:val="single" w:sz="6" w:space="0" w:color="000000"/>
              <w:bottom w:val="single" w:sz="6" w:space="0" w:color="000000"/>
            </w:tcBorders>
            <w:vAlign w:val="center"/>
          </w:tcPr>
          <w:p w:rsidR="0061381E">
            <w:pPr>
              <w:ind w:firstLine="420"/>
              <w:rPr>
                <w:rFonts w:cs="..ì.+ 2"/>
              </w:rPr>
            </w:pPr>
            <w:r>
              <w:rPr>
                <w:rFonts w:cs="..ì.+ 2"/>
              </w:rPr>
              <w:t>DA1-125</w:t>
            </w:r>
            <w:r>
              <w:rPr>
                <w:rFonts w:hint="eastAsia"/>
              </w:rPr>
              <w:t>×</w:t>
            </w:r>
            <w:r>
              <w:rPr>
                <w:rFonts w:cs="..ì.+ 2"/>
              </w:rPr>
              <w:t>8</w:t>
            </w:r>
          </w:p>
        </w:tc>
        <w:tc>
          <w:tcPr>
            <w:tcW w:w="1451" w:type="dxa"/>
            <w:gridSpan w:val="3"/>
            <w:tcBorders>
              <w:top w:val="single" w:sz="6" w:space="0" w:color="000000"/>
              <w:bottom w:val="single" w:sz="6" w:space="0" w:color="000000"/>
              <w:right w:val="single" w:sz="6" w:space="0" w:color="000000"/>
            </w:tcBorders>
            <w:vAlign w:val="center"/>
          </w:tcPr>
          <w:p w:rsidR="0061381E">
            <w:pPr>
              <w:ind w:firstLine="420"/>
              <w:rPr>
                <w:rFonts w:cs="..ì.+ 2"/>
              </w:rPr>
            </w:pPr>
            <w:r>
              <w:rPr>
                <w:rFonts w:cs="..ì.+ 2"/>
              </w:rPr>
              <w:t>H=179.2</w:t>
            </w: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台</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2</w:t>
            </w:r>
          </w:p>
        </w:tc>
      </w:tr>
      <w:tr>
        <w:tblPrEx>
          <w:tblW w:w="8293" w:type="dxa"/>
          <w:tblLook w:val="0000"/>
        </w:tblPrEx>
        <w:trPr>
          <w:trHeight w:val="370"/>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80"/>
            </w:pPr>
          </w:p>
        </w:tc>
        <w:tc>
          <w:tcPr>
            <w:tcW w:w="2430" w:type="dxa"/>
            <w:gridSpan w:val="2"/>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稳压泵</w:t>
            </w:r>
          </w:p>
        </w:tc>
        <w:tc>
          <w:tcPr>
            <w:tcW w:w="1752" w:type="dxa"/>
            <w:gridSpan w:val="4"/>
            <w:tcBorders>
              <w:top w:val="single" w:sz="6" w:space="0" w:color="000000"/>
              <w:left w:val="single" w:sz="6" w:space="0" w:color="000000"/>
              <w:bottom w:val="single" w:sz="6" w:space="0" w:color="000000"/>
            </w:tcBorders>
            <w:vAlign w:val="center"/>
          </w:tcPr>
          <w:p w:rsidR="0061381E">
            <w:pPr>
              <w:ind w:firstLine="420"/>
              <w:rPr>
                <w:rFonts w:cs="..ì.+ 2"/>
              </w:rPr>
            </w:pPr>
            <w:r>
              <w:rPr>
                <w:rFonts w:cs="..ì.+ 2"/>
              </w:rPr>
              <w:t>2DL4-8</w:t>
            </w:r>
            <w:r>
              <w:rPr>
                <w:rFonts w:hint="eastAsia"/>
              </w:rPr>
              <w:t>×</w:t>
            </w:r>
            <w:r>
              <w:rPr>
                <w:rFonts w:cs="..ì.+ 2"/>
              </w:rPr>
              <w:t>22</w:t>
            </w:r>
          </w:p>
        </w:tc>
        <w:tc>
          <w:tcPr>
            <w:tcW w:w="1451" w:type="dxa"/>
            <w:gridSpan w:val="3"/>
            <w:tcBorders>
              <w:top w:val="single" w:sz="6" w:space="0" w:color="000000"/>
              <w:bottom w:val="single" w:sz="6" w:space="0" w:color="000000"/>
              <w:right w:val="single" w:sz="6" w:space="0" w:color="000000"/>
            </w:tcBorders>
            <w:vAlign w:val="center"/>
          </w:tcPr>
          <w:p w:rsidR="0061381E">
            <w:pPr>
              <w:ind w:firstLine="420"/>
              <w:rPr>
                <w:rFonts w:cs="..ì.+ 2"/>
              </w:rPr>
            </w:pPr>
            <w:r>
              <w:rPr>
                <w:rFonts w:cs="..ì.+ 2"/>
              </w:rPr>
              <w:t>H=173.8</w:t>
            </w: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台</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2</w:t>
            </w:r>
          </w:p>
        </w:tc>
      </w:tr>
      <w:tr>
        <w:tblPrEx>
          <w:tblW w:w="8293" w:type="dxa"/>
          <w:tblLook w:val="0000"/>
        </w:tblPrEx>
        <w:trPr>
          <w:trHeight w:val="370"/>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80"/>
            </w:pPr>
          </w:p>
        </w:tc>
        <w:tc>
          <w:tcPr>
            <w:tcW w:w="2430" w:type="dxa"/>
            <w:gridSpan w:val="2"/>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气压罐</w:t>
            </w:r>
          </w:p>
        </w:tc>
        <w:tc>
          <w:tcPr>
            <w:tcW w:w="1582" w:type="dxa"/>
            <w:gridSpan w:val="3"/>
            <w:tcBorders>
              <w:top w:val="single" w:sz="6" w:space="0" w:color="000000"/>
              <w:left w:val="single" w:sz="6" w:space="0" w:color="000000"/>
              <w:bottom w:val="single" w:sz="6" w:space="0" w:color="000000"/>
            </w:tcBorders>
            <w:vAlign w:val="center"/>
          </w:tcPr>
          <w:p w:rsidR="0061381E">
            <w:pPr>
              <w:ind w:firstLine="420"/>
              <w:rPr>
                <w:rFonts w:cs="..ì.+ 2"/>
              </w:rPr>
            </w:pPr>
            <w:r>
              <w:rPr>
                <w:rFonts w:cs="..ì.+ 2"/>
              </w:rPr>
              <w:t>S</w:t>
            </w:r>
            <w:r>
              <w:rPr>
                <w:rFonts w:cs="..ì.+ 2"/>
                <w:sz w:val="11"/>
                <w:szCs w:val="11"/>
              </w:rPr>
              <w:t>N</w:t>
            </w:r>
            <w:r>
              <w:rPr>
                <w:rFonts w:cs="..ì.+ 2"/>
              </w:rPr>
              <w:t>800-20</w:t>
            </w:r>
          </w:p>
        </w:tc>
        <w:tc>
          <w:tcPr>
            <w:tcW w:w="1621" w:type="dxa"/>
            <w:gridSpan w:val="4"/>
            <w:tcBorders>
              <w:top w:val="single" w:sz="6" w:space="0" w:color="000000"/>
              <w:bottom w:val="single" w:sz="6" w:space="0" w:color="000000"/>
              <w:right w:val="single" w:sz="6" w:space="0" w:color="000000"/>
            </w:tcBorders>
            <w:vAlign w:val="center"/>
          </w:tcPr>
          <w:p w:rsidR="0061381E">
            <w:pPr>
              <w:ind w:firstLine="420"/>
              <w:rPr>
                <w:rFonts w:cs="..ì.+ 2"/>
              </w:rPr>
            </w:pPr>
            <w:r>
              <w:rPr>
                <w:rFonts w:cs="..ì.+ 2"/>
              </w:rPr>
              <w:t>V=128V299</w:t>
            </w: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个</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1</w:t>
            </w:r>
          </w:p>
        </w:tc>
      </w:tr>
      <w:tr>
        <w:tblPrEx>
          <w:tblW w:w="8293" w:type="dxa"/>
          <w:tblLook w:val="0000"/>
        </w:tblPrEx>
        <w:trPr>
          <w:trHeight w:val="373"/>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2</w:t>
            </w:r>
          </w:p>
        </w:tc>
        <w:tc>
          <w:tcPr>
            <w:tcW w:w="2430" w:type="dxa"/>
            <w:gridSpan w:val="2"/>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中区喷洒加压装置</w:t>
            </w:r>
          </w:p>
        </w:tc>
        <w:tc>
          <w:tcPr>
            <w:tcW w:w="1582" w:type="dxa"/>
            <w:gridSpan w:val="3"/>
            <w:tcBorders>
              <w:top w:val="single" w:sz="6" w:space="0" w:color="000000"/>
              <w:left w:val="single" w:sz="6" w:space="0" w:color="000000"/>
              <w:bottom w:val="single" w:sz="6" w:space="0" w:color="000000"/>
            </w:tcBorders>
            <w:vAlign w:val="center"/>
          </w:tcPr>
          <w:p w:rsidR="0061381E">
            <w:pPr>
              <w:ind w:firstLine="480"/>
            </w:pPr>
          </w:p>
        </w:tc>
        <w:tc>
          <w:tcPr>
            <w:tcW w:w="1621" w:type="dxa"/>
            <w:gridSpan w:val="4"/>
            <w:tcBorders>
              <w:top w:val="single" w:sz="6" w:space="0" w:color="000000"/>
              <w:bottom w:val="single" w:sz="6" w:space="0" w:color="000000"/>
              <w:right w:val="single" w:sz="6" w:space="0" w:color="000000"/>
            </w:tcBorders>
            <w:vAlign w:val="center"/>
          </w:tcPr>
          <w:p w:rsidR="0061381E">
            <w:pPr>
              <w:ind w:firstLine="480"/>
            </w:pP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套</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1</w:t>
            </w:r>
          </w:p>
        </w:tc>
      </w:tr>
      <w:tr>
        <w:tblPrEx>
          <w:tblW w:w="8293" w:type="dxa"/>
          <w:tblLook w:val="0000"/>
        </w:tblPrEx>
        <w:trPr>
          <w:trHeight w:val="370"/>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80"/>
            </w:pPr>
          </w:p>
        </w:tc>
        <w:tc>
          <w:tcPr>
            <w:tcW w:w="2430" w:type="dxa"/>
            <w:gridSpan w:val="2"/>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其中工作泵</w:t>
            </w:r>
          </w:p>
        </w:tc>
        <w:tc>
          <w:tcPr>
            <w:tcW w:w="1582" w:type="dxa"/>
            <w:gridSpan w:val="3"/>
            <w:tcBorders>
              <w:top w:val="single" w:sz="6" w:space="0" w:color="000000"/>
              <w:left w:val="single" w:sz="6" w:space="0" w:color="000000"/>
              <w:bottom w:val="single" w:sz="6" w:space="0" w:color="000000"/>
            </w:tcBorders>
            <w:vAlign w:val="center"/>
          </w:tcPr>
          <w:p w:rsidR="0061381E">
            <w:pPr>
              <w:ind w:firstLine="420"/>
              <w:rPr>
                <w:rFonts w:cs="..ì.+ 2"/>
              </w:rPr>
            </w:pPr>
            <w:r>
              <w:rPr>
                <w:rFonts w:cs="..ì.+ 2"/>
              </w:rPr>
              <w:t>DA1-12</w:t>
            </w:r>
            <w:r>
              <w:rPr>
                <w:rFonts w:hint="eastAsia"/>
              </w:rPr>
              <w:t>×</w:t>
            </w:r>
            <w:r>
              <w:rPr>
                <w:rFonts w:cs="..ì.+ 2"/>
              </w:rPr>
              <w:t>6</w:t>
            </w:r>
          </w:p>
        </w:tc>
        <w:tc>
          <w:tcPr>
            <w:tcW w:w="1621" w:type="dxa"/>
            <w:gridSpan w:val="4"/>
            <w:tcBorders>
              <w:top w:val="single" w:sz="6" w:space="0" w:color="000000"/>
              <w:bottom w:val="single" w:sz="6" w:space="0" w:color="000000"/>
              <w:right w:val="single" w:sz="6" w:space="0" w:color="000000"/>
            </w:tcBorders>
            <w:vAlign w:val="center"/>
          </w:tcPr>
          <w:p w:rsidR="0061381E">
            <w:pPr>
              <w:ind w:firstLine="420"/>
              <w:rPr>
                <w:rFonts w:cs="..ì.+ 2"/>
              </w:rPr>
            </w:pPr>
            <w:r>
              <w:rPr>
                <w:rFonts w:cs="..ì.+ 2"/>
              </w:rPr>
              <w:t>H=134.4M</w:t>
            </w: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台</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2</w:t>
            </w:r>
          </w:p>
        </w:tc>
      </w:tr>
      <w:tr>
        <w:tblPrEx>
          <w:tblW w:w="8293" w:type="dxa"/>
          <w:tblLook w:val="0000"/>
        </w:tblPrEx>
        <w:trPr>
          <w:trHeight w:val="395"/>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80"/>
            </w:pPr>
          </w:p>
        </w:tc>
        <w:tc>
          <w:tcPr>
            <w:tcW w:w="2397"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稳压泵</w:t>
            </w:r>
          </w:p>
        </w:tc>
        <w:tc>
          <w:tcPr>
            <w:tcW w:w="1794" w:type="dxa"/>
            <w:gridSpan w:val="6"/>
            <w:tcBorders>
              <w:top w:val="single" w:sz="6" w:space="0" w:color="000000"/>
              <w:left w:val="single" w:sz="6" w:space="0" w:color="000000"/>
              <w:bottom w:val="single" w:sz="6" w:space="0" w:color="000000"/>
            </w:tcBorders>
            <w:vAlign w:val="center"/>
          </w:tcPr>
          <w:p w:rsidR="0061381E">
            <w:pPr>
              <w:ind w:firstLine="420"/>
              <w:rPr>
                <w:rFonts w:cs="..ì.+ 2"/>
              </w:rPr>
            </w:pPr>
            <w:r>
              <w:rPr>
                <w:rFonts w:cs="..ì.+ 2"/>
              </w:rPr>
              <w:t>2DL4-8</w:t>
            </w:r>
            <w:r>
              <w:rPr>
                <w:rFonts w:hint="eastAsia"/>
              </w:rPr>
              <w:t>×</w:t>
            </w:r>
            <w:r>
              <w:rPr>
                <w:rFonts w:cs="..ì.+ 2"/>
              </w:rPr>
              <w:t>16</w:t>
            </w:r>
          </w:p>
        </w:tc>
        <w:tc>
          <w:tcPr>
            <w:tcW w:w="1442" w:type="dxa"/>
            <w:gridSpan w:val="2"/>
            <w:tcBorders>
              <w:top w:val="single" w:sz="6" w:space="0" w:color="000000"/>
              <w:bottom w:val="single" w:sz="6" w:space="0" w:color="000000"/>
              <w:right w:val="single" w:sz="6" w:space="0" w:color="000000"/>
            </w:tcBorders>
            <w:vAlign w:val="center"/>
          </w:tcPr>
          <w:p w:rsidR="0061381E">
            <w:pPr>
              <w:ind w:firstLine="420"/>
              <w:rPr>
                <w:rFonts w:cs="..ì.+ 2"/>
              </w:rPr>
            </w:pPr>
            <w:r>
              <w:rPr>
                <w:rFonts w:cs="..ì.+ 2"/>
              </w:rPr>
              <w:t>H=126.4</w:t>
            </w: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台</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2</w:t>
            </w:r>
          </w:p>
        </w:tc>
      </w:tr>
      <w:tr>
        <w:tblPrEx>
          <w:tblW w:w="8293" w:type="dxa"/>
          <w:tblLook w:val="0000"/>
        </w:tblPrEx>
        <w:trPr>
          <w:trHeight w:val="368"/>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80"/>
            </w:pPr>
          </w:p>
        </w:tc>
        <w:tc>
          <w:tcPr>
            <w:tcW w:w="2397"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气压罐</w:t>
            </w:r>
          </w:p>
        </w:tc>
        <w:tc>
          <w:tcPr>
            <w:tcW w:w="719" w:type="dxa"/>
            <w:gridSpan w:val="2"/>
            <w:tcBorders>
              <w:top w:val="single" w:sz="6" w:space="0" w:color="000000"/>
              <w:left w:val="single" w:sz="6" w:space="0" w:color="000000"/>
              <w:bottom w:val="single" w:sz="6" w:space="0" w:color="000000"/>
            </w:tcBorders>
            <w:vAlign w:val="center"/>
          </w:tcPr>
          <w:p w:rsidR="0061381E">
            <w:pPr>
              <w:ind w:firstLine="420"/>
              <w:rPr>
                <w:rFonts w:cs="..ì.+ 2"/>
                <w:sz w:val="11"/>
                <w:szCs w:val="11"/>
              </w:rPr>
            </w:pPr>
            <w:r>
              <w:rPr>
                <w:rFonts w:cs="..ì.+ 2"/>
              </w:rPr>
              <w:t>S</w:t>
            </w:r>
            <w:r>
              <w:rPr>
                <w:rFonts w:cs="..ì.+ 2"/>
                <w:sz w:val="11"/>
                <w:szCs w:val="11"/>
              </w:rPr>
              <w:t>N</w:t>
            </w:r>
          </w:p>
        </w:tc>
        <w:tc>
          <w:tcPr>
            <w:tcW w:w="840" w:type="dxa"/>
            <w:tcBorders>
              <w:top w:val="single" w:sz="6" w:space="0" w:color="000000"/>
              <w:bottom w:val="single" w:sz="6" w:space="0" w:color="000000"/>
            </w:tcBorders>
            <w:vAlign w:val="center"/>
          </w:tcPr>
          <w:p w:rsidR="0061381E">
            <w:pPr>
              <w:ind w:firstLine="420"/>
              <w:rPr>
                <w:rFonts w:cs="..ì.+ 2"/>
              </w:rPr>
            </w:pPr>
            <w:r>
              <w:rPr>
                <w:rFonts w:cs="..ì.+ 2"/>
              </w:rPr>
              <w:t>800-15</w:t>
            </w:r>
          </w:p>
        </w:tc>
        <w:tc>
          <w:tcPr>
            <w:tcW w:w="1677" w:type="dxa"/>
            <w:gridSpan w:val="5"/>
            <w:tcBorders>
              <w:top w:val="single" w:sz="6" w:space="0" w:color="000000"/>
              <w:bottom w:val="single" w:sz="6" w:space="0" w:color="000000"/>
              <w:right w:val="single" w:sz="6" w:space="0" w:color="000000"/>
            </w:tcBorders>
            <w:vAlign w:val="center"/>
          </w:tcPr>
          <w:p w:rsidR="0061381E">
            <w:pPr>
              <w:ind w:firstLine="420"/>
              <w:rPr>
                <w:rFonts w:cs="..ì.+ 2"/>
              </w:rPr>
            </w:pPr>
            <w:r>
              <w:rPr>
                <w:rFonts w:cs="..ì.+ 2"/>
              </w:rPr>
              <w:t>V=128~299L</w:t>
            </w: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个</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1</w:t>
            </w:r>
          </w:p>
        </w:tc>
      </w:tr>
      <w:tr>
        <w:tblPrEx>
          <w:tblW w:w="8293" w:type="dxa"/>
          <w:tblLook w:val="0000"/>
        </w:tblPrEx>
        <w:trPr>
          <w:trHeight w:val="365"/>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3</w:t>
            </w:r>
          </w:p>
        </w:tc>
        <w:tc>
          <w:tcPr>
            <w:tcW w:w="2397"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低区喷洒加压装置</w:t>
            </w:r>
          </w:p>
        </w:tc>
        <w:tc>
          <w:tcPr>
            <w:tcW w:w="719" w:type="dxa"/>
            <w:gridSpan w:val="2"/>
            <w:tcBorders>
              <w:top w:val="single" w:sz="6" w:space="0" w:color="000000"/>
              <w:left w:val="single" w:sz="6" w:space="0" w:color="000000"/>
              <w:bottom w:val="single" w:sz="6" w:space="0" w:color="000000"/>
            </w:tcBorders>
            <w:vAlign w:val="center"/>
          </w:tcPr>
          <w:p w:rsidR="0061381E">
            <w:pPr>
              <w:ind w:firstLine="480"/>
            </w:pPr>
          </w:p>
        </w:tc>
        <w:tc>
          <w:tcPr>
            <w:tcW w:w="840" w:type="dxa"/>
            <w:tcBorders>
              <w:top w:val="single" w:sz="6" w:space="0" w:color="000000"/>
              <w:bottom w:val="single" w:sz="6" w:space="0" w:color="000000"/>
            </w:tcBorders>
            <w:vAlign w:val="center"/>
          </w:tcPr>
          <w:p w:rsidR="0061381E">
            <w:pPr>
              <w:ind w:firstLine="480"/>
            </w:pPr>
          </w:p>
        </w:tc>
        <w:tc>
          <w:tcPr>
            <w:tcW w:w="1677" w:type="dxa"/>
            <w:gridSpan w:val="5"/>
            <w:tcBorders>
              <w:top w:val="single" w:sz="6" w:space="0" w:color="000000"/>
              <w:bottom w:val="single" w:sz="6" w:space="0" w:color="000000"/>
              <w:right w:val="single" w:sz="6" w:space="0" w:color="000000"/>
            </w:tcBorders>
            <w:vAlign w:val="center"/>
          </w:tcPr>
          <w:p w:rsidR="0061381E">
            <w:pPr>
              <w:ind w:firstLine="480"/>
            </w:pP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套</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1</w:t>
            </w:r>
          </w:p>
        </w:tc>
      </w:tr>
      <w:tr>
        <w:tblPrEx>
          <w:tblW w:w="8293" w:type="dxa"/>
          <w:tblLook w:val="0000"/>
        </w:tblPrEx>
        <w:trPr>
          <w:trHeight w:val="385"/>
        </w:trPr>
        <w:tc>
          <w:tcPr>
            <w:tcW w:w="720" w:type="dxa"/>
            <w:tcBorders>
              <w:top w:val="single" w:sz="6" w:space="0" w:color="000000"/>
              <w:left w:val="single" w:sz="6" w:space="0" w:color="000000"/>
              <w:bottom w:val="single" w:sz="6" w:space="0" w:color="000000"/>
              <w:right w:val="single" w:sz="6" w:space="0" w:color="000000"/>
            </w:tcBorders>
            <w:vAlign w:val="center"/>
          </w:tcPr>
          <w:p w:rsidR="0061381E">
            <w:pPr>
              <w:ind w:firstLine="480"/>
            </w:pPr>
          </w:p>
        </w:tc>
        <w:tc>
          <w:tcPr>
            <w:tcW w:w="2397" w:type="dxa"/>
            <w:tcBorders>
              <w:top w:val="single" w:sz="6" w:space="0" w:color="000000"/>
              <w:left w:val="single" w:sz="6" w:space="0" w:color="000000"/>
              <w:bottom w:val="single" w:sz="6" w:space="0" w:color="000000"/>
              <w:right w:val="single" w:sz="6" w:space="0" w:color="000000"/>
            </w:tcBorders>
            <w:vAlign w:val="center"/>
          </w:tcPr>
          <w:p w:rsidR="0061381E">
            <w:pPr>
              <w:spacing w:after="0"/>
              <w:ind w:firstLine="420"/>
            </w:pPr>
          </w:p>
        </w:tc>
        <w:tc>
          <w:tcPr>
            <w:tcW w:w="1819" w:type="dxa"/>
            <w:gridSpan w:val="7"/>
            <w:tcBorders>
              <w:top w:val="single" w:sz="6" w:space="0" w:color="000000"/>
              <w:left w:val="single" w:sz="6" w:space="0" w:color="000000"/>
              <w:bottom w:val="single" w:sz="6" w:space="0" w:color="000000"/>
            </w:tcBorders>
            <w:vAlign w:val="center"/>
          </w:tcPr>
          <w:p w:rsidR="0061381E">
            <w:pPr>
              <w:ind w:firstLine="420"/>
              <w:rPr>
                <w:rFonts w:cs="..ì.+ 2"/>
              </w:rPr>
            </w:pPr>
            <w:r>
              <w:rPr>
                <w:rFonts w:cs="..ì.+ 2"/>
              </w:rPr>
              <w:t>DA1-125</w:t>
            </w:r>
            <w:r>
              <w:rPr>
                <w:rFonts w:hint="eastAsia"/>
              </w:rPr>
              <w:t>×</w:t>
            </w:r>
            <w:r>
              <w:rPr>
                <w:rFonts w:cs="..ì.+ 2"/>
              </w:rPr>
              <w:t>5</w:t>
            </w:r>
          </w:p>
        </w:tc>
        <w:tc>
          <w:tcPr>
            <w:tcW w:w="1417" w:type="dxa"/>
            <w:tcBorders>
              <w:top w:val="single" w:sz="6" w:space="0" w:color="000000"/>
              <w:bottom w:val="single" w:sz="6" w:space="0" w:color="000000"/>
              <w:right w:val="single" w:sz="6" w:space="0" w:color="000000"/>
            </w:tcBorders>
            <w:vAlign w:val="center"/>
          </w:tcPr>
          <w:p w:rsidR="0061381E">
            <w:pPr>
              <w:ind w:firstLine="420"/>
              <w:rPr>
                <w:rFonts w:cs="..ì.+ 2"/>
              </w:rPr>
            </w:pPr>
            <w:r>
              <w:rPr>
                <w:rFonts w:cs="..ì.+ 2"/>
              </w:rPr>
              <w:t>H=100M</w:t>
            </w:r>
          </w:p>
        </w:tc>
        <w:tc>
          <w:tcPr>
            <w:tcW w:w="881" w:type="dxa"/>
            <w:tcBorders>
              <w:top w:val="single" w:sz="6" w:space="0" w:color="000000"/>
              <w:left w:val="single" w:sz="6" w:space="0" w:color="000000"/>
              <w:bottom w:val="single" w:sz="6" w:space="0" w:color="000000"/>
              <w:right w:val="single" w:sz="6" w:space="0" w:color="000000"/>
            </w:tcBorders>
            <w:vAlign w:val="center"/>
          </w:tcPr>
          <w:p w:rsidR="0061381E">
            <w:pPr>
              <w:ind w:firstLine="420"/>
            </w:pPr>
            <w:r>
              <w:rPr>
                <w:rFonts w:hint="eastAsia"/>
              </w:rPr>
              <w:t>台</w:t>
            </w:r>
          </w:p>
        </w:tc>
        <w:tc>
          <w:tcPr>
            <w:tcW w:w="1059" w:type="dxa"/>
            <w:tcBorders>
              <w:top w:val="single" w:sz="6" w:space="0" w:color="000000"/>
              <w:left w:val="single" w:sz="6" w:space="0" w:color="000000"/>
              <w:bottom w:val="single" w:sz="6" w:space="0" w:color="000000"/>
              <w:right w:val="single" w:sz="6" w:space="0" w:color="000000"/>
            </w:tcBorders>
            <w:vAlign w:val="center"/>
          </w:tcPr>
          <w:p w:rsidR="0061381E">
            <w:pPr>
              <w:ind w:firstLine="420"/>
              <w:rPr>
                <w:rFonts w:cs="..ì.+ 2"/>
              </w:rPr>
            </w:pPr>
            <w:r>
              <w:rPr>
                <w:rFonts w:cs="..ì.+ 2"/>
              </w:rPr>
              <w:t>2</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https://d.book118.com/756154053201010055</w:t>
        </w:r>
      </w:hyperlink>
    </w:p>
    <w:p/>
    <w:sectPr>
      <w:type w:val="nextPage"/>
      <w:pgSz w:w="11906" w:h="16838"/>
      <w:pgMar w:top="935"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ì.+ 2">
    <w:altName w:val="方正舒体"/>
    <w:panose1 w:val="00000000000000000000"/>
    <w:charset w:val="86"/>
    <w:family w:val="auto"/>
    <w:notTrueType/>
    <w:pitch w:val="default"/>
    <w:sig w:usb0="00000001" w:usb1="080E0000" w:usb2="00000010" w:usb3="00000000" w:csb0="00040000" w:csb1="00000000"/>
  </w:font>
  <w:font w:name="华文行楷">
    <w:panose1 w:val="02010800040101010101"/>
    <w:charset w:val="86"/>
    <w:family w:val="auto"/>
    <w:pitch w:val="variable"/>
    <w:sig w:usb0="00000001" w:usb1="080F0000" w:usb2="00000010" w:usb3="00000000" w:csb0="00040000" w:csb1="00000000"/>
  </w:font>
  <w:font w:name="GungsuhChe">
    <w:panose1 w:val="02030609000101010101"/>
    <w:charset w:val="81"/>
    <w:family w:val="modern"/>
    <w:pitch w:val="fixed"/>
    <w:sig w:usb0="B00002AF" w:usb1="69D77CFB" w:usb2="00000030" w:usb3="00000000" w:csb0="0008009F" w:csb1="00000000"/>
  </w:font>
  <w:font w:name="华文细黑">
    <w:panose1 w:val="02010600040101010101"/>
    <w:charset w:val="86"/>
    <w:family w:val="auto"/>
    <w:pitch w:val="variable"/>
    <w:sig w:usb0="00000287" w:usb1="080F0000" w:usb2="00000010" w:usb3="00000000" w:csb0="0004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F406B"/>
    <w:multiLevelType w:val="multilevel"/>
    <w:tmpl w:val="CC509224"/>
    <w:lvl w:ilvl="0">
      <w:start w:val="1"/>
      <w:numFmt w:val="chineseCountingThousand"/>
      <w:isLgl/>
      <w:lvlText w:val="第%1卷"/>
      <w:lvlJc w:val="left"/>
      <w:pPr>
        <w:tabs>
          <w:tab w:val="num" w:pos="720"/>
        </w:tabs>
        <w:ind w:left="0" w:firstLine="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1">
      <w:start w:val="1"/>
      <w:numFmt w:val="decimal"/>
      <w:isLgl/>
      <w:lvlText w:val="第%2章"/>
      <w:lvlJc w:val="left"/>
      <w:pPr>
        <w:tabs>
          <w:tab w:val="num" w:pos="1140"/>
        </w:tabs>
        <w:ind w:left="0" w:firstLine="42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2">
      <w:start w:val="1"/>
      <w:numFmt w:val="decimal"/>
      <w:isLgl/>
      <w:lvlText w:val="第%3节"/>
      <w:lvlJc w:val="left"/>
      <w:pPr>
        <w:tabs>
          <w:tab w:val="num" w:pos="1560"/>
        </w:tabs>
        <w:ind w:left="1420" w:hanging="5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3">
      <w:start w:val="1"/>
      <w:numFmt w:val="decimal"/>
      <w:isLgl/>
      <w:lvlText w:val="%3.%4"/>
      <w:lvlJc w:val="left"/>
      <w:pPr>
        <w:tabs>
          <w:tab w:val="num" w:pos="2000"/>
        </w:tabs>
        <w:ind w:left="0" w:firstLine="12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4">
      <w:start w:val="1"/>
      <w:numFmt w:val="decimal"/>
      <w:isLgl/>
      <w:lvlText w:val="%3.%4.%5"/>
      <w:lvlJc w:val="left"/>
      <w:pPr>
        <w:tabs>
          <w:tab w:val="num" w:pos="2420"/>
        </w:tabs>
        <w:ind w:left="0" w:firstLine="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5">
      <w:start w:val="1"/>
      <w:numFmt w:val="decimal"/>
      <w:isLgl/>
      <w:lvlText w:val="%3.%4.%5.%6"/>
      <w:lvlJc w:val="left"/>
      <w:pPr>
        <w:tabs>
          <w:tab w:val="num" w:pos="3260"/>
        </w:tabs>
        <w:ind w:left="3260" w:hanging="114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6">
      <w:start w:val="1"/>
      <w:numFmt w:val="decimal"/>
      <w:isLgl/>
      <w:lvlText w:val="%1.%2.%3.%4.%5.%6.%7"/>
      <w:lvlJc w:val="left"/>
      <w:pPr>
        <w:tabs>
          <w:tab w:val="num" w:pos="4720"/>
        </w:tabs>
        <w:ind w:left="3820" w:hanging="126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7">
      <w:start w:val="1"/>
      <w:numFmt w:val="decimal"/>
      <w:lvlText w:val="%1.%2.%3.%4.%5.%6.%7.%8"/>
      <w:lvlJc w:val="left"/>
      <w:pPr>
        <w:tabs>
          <w:tab w:val="num" w:pos="5140"/>
        </w:tabs>
        <w:ind w:left="4400" w:hanging="142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8">
      <w:start w:val="1"/>
      <w:numFmt w:val="decimal"/>
      <w:isLgl/>
      <w:lvlText w:val="%1.%2.%3.%4.%5.%6.%7.%8.%9"/>
      <w:lvlJc w:val="left"/>
      <w:pPr>
        <w:tabs>
          <w:tab w:val="num" w:pos="5920"/>
        </w:tabs>
        <w:ind w:left="5100" w:hanging="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abstractNum>
  <w:abstractNum w:abstractNumId="1">
    <w:nsid w:val="0603630D"/>
    <w:multiLevelType w:val="multilevel"/>
    <w:tmpl w:val="C0D2ABD4"/>
    <w:lvl w:ilvl="0">
      <w:start w:val="1"/>
      <w:numFmt w:val="chineseCountingThousand"/>
      <w:isLgl/>
      <w:lvlText w:val="第%1卷"/>
      <w:lvlJc w:val="left"/>
      <w:pPr>
        <w:tabs>
          <w:tab w:val="num" w:pos="720"/>
        </w:tabs>
        <w:ind w:left="0" w:firstLine="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1">
      <w:start w:val="1"/>
      <w:numFmt w:val="decimal"/>
      <w:isLgl/>
      <w:lvlText w:val="第%2章"/>
      <w:lvlJc w:val="left"/>
      <w:pPr>
        <w:tabs>
          <w:tab w:val="num" w:pos="1140"/>
        </w:tabs>
        <w:ind w:left="0" w:firstLine="42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2">
      <w:start w:val="1"/>
      <w:numFmt w:val="decimal"/>
      <w:isLgl/>
      <w:lvlText w:val="第%3节"/>
      <w:lvlJc w:val="left"/>
      <w:pPr>
        <w:tabs>
          <w:tab w:val="num" w:pos="1560"/>
        </w:tabs>
        <w:ind w:left="1420" w:hanging="5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3">
      <w:start w:val="1"/>
      <w:numFmt w:val="decimal"/>
      <w:isLgl/>
      <w:lvlText w:val="%3.%4"/>
      <w:lvlJc w:val="left"/>
      <w:pPr>
        <w:tabs>
          <w:tab w:val="num" w:pos="2000"/>
        </w:tabs>
        <w:ind w:left="0" w:firstLine="12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4">
      <w:start w:val="1"/>
      <w:numFmt w:val="decimal"/>
      <w:isLgl/>
      <w:lvlText w:val="%3.%4.%5"/>
      <w:lvlJc w:val="left"/>
      <w:pPr>
        <w:tabs>
          <w:tab w:val="num" w:pos="2420"/>
        </w:tabs>
        <w:ind w:left="0" w:firstLine="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5">
      <w:start w:val="1"/>
      <w:numFmt w:val="decimal"/>
      <w:isLgl/>
      <w:lvlText w:val="%3.%4.%5.%6"/>
      <w:lvlJc w:val="left"/>
      <w:pPr>
        <w:tabs>
          <w:tab w:val="num" w:pos="3260"/>
        </w:tabs>
        <w:ind w:left="3260" w:hanging="114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6">
      <w:start w:val="1"/>
      <w:numFmt w:val="decimal"/>
      <w:isLgl/>
      <w:lvlText w:val="%1.%2.%3.%4.%5.%6.%7"/>
      <w:lvlJc w:val="left"/>
      <w:pPr>
        <w:tabs>
          <w:tab w:val="num" w:pos="4720"/>
        </w:tabs>
        <w:ind w:left="3820" w:hanging="126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7">
      <w:start w:val="1"/>
      <w:numFmt w:val="decimal"/>
      <w:lvlText w:val="%1.%2.%3.%4.%5.%6.%7.%8"/>
      <w:lvlJc w:val="left"/>
      <w:pPr>
        <w:tabs>
          <w:tab w:val="num" w:pos="5140"/>
        </w:tabs>
        <w:ind w:left="4400" w:hanging="142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8">
      <w:start w:val="1"/>
      <w:numFmt w:val="decimal"/>
      <w:isLgl/>
      <w:lvlText w:val="%1.%2.%3.%4.%5.%6.%7.%8.%9"/>
      <w:lvlJc w:val="left"/>
      <w:pPr>
        <w:tabs>
          <w:tab w:val="num" w:pos="5920"/>
        </w:tabs>
        <w:ind w:left="5100" w:hanging="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abstractNum>
  <w:abstractNum w:abstractNumId="2">
    <w:nsid w:val="1B3A4266"/>
    <w:multiLevelType w:val="multilevel"/>
    <w:tmpl w:val="478410C0"/>
    <w:lvl w:ilvl="0">
      <w:start w:val="1"/>
      <w:numFmt w:val="chineseCountingThousand"/>
      <w:isLgl/>
      <w:lvlText w:val="第%1卷"/>
      <w:lvlJc w:val="left"/>
      <w:pPr>
        <w:tabs>
          <w:tab w:val="num" w:pos="720"/>
        </w:tabs>
        <w:ind w:left="0" w:firstLine="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1">
      <w:start w:val="1"/>
      <w:numFmt w:val="decimal"/>
      <w:isLgl/>
      <w:lvlText w:val="第%2章"/>
      <w:lvlJc w:val="left"/>
      <w:pPr>
        <w:tabs>
          <w:tab w:val="num" w:pos="1140"/>
        </w:tabs>
        <w:ind w:left="0" w:firstLine="42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2">
      <w:start w:val="1"/>
      <w:numFmt w:val="decimal"/>
      <w:isLgl/>
      <w:lvlText w:val="第%3节"/>
      <w:lvlJc w:val="left"/>
      <w:pPr>
        <w:tabs>
          <w:tab w:val="num" w:pos="1560"/>
        </w:tabs>
        <w:ind w:left="1420" w:hanging="5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3">
      <w:start w:val="1"/>
      <w:numFmt w:val="decimal"/>
      <w:isLgl/>
      <w:lvlText w:val="%3.%4"/>
      <w:lvlJc w:val="left"/>
      <w:pPr>
        <w:tabs>
          <w:tab w:val="num" w:pos="2000"/>
        </w:tabs>
        <w:ind w:left="0" w:firstLine="12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4">
      <w:start w:val="1"/>
      <w:numFmt w:val="decimal"/>
      <w:isLgl/>
      <w:lvlText w:val="%3.%4.%5"/>
      <w:lvlJc w:val="left"/>
      <w:pPr>
        <w:tabs>
          <w:tab w:val="num" w:pos="2420"/>
        </w:tabs>
        <w:ind w:left="0" w:firstLine="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5">
      <w:start w:val="1"/>
      <w:numFmt w:val="decimal"/>
      <w:isLgl/>
      <w:lvlText w:val="%3.%4.%5.%6"/>
      <w:lvlJc w:val="left"/>
      <w:pPr>
        <w:tabs>
          <w:tab w:val="num" w:pos="3260"/>
        </w:tabs>
        <w:ind w:left="3260" w:hanging="114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6">
      <w:start w:val="1"/>
      <w:numFmt w:val="decimal"/>
      <w:isLgl/>
      <w:lvlText w:val="%1.%2.%3.%4.%5.%6.%7"/>
      <w:lvlJc w:val="left"/>
      <w:pPr>
        <w:tabs>
          <w:tab w:val="num" w:pos="4720"/>
        </w:tabs>
        <w:ind w:left="3820" w:hanging="126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7">
      <w:start w:val="1"/>
      <w:numFmt w:val="decimal"/>
      <w:lvlText w:val="%1.%2.%3.%4.%5.%6.%7.%8"/>
      <w:lvlJc w:val="left"/>
      <w:pPr>
        <w:tabs>
          <w:tab w:val="num" w:pos="5140"/>
        </w:tabs>
        <w:ind w:left="4400" w:hanging="142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8">
      <w:start w:val="1"/>
      <w:numFmt w:val="decimal"/>
      <w:isLgl/>
      <w:lvlText w:val="%1.%2.%3.%4.%5.%6.%7.%8.%9"/>
      <w:lvlJc w:val="left"/>
      <w:pPr>
        <w:tabs>
          <w:tab w:val="num" w:pos="5920"/>
        </w:tabs>
        <w:ind w:left="5100" w:hanging="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abstractNum>
  <w:abstractNum w:abstractNumId="3">
    <w:nsid w:val="54725779"/>
    <w:multiLevelType w:val="multilevel"/>
    <w:tmpl w:val="E020D31E"/>
    <w:lvl w:ilvl="0">
      <w:start w:val="1"/>
      <w:numFmt w:val="chineseCountingThousand"/>
      <w:isLgl/>
      <w:lvlText w:val="第%1卷"/>
      <w:lvlJc w:val="left"/>
      <w:pPr>
        <w:tabs>
          <w:tab w:val="num" w:pos="720"/>
        </w:tabs>
        <w:ind w:left="0" w:firstLine="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1">
      <w:start w:val="1"/>
      <w:numFmt w:val="decimal"/>
      <w:isLgl/>
      <w:lvlText w:val="第%2章"/>
      <w:lvlJc w:val="left"/>
      <w:pPr>
        <w:tabs>
          <w:tab w:val="num" w:pos="1140"/>
        </w:tabs>
        <w:ind w:left="0" w:firstLine="42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2">
      <w:start w:val="1"/>
      <w:numFmt w:val="decimal"/>
      <w:isLgl/>
      <w:lvlText w:val="第%3节"/>
      <w:lvlJc w:val="left"/>
      <w:pPr>
        <w:tabs>
          <w:tab w:val="num" w:pos="1560"/>
        </w:tabs>
        <w:ind w:left="1420" w:hanging="5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3">
      <w:start w:val="1"/>
      <w:numFmt w:val="decimal"/>
      <w:isLgl/>
      <w:lvlText w:val="%3.%4"/>
      <w:lvlJc w:val="left"/>
      <w:pPr>
        <w:tabs>
          <w:tab w:val="num" w:pos="2000"/>
        </w:tabs>
        <w:ind w:left="0" w:firstLine="12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4">
      <w:start w:val="1"/>
      <w:numFmt w:val="decimal"/>
      <w:isLgl/>
      <w:lvlText w:val="%3.%4.%5"/>
      <w:lvlJc w:val="left"/>
      <w:pPr>
        <w:tabs>
          <w:tab w:val="num" w:pos="2420"/>
        </w:tabs>
        <w:ind w:left="0" w:firstLine="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5">
      <w:start w:val="1"/>
      <w:numFmt w:val="decimal"/>
      <w:isLgl/>
      <w:lvlText w:val="%3.%4.%5.%6"/>
      <w:lvlJc w:val="left"/>
      <w:pPr>
        <w:tabs>
          <w:tab w:val="num" w:pos="3260"/>
        </w:tabs>
        <w:ind w:left="3260" w:hanging="114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6">
      <w:start w:val="1"/>
      <w:numFmt w:val="decimal"/>
      <w:isLgl/>
      <w:lvlText w:val="%1.%2.%3.%4.%5.%6.%7"/>
      <w:lvlJc w:val="left"/>
      <w:pPr>
        <w:tabs>
          <w:tab w:val="num" w:pos="4000"/>
        </w:tabs>
        <w:ind w:left="3820" w:hanging="126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7">
      <w:start w:val="1"/>
      <w:numFmt w:val="decimal"/>
      <w:lvlText w:val="%1.%2.%3.%4.%5.%6.%7.%8"/>
      <w:lvlJc w:val="left"/>
      <w:pPr>
        <w:tabs>
          <w:tab w:val="num" w:pos="5140"/>
        </w:tabs>
        <w:ind w:left="4400" w:hanging="142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8">
      <w:start w:val="1"/>
      <w:numFmt w:val="decimal"/>
      <w:isLgl/>
      <w:lvlText w:val="%1.%2.%3.%4.%5.%6.%7.%8.%9"/>
      <w:lvlJc w:val="left"/>
      <w:pPr>
        <w:tabs>
          <w:tab w:val="num" w:pos="5200"/>
        </w:tabs>
        <w:ind w:left="5100" w:hanging="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abstractNum>
  <w:abstractNum w:abstractNumId="4">
    <w:nsid w:val="6E090B8D"/>
    <w:multiLevelType w:val="multilevel"/>
    <w:tmpl w:val="8D789812"/>
    <w:lvl w:ilvl="0">
      <w:start w:val="1"/>
      <w:numFmt w:val="chineseCountingThousand"/>
      <w:isLgl/>
      <w:lvlText w:val="第%1卷"/>
      <w:lvlJc w:val="left"/>
      <w:pPr>
        <w:tabs>
          <w:tab w:val="num" w:pos="720"/>
        </w:tabs>
        <w:ind w:left="0" w:firstLine="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1">
      <w:start w:val="1"/>
      <w:numFmt w:val="decimal"/>
      <w:isLgl/>
      <w:lvlText w:val="第%2章"/>
      <w:lvlJc w:val="left"/>
      <w:pPr>
        <w:tabs>
          <w:tab w:val="num" w:pos="1140"/>
        </w:tabs>
        <w:ind w:left="0" w:firstLine="42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2">
      <w:start w:val="1"/>
      <w:numFmt w:val="decimal"/>
      <w:isLgl/>
      <w:lvlText w:val="第%3节"/>
      <w:lvlJc w:val="left"/>
      <w:pPr>
        <w:tabs>
          <w:tab w:val="num" w:pos="1560"/>
        </w:tabs>
        <w:ind w:left="1420" w:hanging="5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3">
      <w:start w:val="1"/>
      <w:numFmt w:val="decimal"/>
      <w:isLgl/>
      <w:lvlText w:val="%3.%4"/>
      <w:lvlJc w:val="left"/>
      <w:pPr>
        <w:tabs>
          <w:tab w:val="num" w:pos="2000"/>
        </w:tabs>
        <w:ind w:left="0" w:firstLine="128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4">
      <w:start w:val="1"/>
      <w:numFmt w:val="decimal"/>
      <w:isLgl/>
      <w:lvlText w:val="%3.%4.%5"/>
      <w:lvlJc w:val="left"/>
      <w:pPr>
        <w:tabs>
          <w:tab w:val="num" w:pos="2420"/>
        </w:tabs>
        <w:ind w:left="0" w:firstLine="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lvl w:ilvl="5">
      <w:start w:val="1"/>
      <w:numFmt w:val="decimal"/>
      <w:isLgl/>
      <w:lvlText w:val="%3.%4.%5.%6"/>
      <w:lvlJc w:val="left"/>
      <w:pPr>
        <w:tabs>
          <w:tab w:val="num" w:pos="3260"/>
        </w:tabs>
        <w:ind w:left="3260" w:hanging="114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6">
      <w:start w:val="1"/>
      <w:numFmt w:val="decimal"/>
      <w:isLgl/>
      <w:lvlText w:val="%1.%2.%3.%4.%5.%6.%7"/>
      <w:lvlJc w:val="left"/>
      <w:pPr>
        <w:tabs>
          <w:tab w:val="num" w:pos="4720"/>
        </w:tabs>
        <w:ind w:left="3820" w:hanging="126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7">
      <w:start w:val="1"/>
      <w:numFmt w:val="decimal"/>
      <w:lvlText w:val="%1.%2.%3.%4.%5.%6.%7.%8"/>
      <w:lvlJc w:val="left"/>
      <w:pPr>
        <w:tabs>
          <w:tab w:val="num" w:pos="5140"/>
        </w:tabs>
        <w:ind w:left="4400" w:hanging="1420"/>
      </w:pPr>
      <w:rPr>
        <w:rFonts w:ascii="宋体" w:eastAsia="宋体" w:hAnsi="宋体" w:hint="eastAsia"/>
        <w:b/>
        <w:i w:val="0"/>
        <w:caps w:val="0"/>
        <w:smallCaps w:val="0"/>
        <w:strike w:val="0"/>
        <w:dstrike w:val="0"/>
        <w:outline w:val="0"/>
        <w:shadow w:val="0"/>
        <w:emboss w:val="0"/>
        <w:imprint w:val="0"/>
        <w:vanish w:val="0"/>
        <w:color w:val="333300"/>
        <w:sz w:val="28"/>
        <w:u w:val="none"/>
        <w:effect w:val="none"/>
        <w:vertAlign w:val="baseline"/>
      </w:rPr>
    </w:lvl>
    <w:lvl w:ilvl="8">
      <w:start w:val="1"/>
      <w:numFmt w:val="decimal"/>
      <w:isLgl/>
      <w:lvlText w:val="%1.%2.%3.%4.%5.%6.%7.%8.%9"/>
      <w:lvlJc w:val="left"/>
      <w:pPr>
        <w:tabs>
          <w:tab w:val="num" w:pos="5920"/>
        </w:tabs>
        <w:ind w:left="5100" w:hanging="1700"/>
      </w:pPr>
      <w:rPr>
        <w:rFonts w:ascii="宋体" w:eastAsia="宋体" w:hAnsi="宋体" w:hint="eastAsia"/>
        <w:b/>
        <w:i w:val="0"/>
        <w:caps w:val="0"/>
        <w:smallCaps w:val="0"/>
        <w:strike w:val="0"/>
        <w:dstrike w:val="0"/>
        <w:outline w:val="0"/>
        <w:shadow w:val="0"/>
        <w:emboss w:val="0"/>
        <w:imprint w:val="0"/>
        <w:vanish w:val="0"/>
        <w:color w:val="auto"/>
        <w:sz w:val="28"/>
        <w:u w:val="none"/>
        <w:effect w:val="none"/>
        <w:vertAlign w:val="baseline"/>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381E"/>
    <w:rsid w:val="00185813"/>
    <w:rsid w:val="004245DD"/>
    <w:rsid w:val="0061381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qFormat/>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Pr>
      <w:b/>
      <w:bCs/>
    </w:rPr>
  </w:style>
  <w:style w:type="character" w:styleId="Hyperlink">
    <w:name w:val="Hyperlink"/>
    <w:basedOn w:val="DefaultParagraphFont"/>
    <w:rPr>
      <w:color w:val="0000FF"/>
      <w:u w:val="none"/>
      <w:effect w:val="none"/>
    </w:rPr>
  </w:style>
  <w:style w:type="paragraph" w:styleId="TOC1">
    <w:name w:val="toc 1"/>
    <w:basedOn w:val="Normal"/>
    <w:next w:val="Normal"/>
    <w:autoRedefine/>
    <w:semiHidden/>
    <w:pPr>
      <w:wordWrap w:val="0"/>
      <w:overflowPunct w:val="0"/>
      <w:autoSpaceDN w:val="0"/>
      <w:ind w:firstLine="200" w:firstLineChars="200"/>
      <w:jc w:val="left"/>
    </w:pPr>
    <w:rPr>
      <w:rFonts w:ascii="宋体" w:hAnsi="华文细黑"/>
      <w:color w:val="000000"/>
      <w:sz w:val="24"/>
    </w:rPr>
  </w:style>
  <w:style w:type="paragraph" w:styleId="Title">
    <w:name w:val="Title"/>
    <w:basedOn w:val="Normal"/>
    <w:next w:val="Normal"/>
    <w:qFormat/>
    <w:pPr>
      <w:wordWrap w:val="0"/>
      <w:overflowPunct w:val="0"/>
      <w:autoSpaceDN w:val="0"/>
      <w:spacing w:before="240" w:after="60"/>
      <w:ind w:firstLine="200" w:firstLineChars="200"/>
      <w:jc w:val="center"/>
      <w:outlineLvl w:val="0"/>
    </w:pPr>
    <w:rPr>
      <w:rFonts w:ascii="Arial" w:hAnsi="Arial" w:cs="Arial"/>
      <w:b/>
      <w:bCs/>
      <w:sz w:val="32"/>
      <w:szCs w:val="32"/>
    </w:rPr>
  </w:style>
  <w:style w:type="paragraph" w:styleId="Header">
    <w:name w:val="header"/>
    <w:basedOn w:val="Normal"/>
    <w:rsid w:val="004245DD"/>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4245DD"/>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5615405320101005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Pages>
  <Words>3232</Words>
  <Characters>18428</Characters>
  <Application>Microsoft Office Word</Application>
  <DocSecurity>0</DocSecurity>
  <Lines>153</Lines>
  <Paragraphs>43</Paragraphs>
  <ScaleCrop>false</ScaleCrop>
  <HeadingPairs>
    <vt:vector size="2" baseType="variant">
      <vt:variant>
        <vt:lpstr>题目</vt:lpstr>
      </vt:variant>
      <vt:variant>
        <vt:i4>1</vt:i4>
      </vt:variant>
    </vt:vector>
  </HeadingPairs>
  <TitlesOfParts>
    <vt:vector size="1" baseType="lpstr">
      <vt:lpstr>说  明</vt:lpstr>
    </vt:vector>
  </TitlesOfParts>
  <Company>jyd</Company>
  <LinksUpToDate>false</LinksUpToDate>
  <CharactersWithSpaces>21617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说  明</dc:title>
  <dc:creator>hz</dc:creator>
  <cp:lastModifiedBy>番茄花园</cp:lastModifiedBy>
  <cp:revision>5</cp:revision>
  <dcterms:created xsi:type="dcterms:W3CDTF">2009-02-21T03:38:00Z</dcterms:created>
  <dcterms:modified xsi:type="dcterms:W3CDTF">2012-03-14T07:29:00Z</dcterms:modified>
</cp:coreProperties>
</file>