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227" w:line="260" w:lineRule="auto"/>
        <w:ind w:left="5061" w:right="2845" w:hanging="2196"/>
        <w:outlineLvl w:val="0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color w:val="FFFFFF"/>
          <w:spacing w:val="27"/>
          <w:sz w:val="70"/>
          <w:szCs w:val="70"/>
          <w14:textOutline w14:w="10668">
            <w14:solidFill>
              <w14:srgbClr w14:val="FFFFFF"/>
            </w14:solidFill>
            <w14:prstDash w14:val="solid"/>
            <w14:miter w14:lim="10"/>
          </w14:textOutline>
        </w:rPr>
        <w:t>数字碳中和</w:t>
      </w:r>
      <w:r>
        <w:rPr>
          <w:rFonts w:ascii="SimHei" w:eastAsia="SimHei" w:hAnsi="SimHei" w:cs="SimHei"/>
          <w:color w:val="FFFFFF"/>
          <w:spacing w:val="27"/>
          <w:sz w:val="70"/>
          <w:szCs w:val="70"/>
        </w:rPr>
        <w:t xml:space="preserve"> </w:t>
      </w:r>
      <w:r>
        <w:rPr>
          <w:rFonts w:ascii="SimHei" w:eastAsia="SimHei" w:hAnsi="SimHei" w:cs="SimHei"/>
          <w:color w:val="FFFFFF"/>
          <w:spacing w:val="27"/>
          <w:sz w:val="70"/>
          <w:szCs w:val="70"/>
          <w14:textOutline w14:w="10668">
            <w14:solidFill>
              <w14:srgbClr w14:val="FFFFFF"/>
            </w14:solidFill>
            <w14:prstDash w14:val="solid"/>
            <w14:miter w14:lim="10"/>
          </w14:textOutline>
        </w:rPr>
        <w:t>工业篇</w:t>
      </w:r>
      <w:r>
        <w:rPr>
          <w:rFonts w:ascii="SimHei" w:eastAsia="SimHei" w:hAnsi="SimHei" w:cs="SimHei"/>
          <w:color w:val="FFFFFF"/>
          <w:sz w:val="70"/>
          <w:szCs w:val="70"/>
        </w:rPr>
        <w:t xml:space="preserve"> </w:t>
      </w:r>
      <w:r>
        <w:rPr>
          <w:rFonts w:ascii="SimHei" w:eastAsia="SimHei" w:hAnsi="SimHei" w:cs="SimHei"/>
          <w:color w:val="FFFFFF"/>
          <w:spacing w:val="-2"/>
          <w:sz w:val="50"/>
          <w:szCs w:val="50"/>
          <w14:textOutline w14:w="8102">
            <w14:solidFill>
              <w14:srgbClr w14:val="FFFFFF"/>
            </w14:solidFill>
            <w14:prstDash w14:val="solid"/>
            <w14:miter w14:lim="10"/>
          </w14:textOutline>
        </w:rPr>
        <w:t>(2024</w:t>
      </w:r>
      <w:r>
        <w:rPr>
          <w:rFonts w:ascii="SimHei" w:eastAsia="SimHei" w:hAnsi="SimHei" w:cs="SimHei"/>
          <w:color w:val="FFFFFF"/>
          <w:spacing w:val="-79"/>
          <w:sz w:val="50"/>
          <w:szCs w:val="50"/>
        </w:rPr>
        <w:t xml:space="preserve"> </w:t>
      </w:r>
      <w:r>
        <w:rPr>
          <w:rFonts w:ascii="SimHei" w:eastAsia="SimHei" w:hAnsi="SimHei" w:cs="SimHei"/>
          <w:color w:val="FFFFFF"/>
          <w:spacing w:val="-2"/>
          <w:sz w:val="50"/>
          <w:szCs w:val="50"/>
          <w14:textOutline w14:w="8102">
            <w14:solidFill>
              <w14:srgbClr w14:val="FFFFFF"/>
            </w14:solidFill>
            <w14:prstDash w14:val="solid"/>
            <w14:miter w14:lim="10"/>
          </w14:textOutline>
        </w:rPr>
        <w:t>年)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4"/>
          <w:pgSz w:w="11905" w:h="16839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17" w:line="212" w:lineRule="auto"/>
        <w:ind w:left="3108"/>
        <w:rPr>
          <w:rFonts w:ascii="YouYuan" w:eastAsia="YouYuan" w:hAnsi="YouYuan" w:cs="YouYuan"/>
          <w:sz w:val="36"/>
          <w:szCs w:val="36"/>
        </w:rPr>
      </w:pPr>
      <w:r>
        <w:rPr>
          <w:rFonts w:ascii="YouYuan" w:eastAsia="YouYuan" w:hAnsi="YouYuan" w:cs="YouYuan"/>
          <w:color w:val="FFFFFF"/>
          <w:spacing w:val="-3"/>
          <w:sz w:val="36"/>
          <w:szCs w:val="36"/>
        </w:rPr>
        <w:t>中国信息通信研究院泰尔终端实验室</w:t>
      </w:r>
    </w:p>
    <w:p>
      <w:pPr>
        <w:spacing w:before="286" w:line="207" w:lineRule="auto"/>
        <w:ind w:left="2928"/>
        <w:rPr>
          <w:rFonts w:ascii="YouYuan" w:eastAsia="YouYuan" w:hAnsi="YouYuan" w:cs="YouYuan"/>
          <w:sz w:val="36"/>
          <w:szCs w:val="36"/>
        </w:rPr>
      </w:pPr>
      <w:r>
        <w:rPr>
          <w:rFonts w:ascii="YouYuan" w:eastAsia="YouYuan" w:hAnsi="YouYuan" w:cs="YouYuan"/>
          <w:color w:val="FFFFFF"/>
          <w:spacing w:val="-3"/>
          <w:sz w:val="36"/>
          <w:szCs w:val="36"/>
        </w:rPr>
        <w:t>中国信息通信研究院政策与经济研究所</w:t>
      </w:r>
    </w:p>
    <w:p>
      <w:pPr>
        <w:spacing w:before="298" w:line="208" w:lineRule="auto"/>
        <w:ind w:left="5157"/>
        <w:rPr>
          <w:rFonts w:ascii="YouYuan" w:eastAsia="YouYuan" w:hAnsi="YouYuan" w:cs="YouYuan"/>
          <w:sz w:val="36"/>
          <w:szCs w:val="36"/>
        </w:rPr>
      </w:pPr>
      <w:r>
        <w:rPr>
          <w:rFonts w:ascii="YouYuan" w:eastAsia="YouYuan" w:hAnsi="YouYuan" w:cs="YouYuan"/>
          <w:color w:val="FFFFFF"/>
          <w:spacing w:val="-3"/>
          <w:sz w:val="36"/>
          <w:szCs w:val="36"/>
        </w:rPr>
        <w:t>2024年1月</w:t>
      </w:r>
    </w:p>
    <w:p>
      <w:pPr>
        <w:spacing w:line="208" w:lineRule="auto"/>
        <w:rPr>
          <w:rFonts w:ascii="YouYuan" w:eastAsia="YouYuan" w:hAnsi="YouYuan" w:cs="YouYuan"/>
          <w:sz w:val="36"/>
          <w:szCs w:val="36"/>
        </w:rPr>
        <w:sectPr>
          <w:headerReference w:type="default" r:id="rId5"/>
          <w:type w:val="nextPage"/>
          <w:pgSz w:w="11905" w:h="16839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78" w:line="218" w:lineRule="auto"/>
        <w:ind w:left="3017"/>
        <w:rPr>
          <w:rFonts w:ascii="KaiTi" w:eastAsia="KaiTi" w:hAnsi="KaiTi" w:cs="KaiTi"/>
          <w:sz w:val="35"/>
          <w:szCs w:val="35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1121663</wp:posOffset>
            </wp:positionH>
            <wp:positionV relativeFrom="page">
              <wp:posOffset>2029968</wp:posOffset>
            </wp:positionV>
            <wp:extent cx="5315711" cy="914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5711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56"/>
          <w:w w:val="148"/>
          <w:sz w:val="35"/>
          <w:szCs w:val="35"/>
          <w14:textOutline w14:w="9143">
            <w14:solidFill>
              <w14:srgbClr w14:val="000000"/>
            </w14:solidFill>
            <w14:prstDash w14:val="solid"/>
            <w14:miter w14:lim="10"/>
          </w14:textOutline>
        </w:rPr>
        <w:t>版权声明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01" w:line="372" w:lineRule="auto"/>
        <w:ind w:left="48" w:firstLine="645"/>
        <w:jc w:val="both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2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本报告版权属于中国信息通信研究院，并受法律保护。</w:t>
      </w:r>
      <w:r>
        <w:rPr>
          <w:rFonts w:ascii="FangSong" w:eastAsia="FangSong" w:hAnsi="FangSong" w:cs="FangSong"/>
          <w:spacing w:val="5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3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转载、摘编或利用其它方式使用本报告文字</w:t>
      </w:r>
      <w:r>
        <w:rPr>
          <w:rFonts w:ascii="FangSong" w:eastAsia="FangSong" w:hAnsi="FangSong" w:cs="FangSong"/>
          <w:spacing w:val="2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或者观点的，</w:t>
      </w:r>
      <w:r>
        <w:rPr>
          <w:rFonts w:ascii="FangSong" w:eastAsia="FangSong" w:hAnsi="FangSong" w:cs="FangSong"/>
          <w:spacing w:val="2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2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应</w:t>
      </w:r>
      <w:r>
        <w:rPr>
          <w:rFonts w:ascii="FangSong" w:eastAsia="FangSong" w:hAnsi="FangSong" w:cs="FangSong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3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注明</w:t>
      </w:r>
      <w:r>
        <w:rPr>
          <w:rFonts w:ascii="FangSong" w:eastAsia="FangSong" w:hAnsi="FangSong" w:cs="FangSong"/>
          <w:spacing w:val="-91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3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“来源：</w:t>
      </w:r>
      <w:r>
        <w:rPr>
          <w:rFonts w:ascii="FangSong" w:eastAsia="FangSong" w:hAnsi="FangSong" w:cs="FangSong"/>
          <w:spacing w:val="70"/>
          <w:sz w:val="31"/>
          <w:szCs w:val="31"/>
        </w:rPr>
        <w:t xml:space="preserve"> </w:t>
      </w:r>
      <w:r>
        <w:rPr>
          <w:rFonts w:ascii="FangSong" w:eastAsia="FangSong" w:hAnsi="FangSong" w:cs="FangSong"/>
          <w:spacing w:val="-3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中国信息通信研究院”。违反上述声明者，本</w:t>
      </w:r>
    </w:p>
    <w:p>
      <w:pPr>
        <w:spacing w:before="1" w:line="219" w:lineRule="auto"/>
        <w:ind w:left="63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7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院将追究其相关法律责任。</w:t>
      </w:r>
    </w:p>
    <w:p>
      <w:pPr>
        <w:spacing w:line="219" w:lineRule="auto"/>
        <w:rPr>
          <w:rFonts w:ascii="FangSong" w:eastAsia="FangSong" w:hAnsi="FangSong" w:cs="FangSong"/>
          <w:sz w:val="31"/>
          <w:szCs w:val="31"/>
        </w:rPr>
        <w:sectPr>
          <w:headerReference w:type="default" r:id="rId7"/>
          <w:pgSz w:w="11909" w:h="16839"/>
          <w:pgMar w:top="2308" w:right="1713" w:bottom="0" w:left="1766" w:header="2294" w:footer="0" w:gutter="0"/>
          <w:pgNumType w:start="3"/>
          <w:cols w:space="708"/>
        </w:sectPr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01" w:line="226" w:lineRule="auto"/>
        <w:ind w:left="3688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1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SimHei" w:eastAsia="SimHei" w:hAnsi="SimHei" w:cs="SimHei"/>
          <w:spacing w:val="23"/>
          <w:sz w:val="31"/>
          <w:szCs w:val="31"/>
        </w:rPr>
        <w:t xml:space="preserve">  </w:t>
      </w:r>
      <w:r>
        <w:rPr>
          <w:rFonts w:ascii="SimHei" w:eastAsia="SimHei" w:hAnsi="SimHei" w:cs="SimHei"/>
          <w:spacing w:val="-1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before="265" w:line="427" w:lineRule="auto"/>
        <w:ind w:left="14" w:right="212" w:firstLine="57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2"/>
          <w:sz w:val="27"/>
          <w:szCs w:val="27"/>
        </w:rPr>
        <w:t>近年来，</w:t>
      </w:r>
      <w:r>
        <w:rPr>
          <w:rFonts w:ascii="FangSong" w:eastAsia="FangSong" w:hAnsi="FangSong" w:cs="FangSong"/>
          <w:spacing w:val="-1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2"/>
          <w:sz w:val="27"/>
          <w:szCs w:val="27"/>
        </w:rPr>
        <w:t>我国工业发展迅速，</w:t>
      </w:r>
      <w:r>
        <w:rPr>
          <w:rFonts w:ascii="FangSong" w:eastAsia="FangSong" w:hAnsi="FangSong" w:cs="FangSong"/>
          <w:spacing w:val="5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2"/>
          <w:sz w:val="27"/>
          <w:szCs w:val="27"/>
        </w:rPr>
        <w:t>工业体系不</w:t>
      </w:r>
      <w:r>
        <w:rPr>
          <w:rFonts w:ascii="FangSong" w:eastAsia="FangSong" w:hAnsi="FangSong" w:cs="FangSong"/>
          <w:spacing w:val="-13"/>
          <w:sz w:val="27"/>
          <w:szCs w:val="27"/>
        </w:rPr>
        <w:t>断健全，</w:t>
      </w:r>
      <w:r>
        <w:rPr>
          <w:rFonts w:ascii="FangSong" w:eastAsia="FangSong" w:hAnsi="FangSong" w:cs="FangSong"/>
          <w:spacing w:val="6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3"/>
          <w:sz w:val="27"/>
          <w:szCs w:val="27"/>
        </w:rPr>
        <w:t>总体规模不断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扩大，</w:t>
      </w:r>
      <w:r>
        <w:rPr>
          <w:rFonts w:ascii="FangSong" w:eastAsia="FangSong" w:hAnsi="FangSong" w:cs="FangSong"/>
          <w:spacing w:val="-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工业领域节能降耗工作取得积极进展。然而，</w:t>
      </w:r>
      <w:r>
        <w:rPr>
          <w:rFonts w:ascii="FangSong" w:eastAsia="FangSong" w:hAnsi="FangSong" w:cs="FangSong"/>
          <w:spacing w:val="6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工业依然是我国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能源消费和碳排放的重点领域，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其能源消费总量占全国能源消费总量</w:t>
      </w:r>
      <w:r>
        <w:rPr>
          <w:rFonts w:ascii="FangSong" w:eastAsia="FangSong" w:hAnsi="FangSong" w:cs="FangSong"/>
          <w:spacing w:val="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超过</w:t>
      </w:r>
      <w:r>
        <w:rPr>
          <w:rFonts w:ascii="FangSong" w:eastAsia="FangSong" w:hAnsi="FangSong" w:cs="FangSong"/>
          <w:spacing w:val="-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60%</w:t>
      </w:r>
      <w:r>
        <w:rPr>
          <w:rFonts w:ascii="FangSong" w:eastAsia="FangSong" w:hAnsi="FangSong" w:cs="FangSong"/>
          <w:spacing w:val="5"/>
          <w:sz w:val="27"/>
          <w:szCs w:val="27"/>
        </w:rPr>
        <w:t>。工业绿色低碳转型成为我国实现碳达峰碳中和目标和新型</w:t>
      </w:r>
    </w:p>
    <w:p>
      <w:pPr>
        <w:spacing w:line="223" w:lineRule="auto"/>
        <w:ind w:left="2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sz w:val="27"/>
          <w:szCs w:val="27"/>
        </w:rPr>
        <w:t>工业化的必经之路。</w:t>
      </w:r>
    </w:p>
    <w:p>
      <w:pPr>
        <w:spacing w:before="295" w:line="427" w:lineRule="auto"/>
        <w:ind w:left="25" w:firstLine="57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z w:val="27"/>
          <w:szCs w:val="27"/>
        </w:rPr>
        <w:t>随着新一轮科技革命的突飞猛进和应对气候变化的</w:t>
      </w:r>
      <w:r>
        <w:rPr>
          <w:rFonts w:ascii="FangSong" w:eastAsia="FangSong" w:hAnsi="FangSong" w:cs="FangSong"/>
          <w:spacing w:val="-1"/>
          <w:sz w:val="27"/>
          <w:szCs w:val="27"/>
        </w:rPr>
        <w:t>深入推进，</w:t>
      </w:r>
      <w:r>
        <w:rPr>
          <w:rFonts w:ascii="FangSong" w:eastAsia="FangSong" w:hAnsi="FangSong" w:cs="FangSong"/>
          <w:spacing w:val="-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全</w:t>
      </w:r>
      <w:r>
        <w:rPr>
          <w:rFonts w:ascii="FangSong" w:eastAsia="FangSong" w:hAnsi="FangSong" w:cs="FangSong"/>
          <w:spacing w:val="-1"/>
          <w:sz w:val="27"/>
          <w:szCs w:val="27"/>
        </w:rPr>
        <w:t xml:space="preserve">  </w:t>
      </w:r>
      <w:r>
        <w:rPr>
          <w:rFonts w:ascii="FangSong" w:eastAsia="FangSong" w:hAnsi="FangSong" w:cs="FangSong"/>
          <w:sz w:val="27"/>
          <w:szCs w:val="27"/>
        </w:rPr>
        <w:t>球产业结构和布局深度调整，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数据作为关键生产要素的价值日益凸显，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数字技术深入渗透到工业领域高质量发展过程中，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助力工业加速</w:t>
      </w:r>
      <w:r>
        <w:rPr>
          <w:rFonts w:ascii="FangSong" w:eastAsia="FangSong" w:hAnsi="FangSong" w:cs="FangSong"/>
          <w:spacing w:val="1"/>
          <w:sz w:val="27"/>
          <w:szCs w:val="27"/>
        </w:rPr>
        <w:t>迈向</w:t>
      </w:r>
    </w:p>
    <w:p>
      <w:pPr>
        <w:spacing w:line="222" w:lineRule="auto"/>
        <w:ind w:left="3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高端化、智能化、绿色化的新型工业化。</w:t>
      </w:r>
    </w:p>
    <w:p>
      <w:pPr>
        <w:spacing w:before="292" w:line="427" w:lineRule="auto"/>
        <w:ind w:left="13" w:right="128" w:firstLine="56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本蓝皮书聚焦数字技术与工业领域的融合应用，系统梳理欧盟、</w:t>
      </w:r>
      <w:r>
        <w:rPr>
          <w:rFonts w:ascii="FangSong" w:eastAsia="FangSong" w:hAnsi="FangSong" w:cs="FangSong"/>
          <w:spacing w:val="1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美国、日本等国家地区借力数字技术推进工业脱碳的探索实践，</w:t>
      </w:r>
      <w:r>
        <w:rPr>
          <w:rFonts w:ascii="FangSong" w:eastAsia="FangSong" w:hAnsi="FangSong" w:cs="FangSong"/>
          <w:spacing w:val="4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分析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数字技术助力工业碳减排的内涵机理和思路框架，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建立数字技术赋能</w:t>
      </w:r>
      <w:r>
        <w:rPr>
          <w:rFonts w:ascii="FangSong" w:eastAsia="FangSong" w:hAnsi="FangSong" w:cs="FangSong"/>
          <w:spacing w:val="1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碳减排潜力评估模型，</w:t>
      </w:r>
      <w:r>
        <w:rPr>
          <w:rFonts w:ascii="FangSong" w:eastAsia="FangSong" w:hAnsi="FangSong" w:cs="FangSong"/>
          <w:spacing w:val="5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评估数字技术赋能钢铁、石</w:t>
      </w:r>
      <w:r>
        <w:rPr>
          <w:rFonts w:ascii="FangSong" w:eastAsia="FangSong" w:hAnsi="FangSong" w:cs="FangSong"/>
          <w:sz w:val="27"/>
          <w:szCs w:val="27"/>
        </w:rPr>
        <w:t>化化工、建材等重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点流程制造业碳减排的潜力和贡献度。数字技术赋能工业碳</w:t>
      </w:r>
      <w:r>
        <w:rPr>
          <w:rFonts w:ascii="FangSong" w:eastAsia="FangSong" w:hAnsi="FangSong" w:cs="FangSong"/>
          <w:spacing w:val="6"/>
          <w:sz w:val="27"/>
          <w:szCs w:val="27"/>
        </w:rPr>
        <w:t>减排的潜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力正处于快速增长期，</w:t>
      </w:r>
      <w:r>
        <w:rPr>
          <w:rFonts w:ascii="FangSong" w:eastAsia="FangSong" w:hAnsi="FangSong" w:cs="FangSong"/>
          <w:spacing w:val="4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未来十年现有的数字技术将分别助力钢铁、石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化化工、建材行业减少</w:t>
      </w:r>
      <w:r>
        <w:rPr>
          <w:rFonts w:ascii="FangSong" w:eastAsia="FangSong" w:hAnsi="FangSong" w:cs="FangSong"/>
          <w:spacing w:val="-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5%~20%</w:t>
      </w:r>
      <w:r>
        <w:rPr>
          <w:rFonts w:ascii="Times New Roman" w:eastAsia="Times New Roman" w:hAnsi="Times New Roman" w:cs="Times New Roman"/>
          <w:spacing w:val="-3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6%~</w:t>
      </w:r>
      <w:r>
        <w:rPr>
          <w:rFonts w:ascii="Times New Roman" w:eastAsia="Times New Roman" w:hAnsi="Times New Roman" w:cs="Times New Roman"/>
          <w:spacing w:val="-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16%</w:t>
      </w:r>
      <w:r>
        <w:rPr>
          <w:rFonts w:ascii="Times New Roman" w:eastAsia="Times New Roman" w:hAnsi="Times New Roman" w:cs="Times New Roman"/>
          <w:spacing w:val="-3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3%~9%</w:t>
      </w:r>
      <w:r>
        <w:rPr>
          <w:rFonts w:ascii="FangSong" w:eastAsia="FangSong" w:hAnsi="FangSong" w:cs="FangSong"/>
          <w:spacing w:val="-3"/>
          <w:sz w:val="27"/>
          <w:szCs w:val="27"/>
        </w:rPr>
        <w:t>的碳排放。</w:t>
      </w:r>
      <w:r>
        <w:rPr>
          <w:rFonts w:ascii="FangSong" w:eastAsia="FangSong" w:hAnsi="FangSong" w:cs="FangSong"/>
          <w:spacing w:val="7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随着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数字技术的快速发展和应用场景的落地实施，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数字技术对工业碳减排</w:t>
      </w:r>
      <w:r>
        <w:rPr>
          <w:rFonts w:ascii="FangSong" w:eastAsia="FangSong" w:hAnsi="FangSong" w:cs="FangSong"/>
          <w:spacing w:val="1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9"/>
          <w:sz w:val="27"/>
          <w:szCs w:val="27"/>
        </w:rPr>
        <w:t>的效应将会进一步加强。从重点行业、绿色制造和企业主体等维度，</w:t>
      </w:r>
      <w:r>
        <w:rPr>
          <w:rFonts w:ascii="FangSong" w:eastAsia="FangSong" w:hAnsi="FangSong" w:cs="FangSong"/>
          <w:spacing w:val="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研究数字技术赋能工业减碳管碳的实施路径和应用场景，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并从顶层设</w:t>
      </w:r>
      <w:r>
        <w:rPr>
          <w:rFonts w:ascii="FangSong" w:eastAsia="FangSong" w:hAnsi="FangSong" w:cs="FangSong"/>
          <w:spacing w:val="1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计、要素支撑、技术布局、财税金融、企业动力、数字化碳管理</w:t>
      </w:r>
      <w:r>
        <w:rPr>
          <w:rFonts w:ascii="FangSong" w:eastAsia="FangSong" w:hAnsi="FangSong" w:cs="FangSong"/>
          <w:spacing w:val="6"/>
          <w:sz w:val="27"/>
          <w:szCs w:val="27"/>
        </w:rPr>
        <w:t>等方</w:t>
      </w:r>
    </w:p>
    <w:p>
      <w:pPr>
        <w:spacing w:line="223" w:lineRule="auto"/>
        <w:ind w:left="3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0"/>
          <w:sz w:val="27"/>
          <w:szCs w:val="27"/>
        </w:rPr>
        <w:t>面提出数字技术助力碳减排政策建议，为政府和企业提供参考借鉴。</w:t>
      </w:r>
    </w:p>
    <w:p>
      <w:pPr>
        <w:spacing w:line="223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8"/>
          <w:pgSz w:w="11909" w:h="16839"/>
          <w:pgMar w:top="400" w:right="1587" w:bottom="0" w:left="1786" w:header="0" w:footer="0" w:gutter="0"/>
          <w:pgNumType w:start="4"/>
          <w:cols w:space="708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sdt>
      <w:sdtPr>
        <w:rPr>
          <w:rFonts w:ascii="SimHei" w:eastAsia="SimHei" w:hAnsi="SimHei" w:cs="SimHei"/>
          <w:sz w:val="31"/>
          <w:szCs w:val="31"/>
        </w:rPr>
        <w:id w:val="129467552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00" w:line="225" w:lineRule="auto"/>
            <w:ind w:left="3728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21"/>
              <w:sz w:val="31"/>
              <w:szCs w:val="31"/>
              <w14:textOutline w14:w="5613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Hei" w:eastAsia="SimHei" w:hAnsi="SimHei" w:cs="SimHei"/>
              <w:spacing w:val="18"/>
              <w:sz w:val="31"/>
              <w:szCs w:val="31"/>
            </w:rPr>
            <w:t xml:space="preserve">  </w:t>
          </w:r>
          <w:r>
            <w:rPr>
              <w:rFonts w:ascii="SimHei" w:eastAsia="SimHei" w:hAnsi="SimHei" w:cs="SimHei"/>
              <w:spacing w:val="-21"/>
              <w:sz w:val="31"/>
              <w:szCs w:val="31"/>
              <w14:textOutline w14:w="5613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10"/>
            </w:tabs>
            <w:spacing w:before="210" w:line="184" w:lineRule="auto"/>
            <w:ind w:left="3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一、数字技术成为新型工业化绿色化重要推动力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7"/>
            </w:tabs>
            <w:spacing w:before="226" w:line="184" w:lineRule="auto"/>
            <w:ind w:left="43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（一）工业是我国经济绿色低碳转型重点领域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317"/>
            </w:tabs>
            <w:spacing w:before="231" w:line="184" w:lineRule="auto"/>
            <w:ind w:left="43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FangSong" w:eastAsia="FangSong" w:hAnsi="FangSong" w:cs="FangSong"/>
                <w:sz w:val="24"/>
                <w:szCs w:val="24"/>
              </w:rPr>
              <w:t>（二）数字技术助力提升新型工业化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>含绿量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8312"/>
            </w:tabs>
            <w:spacing w:before="226" w:line="184" w:lineRule="auto"/>
            <w:ind w:left="3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二、发达国家积极探索数字技术助力工业脱碳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17"/>
            </w:tabs>
            <w:spacing w:before="231" w:line="184" w:lineRule="auto"/>
            <w:ind w:left="43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（一）美国：围绕数字减碳强化顶层设计和资金支持</w:t>
            </w:r>
            <w:r>
              <w:rPr>
                <w:rFonts w:ascii="FangSong" w:eastAsia="FangSong" w:hAnsi="FangSong" w:cs="FangSong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317"/>
            </w:tabs>
            <w:spacing w:before="227" w:line="184" w:lineRule="auto"/>
            <w:ind w:left="43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（二）欧盟：制定战略规划引领数字和绿色双重转型</w:t>
            </w:r>
            <w:r>
              <w:rPr>
                <w:rFonts w:ascii="FangSong" w:eastAsia="FangSong" w:hAnsi="FangSong" w:cs="FangSong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8317"/>
            </w:tabs>
            <w:spacing w:before="231" w:line="184" w:lineRule="auto"/>
            <w:ind w:left="43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（三）日本：强调政策融合推动数字化赋能绿色发展</w:t>
            </w:r>
            <w:r>
              <w:rPr>
                <w:rFonts w:ascii="FangSong" w:eastAsia="FangSong" w:hAnsi="FangSong" w:cs="FangSong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312"/>
            </w:tabs>
            <w:spacing w:before="226" w:line="184" w:lineRule="auto"/>
            <w:ind w:left="37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三、数字技术将在工业领域持续释放降碳潜能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8317"/>
            </w:tabs>
            <w:spacing w:before="232" w:line="184" w:lineRule="auto"/>
            <w:ind w:left="43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9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（一）数字技术助力碳减排科学内涵和思路框架</w:t>
            </w:r>
            <w:r>
              <w:rPr>
                <w:rFonts w:ascii="FangSong" w:eastAsia="FangSong" w:hAnsi="FangSong" w:cs="FangSong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8317"/>
            </w:tabs>
            <w:spacing w:before="226" w:line="184" w:lineRule="auto"/>
            <w:ind w:left="43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0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（二）数字技术对重点流程制造业减碳潜力分析</w:t>
            </w:r>
            <w:r>
              <w:rPr>
                <w:rFonts w:ascii="FangSong" w:eastAsia="FangSong" w:hAnsi="FangSong" w:cs="FangSong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10</w:t>
            </w:r>
          </w:hyperlink>
        </w:p>
        <w:p>
          <w:pPr>
            <w:tabs>
              <w:tab w:val="right" w:leader="dot" w:pos="8312"/>
            </w:tabs>
            <w:spacing w:before="231" w:line="184" w:lineRule="auto"/>
            <w:ind w:left="4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1" w:history="1"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四、数字技术赋能工业减碳应用场景不断丰富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17</w:t>
            </w:r>
          </w:hyperlink>
        </w:p>
        <w:p>
          <w:pPr>
            <w:tabs>
              <w:tab w:val="right" w:leader="dot" w:pos="8317"/>
            </w:tabs>
            <w:spacing w:before="227" w:line="184" w:lineRule="auto"/>
            <w:ind w:left="43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2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（一）重点行业层面</w:t>
            </w:r>
            <w:r>
              <w:rPr>
                <w:rFonts w:ascii="FangSong" w:eastAsia="FangSong" w:hAnsi="FangSong" w:cs="FangSong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17</w:t>
            </w:r>
          </w:hyperlink>
        </w:p>
        <w:p>
          <w:pPr>
            <w:tabs>
              <w:tab w:val="right" w:leader="dot" w:pos="8319"/>
            </w:tabs>
            <w:spacing w:before="231" w:line="184" w:lineRule="auto"/>
            <w:ind w:left="43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3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（二）绿色制造层面</w:t>
            </w:r>
            <w:r>
              <w:rPr>
                <w:rFonts w:ascii="FangSong" w:eastAsia="FangSong" w:hAnsi="FangSong" w:cs="FangSong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23</w:t>
            </w:r>
          </w:hyperlink>
        </w:p>
        <w:p>
          <w:pPr>
            <w:tabs>
              <w:tab w:val="right" w:leader="dot" w:pos="8319"/>
            </w:tabs>
            <w:spacing w:before="226" w:line="184" w:lineRule="auto"/>
            <w:ind w:left="44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4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（三）企业主体层面</w:t>
            </w:r>
            <w:r>
              <w:rPr>
                <w:rFonts w:ascii="FangSong" w:eastAsia="FangSong" w:hAnsi="FangSong" w:cs="FangSong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28</w:t>
            </w:r>
          </w:hyperlink>
        </w:p>
        <w:p>
          <w:pPr>
            <w:tabs>
              <w:tab w:val="right" w:leader="dot" w:pos="8314"/>
            </w:tabs>
            <w:spacing w:before="231" w:line="184" w:lineRule="auto"/>
            <w:ind w:left="2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5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五、政策建议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29</w:t>
            </w:r>
          </w:hyperlink>
        </w:p>
        <w:p>
          <w:pPr>
            <w:tabs>
              <w:tab w:val="right" w:leader="dot" w:pos="8319"/>
            </w:tabs>
            <w:spacing w:before="227" w:line="184" w:lineRule="auto"/>
            <w:ind w:left="44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6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（一）加强政策顶层设计，推动数绿融合发展</w:t>
            </w:r>
            <w:r>
              <w:rPr>
                <w:rFonts w:ascii="FangSong" w:eastAsia="FangSong" w:hAnsi="FangSong" w:cs="FangSong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29</w:t>
            </w:r>
          </w:hyperlink>
        </w:p>
        <w:p>
          <w:pPr>
            <w:tabs>
              <w:tab w:val="right" w:leader="dot" w:pos="8319"/>
            </w:tabs>
            <w:spacing w:before="231" w:line="184" w:lineRule="auto"/>
            <w:ind w:left="44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7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（二）强化关键要素支撑，构建优质赋能基础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226" w:line="184" w:lineRule="auto"/>
            <w:ind w:left="44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8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（三）持续推动技术攻关，强化技术支撑能力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232" w:line="184" w:lineRule="auto"/>
            <w:ind w:left="44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9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（四）加大财税金融支持，降低投资改造成本</w:t>
            </w:r>
            <w:r>
              <w:rPr>
                <w:rFonts w:ascii="FangSong" w:eastAsia="FangSong" w:hAnsi="FangSong" w:cs="FangSong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226" w:line="184" w:lineRule="auto"/>
            <w:ind w:left="44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0" w:history="1">
            <w:r>
              <w:rPr>
                <w:rFonts w:ascii="FangSong" w:eastAsia="FangSong" w:hAnsi="FangSong" w:cs="FangSong"/>
                <w:spacing w:val="-2"/>
                <w:sz w:val="24"/>
                <w:szCs w:val="24"/>
              </w:rPr>
              <w:t>（五）提升企业赋能动力，鼓励企业赋能实践</w:t>
            </w:r>
            <w:r>
              <w:rPr>
                <w:rFonts w:ascii="FangSong" w:eastAsia="FangSong" w:hAnsi="FangSong" w:cs="FangSong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231" w:line="217" w:lineRule="auto"/>
            <w:ind w:left="44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1" w:history="1">
            <w:r>
              <w:rPr>
                <w:rFonts w:ascii="FangSong" w:eastAsia="FangSong" w:hAnsi="FangSong" w:cs="FangSong"/>
                <w:spacing w:val="-1"/>
                <w:sz w:val="24"/>
                <w:szCs w:val="24"/>
              </w:rPr>
              <w:t>（六）完善数字化碳管理，切实提高赋能效果</w:t>
            </w:r>
            <w:r>
              <w:rPr>
                <w:rFonts w:ascii="FangSong" w:eastAsia="FangSong" w:hAnsi="FangSong" w:cs="FangSong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>34</w:t>
            </w:r>
          </w:hyperlink>
        </w:p>
      </w:sdtContent>
    </w:sdt>
    <w:p>
      <w:pPr>
        <w:spacing w:line="217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9"/>
          <w:pgSz w:w="11909" w:h="16839"/>
          <w:pgMar w:top="400" w:right="1786" w:bottom="0" w:left="1786" w:header="0" w:footer="0" w:gutter="0"/>
          <w:pgNumType w:start="5"/>
          <w:cols w:space="708"/>
        </w:sectPr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sdt>
      <w:sdtPr>
        <w:rPr>
          <w:rFonts w:ascii="SimHei" w:eastAsia="SimHei" w:hAnsi="SimHei" w:cs="SimHei"/>
          <w:sz w:val="31"/>
          <w:szCs w:val="31"/>
        </w:rPr>
        <w:id w:val="143114931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00" w:line="225" w:lineRule="auto"/>
            <w:ind w:left="3544"/>
            <w:rPr>
              <w:rFonts w:ascii="SimHei" w:eastAsia="SimHei" w:hAnsi="SimHei" w:cs="SimHei"/>
              <w:sz w:val="31"/>
              <w:szCs w:val="31"/>
            </w:rPr>
          </w:pPr>
          <w:r>
            <w:rPr>
              <w:rFonts w:ascii="SimHei" w:eastAsia="SimHei" w:hAnsi="SimHei" w:cs="SimHei"/>
              <w:spacing w:val="-21"/>
              <w:sz w:val="31"/>
              <w:szCs w:val="31"/>
              <w14:textOutline w14:w="5613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</w:t>
          </w:r>
          <w:r>
            <w:rPr>
              <w:rFonts w:ascii="SimHei" w:eastAsia="SimHei" w:hAnsi="SimHei" w:cs="SimHei"/>
              <w:spacing w:val="66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spacing w:val="-21"/>
              <w:sz w:val="31"/>
              <w:szCs w:val="31"/>
              <w14:textOutline w14:w="5613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Hei" w:eastAsia="SimHei" w:hAnsi="SimHei" w:cs="SimHei"/>
              <w:spacing w:val="28"/>
              <w:sz w:val="31"/>
              <w:szCs w:val="31"/>
            </w:rPr>
            <w:t xml:space="preserve"> </w:t>
          </w:r>
          <w:r>
            <w:rPr>
              <w:rFonts w:ascii="SimHei" w:eastAsia="SimHei" w:hAnsi="SimHei" w:cs="SimHei"/>
              <w:spacing w:val="-21"/>
              <w:sz w:val="31"/>
              <w:szCs w:val="31"/>
              <w14:textOutline w14:w="5613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10"/>
            </w:tabs>
            <w:spacing w:before="210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2" w:history="1"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 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数字技术赋能工业碳减排机理框架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>9</w:t>
            </w:r>
          </w:hyperlink>
        </w:p>
        <w:p>
          <w:pPr>
            <w:tabs>
              <w:tab w:val="right" w:leader="dot" w:pos="8310"/>
            </w:tabs>
            <w:spacing w:before="226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3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2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数字技术助力碳达峰碳中和的思路框架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10</w:t>
            </w:r>
          </w:hyperlink>
        </w:p>
        <w:p>
          <w:pPr>
            <w:tabs>
              <w:tab w:val="right" w:leader="dot" w:pos="8310"/>
            </w:tabs>
            <w:spacing w:before="231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4" w:history="1"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3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数字技术助力钢铁行业碳减排潜力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12</w:t>
            </w:r>
          </w:hyperlink>
        </w:p>
        <w:p>
          <w:pPr>
            <w:tabs>
              <w:tab w:val="right" w:leader="dot" w:pos="8310"/>
            </w:tabs>
            <w:spacing w:before="226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5" w:history="1"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4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数字技术助力钢铁行业碳减排增速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8310"/>
            </w:tabs>
            <w:spacing w:before="231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6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5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数字技术助力石化化工行业碳减排潜力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14</w:t>
            </w:r>
          </w:hyperlink>
        </w:p>
        <w:p>
          <w:pPr>
            <w:tabs>
              <w:tab w:val="right" w:leader="dot" w:pos="8310"/>
            </w:tabs>
            <w:spacing w:before="227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7" w:history="1"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6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4"/>
                <w:szCs w:val="24"/>
              </w:rPr>
              <w:t>数字技术助力石化化工行业碳减排增速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15</w:t>
            </w:r>
          </w:hyperlink>
        </w:p>
        <w:p>
          <w:pPr>
            <w:tabs>
              <w:tab w:val="right" w:leader="dot" w:pos="8310"/>
            </w:tabs>
            <w:spacing w:before="231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8" w:history="1"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7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数字技术助力水泥行业碳减排潜力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16</w:t>
            </w:r>
          </w:hyperlink>
        </w:p>
        <w:p>
          <w:pPr>
            <w:tabs>
              <w:tab w:val="right" w:leader="dot" w:pos="8310"/>
            </w:tabs>
            <w:spacing w:before="226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9" w:history="1"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8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数字技术助力水泥行业碳减排增速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17</w:t>
            </w:r>
          </w:hyperlink>
        </w:p>
        <w:p>
          <w:pPr>
            <w:tabs>
              <w:tab w:val="right" w:leader="dot" w:pos="8310"/>
            </w:tabs>
            <w:spacing w:before="232" w:line="184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0" w:history="1"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9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4"/>
                <w:szCs w:val="24"/>
              </w:rPr>
              <w:t>数字技术碳减排潜力评估框架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36</w:t>
            </w:r>
          </w:hyperlink>
        </w:p>
        <w:p>
          <w:pPr>
            <w:tabs>
              <w:tab w:val="right" w:leader="dot" w:pos="8310"/>
            </w:tabs>
            <w:spacing w:before="227" w:line="217" w:lineRule="auto"/>
            <w:ind w:left="4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1" w:history="1"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图</w:t>
            </w:r>
            <w:r>
              <w:rPr>
                <w:rFonts w:ascii="FangSong" w:eastAsia="FangSong" w:hAnsi="FangSong" w:cs="FangSong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10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4"/>
                <w:szCs w:val="24"/>
              </w:rPr>
              <w:t>数字技术普及率曲线</w:t>
            </w:r>
            <w:r>
              <w:rPr>
                <w:rFonts w:ascii="FangSong" w:eastAsia="FangSong" w:hAnsi="FangSong" w:cs="FangSong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37</w:t>
            </w:r>
          </w:hyperlink>
        </w:p>
      </w:sdtContent>
    </w:sdt>
    <w:p>
      <w:pPr>
        <w:spacing w:line="217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10"/>
          <w:pgSz w:w="11909" w:h="16839"/>
          <w:pgMar w:top="400" w:right="1786" w:bottom="0" w:left="1786" w:header="0" w:footer="0" w:gutter="0"/>
          <w:pgNumType w:start="6"/>
          <w:cols w:space="708"/>
        </w:sectPr>
      </w:pPr>
    </w:p>
    <w:p>
      <w:pPr>
        <w:pStyle w:val="BodyText"/>
        <w:spacing w:line="427" w:lineRule="auto"/>
      </w:pPr>
    </w:p>
    <w:p>
      <w:pPr>
        <w:spacing w:before="104" w:line="222" w:lineRule="auto"/>
        <w:ind w:left="68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3"/>
          <w:sz w:val="32"/>
          <w:szCs w:val="32"/>
        </w:rPr>
        <w:t>一、数字技术成为新型工业化绿色化重要推动力</w:t>
      </w:r>
    </w:p>
    <w:p>
      <w:pPr>
        <w:spacing w:before="299" w:line="220" w:lineRule="auto"/>
        <w:ind w:left="687"/>
        <w:rPr>
          <w:rFonts w:ascii="KaiTi" w:eastAsia="KaiTi" w:hAnsi="KaiTi" w:cs="KaiTi"/>
          <w:sz w:val="31"/>
          <w:szCs w:val="31"/>
        </w:rPr>
      </w:pPr>
      <w:bookmarkStart w:id="0" w:name="bookmark1"/>
      <w:bookmarkEnd w:id="0"/>
      <w:bookmarkStart w:id="1" w:name="bookmark2"/>
      <w:bookmarkEnd w:id="1"/>
      <w:r>
        <w:rPr>
          <w:rFonts w:ascii="KaiTi" w:eastAsia="KaiTi" w:hAnsi="KaiTi" w:cs="KaiTi"/>
          <w:spacing w:val="15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（一）工业是我国经济绿色低碳转型重点领域</w:t>
      </w:r>
    </w:p>
    <w:p>
      <w:pPr>
        <w:pStyle w:val="BodyText"/>
        <w:spacing w:line="241" w:lineRule="auto"/>
      </w:pPr>
    </w:p>
    <w:p>
      <w:pPr>
        <w:spacing w:before="88" w:line="427" w:lineRule="auto"/>
        <w:ind w:left="44" w:firstLine="569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-3"/>
          <w:sz w:val="27"/>
          <w:szCs w:val="27"/>
        </w:rPr>
        <w:t>多年来，</w:t>
      </w:r>
      <w:r>
        <w:rPr>
          <w:rFonts w:ascii="SimHei" w:eastAsia="SimHei" w:hAnsi="SimHei" w:cs="SimHei"/>
          <w:spacing w:val="-80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3"/>
          <w:sz w:val="27"/>
          <w:szCs w:val="27"/>
        </w:rPr>
        <w:t>工业始终是我国经济发展的主力军。</w:t>
      </w:r>
      <w:r>
        <w:rPr>
          <w:rFonts w:ascii="FangSong" w:eastAsia="FangSong" w:hAnsi="FangSong" w:cs="FangSong"/>
          <w:spacing w:val="-3"/>
          <w:sz w:val="27"/>
          <w:szCs w:val="27"/>
        </w:rPr>
        <w:t>我国工业发展迅速，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工业体系不断健全，总体规模不断扩大，</w:t>
      </w:r>
      <w:r>
        <w:rPr>
          <w:rFonts w:ascii="FangSong" w:eastAsia="FangSong" w:hAnsi="FangSong" w:cs="FangSong"/>
          <w:spacing w:val="9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2010  </w:t>
      </w:r>
      <w:r>
        <w:rPr>
          <w:rFonts w:ascii="FangSong" w:eastAsia="FangSong" w:hAnsi="FangSong" w:cs="FangSong"/>
          <w:spacing w:val="3"/>
          <w:sz w:val="27"/>
          <w:szCs w:val="27"/>
        </w:rPr>
        <w:t>年制造业产出超越美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国，</w:t>
      </w:r>
      <w:r>
        <w:rPr>
          <w:rFonts w:ascii="FangSong" w:eastAsia="FangSong" w:hAnsi="FangSong" w:cs="FangSong"/>
          <w:spacing w:val="-4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成为全球第一制造大国，</w:t>
      </w:r>
      <w:r>
        <w:rPr>
          <w:rFonts w:ascii="FangSong" w:eastAsia="FangSong" w:hAnsi="FangSong" w:cs="FangSong"/>
          <w:spacing w:val="6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实现了由小向大的</w:t>
      </w:r>
      <w:r>
        <w:rPr>
          <w:rFonts w:ascii="FangSong" w:eastAsia="FangSong" w:hAnsi="FangSong" w:cs="FangSong"/>
          <w:spacing w:val="-4"/>
          <w:sz w:val="27"/>
          <w:szCs w:val="27"/>
        </w:rPr>
        <w:t>历史性转变。我国拥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有</w:t>
      </w:r>
      <w:r>
        <w:rPr>
          <w:rFonts w:ascii="FangSong" w:eastAsia="FangSong" w:hAnsi="FangSong" w:cs="FangSong"/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41 </w:t>
      </w:r>
      <w:r>
        <w:rPr>
          <w:rFonts w:ascii="FangSong" w:eastAsia="FangSong" w:hAnsi="FangSong" w:cs="FangSong"/>
          <w:spacing w:val="5"/>
          <w:sz w:val="27"/>
          <w:szCs w:val="27"/>
        </w:rPr>
        <w:t>个工业大类、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207 </w:t>
      </w:r>
      <w:r>
        <w:rPr>
          <w:rFonts w:ascii="FangSong" w:eastAsia="FangSong" w:hAnsi="FangSong" w:cs="FangSong"/>
          <w:spacing w:val="5"/>
          <w:sz w:val="27"/>
          <w:szCs w:val="27"/>
        </w:rPr>
        <w:t>个工业中类、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666 </w:t>
      </w:r>
      <w:r>
        <w:rPr>
          <w:rFonts w:ascii="FangSong" w:eastAsia="FangSong" w:hAnsi="FangSong" w:cs="FangSong"/>
          <w:spacing w:val="5"/>
          <w:sz w:val="27"/>
          <w:szCs w:val="27"/>
        </w:rPr>
        <w:t>个工业小类，是全世界唯一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拥有联合国产业分类中全部工业门类的国家。在</w:t>
      </w:r>
      <w:r>
        <w:rPr>
          <w:rFonts w:ascii="FangSong" w:eastAsia="FangSong" w:hAnsi="FangSong" w:cs="FangSong"/>
          <w:spacing w:val="-3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500 </w:t>
      </w:r>
      <w:r>
        <w:rPr>
          <w:rFonts w:ascii="FangSong" w:eastAsia="FangSong" w:hAnsi="FangSong" w:cs="FangSong"/>
          <w:spacing w:val="5"/>
          <w:sz w:val="27"/>
          <w:szCs w:val="27"/>
        </w:rPr>
        <w:t>余种主要工业产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品中，</w:t>
      </w:r>
      <w:r>
        <w:rPr>
          <w:rFonts w:ascii="FangSong" w:eastAsia="FangSong" w:hAnsi="FangSong" w:cs="FangSong"/>
          <w:spacing w:val="-5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有</w:t>
      </w:r>
      <w:r>
        <w:rPr>
          <w:rFonts w:ascii="FangSong" w:eastAsia="FangSong" w:hAnsi="FangSong" w:cs="FangSong"/>
          <w:spacing w:val="-5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220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多种产量位居世界第一。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2022</w:t>
      </w:r>
      <w:r>
        <w:rPr>
          <w:rFonts w:ascii="Times New Roman" w:eastAsia="Times New Roman" w:hAnsi="Times New Roman" w:cs="Times New Roman"/>
          <w:spacing w:val="17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年，</w:t>
      </w:r>
      <w:r>
        <w:rPr>
          <w:rFonts w:ascii="FangSong" w:eastAsia="FangSong" w:hAnsi="FangSong" w:cs="FangSong"/>
          <w:spacing w:val="-7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全部工业</w:t>
      </w:r>
      <w:r>
        <w:rPr>
          <w:rFonts w:ascii="FangSong" w:eastAsia="FangSong" w:hAnsi="FangSong" w:cs="FangSong"/>
          <w:spacing w:val="-3"/>
          <w:sz w:val="27"/>
          <w:szCs w:val="27"/>
        </w:rPr>
        <w:t>增加值突破</w:t>
      </w:r>
    </w:p>
    <w:p>
      <w:pPr>
        <w:spacing w:line="223" w:lineRule="auto"/>
        <w:ind w:left="8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z w:val="27"/>
          <w:szCs w:val="27"/>
        </w:rPr>
        <w:t>了</w:t>
      </w:r>
      <w:r>
        <w:rPr>
          <w:rFonts w:ascii="FangSong" w:eastAsia="FangSong" w:hAnsi="FangSong" w:cs="FangSong"/>
          <w:spacing w:val="-4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40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万亿元大关，占</w:t>
      </w:r>
      <w:r>
        <w:rPr>
          <w:rFonts w:ascii="FangSong" w:eastAsia="FangSong" w:hAnsi="FangSong" w:cs="FangSong"/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GDP</w:t>
      </w:r>
      <w:r>
        <w:rPr>
          <w:rFonts w:ascii="Times New Roman" w:eastAsia="Times New Roman" w:hAnsi="Times New Roman" w:cs="Times New Roman"/>
          <w:spacing w:val="56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比重达到了</w:t>
      </w:r>
      <w:r>
        <w:rPr>
          <w:rFonts w:ascii="FangSong" w:eastAsia="FangSong" w:hAnsi="FangSong" w:cs="FangSong"/>
          <w:spacing w:val="-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33.2%</w:t>
      </w:r>
      <w:r>
        <w:rPr>
          <w:rFonts w:ascii="FangSong" w:eastAsia="FangSong" w:hAnsi="FangSong" w:cs="FangSong"/>
          <w:sz w:val="27"/>
          <w:szCs w:val="27"/>
        </w:rPr>
        <w:t>。</w:t>
      </w:r>
    </w:p>
    <w:p>
      <w:pPr>
        <w:spacing w:before="295" w:line="427" w:lineRule="auto"/>
        <w:ind w:left="57" w:right="73" w:firstLine="539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-1"/>
          <w:sz w:val="27"/>
          <w:szCs w:val="27"/>
        </w:rPr>
        <w:t>然而，工业也是我国能源消费和碳排放重点领域。</w:t>
      </w:r>
      <w:r>
        <w:rPr>
          <w:rFonts w:ascii="SimHei" w:eastAsia="SimHei" w:hAnsi="SimHei" w:cs="SimHei"/>
          <w:spacing w:val="7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一方面，“十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三五”期间，我国工业领域节能提效工作取</w:t>
      </w:r>
      <w:r>
        <w:rPr>
          <w:rFonts w:ascii="FangSong" w:eastAsia="FangSong" w:hAnsi="FangSong" w:cs="FangSong"/>
          <w:spacing w:val="-1"/>
          <w:sz w:val="27"/>
          <w:szCs w:val="27"/>
        </w:rPr>
        <w:t>得积极进展，</w:t>
      </w:r>
      <w:r>
        <w:rPr>
          <w:rFonts w:ascii="FangSong" w:eastAsia="FangSong" w:hAnsi="FangSong" w:cs="FangSong"/>
          <w:spacing w:val="5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工业企业节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能降耗成果显著。另一方面，工业领域能源消费总量仍占全国能源消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费总量的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60%</w:t>
      </w:r>
      <w:r>
        <w:rPr>
          <w:rFonts w:ascii="FangSong" w:eastAsia="FangSong" w:hAnsi="FangSong" w:cs="FangSong"/>
          <w:spacing w:val="5"/>
          <w:sz w:val="27"/>
          <w:szCs w:val="27"/>
        </w:rPr>
        <w:t>以上，钢铁、有色金属、建</w:t>
      </w:r>
      <w:r>
        <w:rPr>
          <w:rFonts w:ascii="FangSong" w:eastAsia="FangSong" w:hAnsi="FangSong" w:cs="FangSong"/>
          <w:spacing w:val="4"/>
          <w:sz w:val="27"/>
          <w:szCs w:val="27"/>
        </w:rPr>
        <w:t>材、石化化工等重点行业碳</w:t>
      </w:r>
    </w:p>
    <w:p>
      <w:pPr>
        <w:spacing w:line="223" w:lineRule="auto"/>
        <w:ind w:left="4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排放量占工业领域碳排量的近</w:t>
      </w:r>
      <w:r>
        <w:rPr>
          <w:rFonts w:ascii="FangSong" w:eastAsia="FangSong" w:hAnsi="FangSong" w:cs="FangSong"/>
          <w:spacing w:val="-3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80%</w:t>
      </w:r>
      <w:r>
        <w:rPr>
          <w:rFonts w:ascii="FangSong" w:eastAsia="FangSong" w:hAnsi="FangSong" w:cs="FangSong"/>
          <w:spacing w:val="6"/>
          <w:sz w:val="27"/>
          <w:szCs w:val="27"/>
        </w:rPr>
        <w:t>。</w:t>
      </w:r>
    </w:p>
    <w:p>
      <w:pPr>
        <w:spacing w:before="293" w:line="427" w:lineRule="auto"/>
        <w:ind w:left="39" w:right="72" w:firstLine="576"/>
        <w:jc w:val="both"/>
        <w:rPr>
          <w:rFonts w:ascii="FangSong" w:eastAsia="FangSong" w:hAnsi="FangSong" w:cs="FangSong"/>
          <w:sz w:val="27"/>
          <w:szCs w:val="27"/>
        </w:rPr>
        <w:sectPr>
          <w:headerReference w:type="default" r:id="rId11"/>
          <w:footerReference w:type="default" r:id="rId12"/>
          <w:pgSz w:w="11909" w:h="16839"/>
          <w:pgMar w:top="1118" w:right="1728" w:bottom="1152" w:left="1766" w:header="875" w:footer="988" w:gutter="0"/>
          <w:pgNumType w:start="7"/>
          <w:cols w:space="708"/>
        </w:sectPr>
      </w:pPr>
      <w:r>
        <w:rPr>
          <w:rFonts w:ascii="FangSong" w:eastAsia="FangSong" w:hAnsi="FangSong" w:cs="FangSong"/>
          <w:spacing w:val="1"/>
          <w:sz w:val="27"/>
          <w:szCs w:val="27"/>
        </w:rPr>
        <w:t>随着新一轮科技革命的突飞猛进和应对气候变化的深入推进，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全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球产业结构和布局深度调整，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我国处于制造大国向制造强国迈进的重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要关口期。</w:t>
      </w:r>
      <w:r>
        <w:rPr>
          <w:rFonts w:ascii="SimHei" w:eastAsia="SimHei" w:hAnsi="SimHei" w:cs="SimHei"/>
          <w:spacing w:val="7"/>
          <w:sz w:val="27"/>
          <w:szCs w:val="27"/>
        </w:rPr>
        <w:t>工业绿色低碳转型成为我国实现碳</w:t>
      </w:r>
      <w:r>
        <w:rPr>
          <w:rFonts w:ascii="SimHei" w:eastAsia="SimHei" w:hAnsi="SimHei" w:cs="SimHei"/>
          <w:spacing w:val="6"/>
          <w:sz w:val="27"/>
          <w:szCs w:val="27"/>
        </w:rPr>
        <w:t>达峰碳中和目标和新型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"/>
          <w:sz w:val="27"/>
          <w:szCs w:val="27"/>
        </w:rPr>
        <w:t>工业化的必经之路。</w:t>
      </w:r>
      <w:r>
        <w:rPr>
          <w:rFonts w:ascii="SimHei" w:eastAsia="SimHei" w:hAnsi="SimHei" w:cs="SimHei"/>
          <w:spacing w:val="3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在“双碳”</w:t>
      </w:r>
      <w:r>
        <w:rPr>
          <w:rFonts w:ascii="FangSong" w:eastAsia="FangSong" w:hAnsi="FangSong" w:cs="FangSong"/>
          <w:spacing w:val="-8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目标下，工信部等</w:t>
      </w:r>
      <w:r>
        <w:rPr>
          <w:rFonts w:ascii="FangSong" w:eastAsia="FangSong" w:hAnsi="FangSong" w:cs="FangSong"/>
          <w:spacing w:val="-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3 </w:t>
      </w:r>
      <w:r>
        <w:rPr>
          <w:rFonts w:ascii="FangSong" w:eastAsia="FangSong" w:hAnsi="FangSong" w:cs="FangSong"/>
          <w:spacing w:val="-1"/>
          <w:sz w:val="27"/>
          <w:szCs w:val="27"/>
        </w:rPr>
        <w:t>部门印</w:t>
      </w:r>
      <w:r>
        <w:rPr>
          <w:rFonts w:ascii="FangSong" w:eastAsia="FangSong" w:hAnsi="FangSong" w:cs="FangSong"/>
          <w:spacing w:val="-2"/>
          <w:sz w:val="27"/>
          <w:szCs w:val="27"/>
        </w:rPr>
        <w:t>发了《工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业领域碳达峰实施方案》，钢铁、有色、建材、石化化工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spacing w:val="4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个行业均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制定了行业碳达峰方案，明确了工业碳达峰的</w:t>
      </w:r>
      <w:r>
        <w:rPr>
          <w:rFonts w:ascii="FangSong" w:eastAsia="FangSong" w:hAnsi="FangSong" w:cs="FangSong"/>
          <w:sz w:val="27"/>
          <w:szCs w:val="27"/>
        </w:rPr>
        <w:t>目标、</w:t>
      </w:r>
      <w:r>
        <w:rPr>
          <w:rFonts w:ascii="FangSong" w:eastAsia="FangSong" w:hAnsi="FangSong" w:cs="FangSong"/>
          <w:spacing w:val="43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任务、途径和措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施。</w:t>
      </w:r>
      <w:r>
        <w:rPr>
          <w:rFonts w:ascii="FangSong" w:eastAsia="FangSong" w:hAnsi="FangSong" w:cs="FangSong"/>
          <w:spacing w:val="-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同时，我国聚焦高端化、智能化、绿色化，</w:t>
      </w:r>
      <w:r>
        <w:rPr>
          <w:rFonts w:ascii="FangSong" w:eastAsia="FangSong" w:hAnsi="FangSong" w:cs="FangSong"/>
          <w:spacing w:val="8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深入推进数字化与绿</w:t>
      </w:r>
    </w:p>
    <w:p>
      <w:pPr>
        <w:spacing w:line="219" w:lineRule="auto"/>
        <w:ind w:left="4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色化融合创新，</w:t>
      </w:r>
      <w:r>
        <w:rPr>
          <w:rFonts w:ascii="FangSong" w:eastAsia="FangSong" w:hAnsi="FangSong" w:cs="FangSong"/>
          <w:spacing w:val="-5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加快传统工业转型升级，形成节约资源</w:t>
      </w:r>
      <w:r>
        <w:rPr>
          <w:rFonts w:ascii="FangSong" w:eastAsia="FangSong" w:hAnsi="FangSong" w:cs="FangSong"/>
          <w:spacing w:val="3"/>
          <w:sz w:val="27"/>
          <w:szCs w:val="27"/>
        </w:rPr>
        <w:t>和保护环境的</w:t>
      </w:r>
    </w:p>
    <w:p>
      <w:pPr>
        <w:spacing w:line="219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13"/>
          <w:footerReference w:type="default" r:id="rId14"/>
          <w:type w:val="nextPage"/>
          <w:pgSz w:w="11909" w:h="16839"/>
          <w:pgMar w:top="1118" w:right="1728" w:bottom="1152" w:left="1766" w:header="875" w:footer="988" w:gutter="0"/>
          <w:pgNumType w:start="8"/>
          <w:cols w:space="708"/>
          <w:titlePg w:val="0"/>
        </w:sectPr>
      </w:pPr>
    </w:p>
    <w:p>
      <w:pPr>
        <w:pStyle w:val="BodyText"/>
        <w:spacing w:line="406" w:lineRule="auto"/>
      </w:pPr>
    </w:p>
    <w:p>
      <w:pPr>
        <w:spacing w:before="88" w:line="222" w:lineRule="auto"/>
        <w:ind w:left="5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绿色低碳生产方式，促使绿色低碳成为新型工业化的生态底色。</w:t>
      </w:r>
    </w:p>
    <w:p>
      <w:pPr>
        <w:spacing w:before="339" w:line="218" w:lineRule="auto"/>
        <w:ind w:left="687"/>
        <w:rPr>
          <w:rFonts w:ascii="KaiTi" w:eastAsia="KaiTi" w:hAnsi="KaiTi" w:cs="KaiTi"/>
          <w:sz w:val="31"/>
          <w:szCs w:val="31"/>
        </w:rPr>
      </w:pPr>
      <w:bookmarkStart w:id="2" w:name="bookmark3"/>
      <w:bookmarkEnd w:id="2"/>
      <w:r>
        <w:rPr>
          <w:rFonts w:ascii="KaiTi" w:eastAsia="KaiTi" w:hAnsi="KaiTi" w:cs="KaiTi"/>
          <w:spacing w:val="13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（二）数字技术助力提升新型工业化“含绿量”</w:t>
      </w:r>
    </w:p>
    <w:p>
      <w:pPr>
        <w:pStyle w:val="BodyText"/>
        <w:spacing w:line="243" w:lineRule="auto"/>
      </w:pPr>
    </w:p>
    <w:p>
      <w:pPr>
        <w:spacing w:before="88" w:line="427" w:lineRule="auto"/>
        <w:ind w:left="37" w:right="173" w:firstLine="568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-1"/>
          <w:sz w:val="27"/>
          <w:szCs w:val="27"/>
        </w:rPr>
        <w:t>随着新一轮科技革命和产业变革深入发展，</w:t>
      </w:r>
      <w:r>
        <w:rPr>
          <w:rFonts w:ascii="SimHei" w:eastAsia="SimHei" w:hAnsi="SimHei" w:cs="SimHei"/>
          <w:spacing w:val="53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"/>
          <w:sz w:val="27"/>
          <w:szCs w:val="27"/>
        </w:rPr>
        <w:t>互联网、大数据、云</w:t>
      </w:r>
      <w:r>
        <w:rPr>
          <w:rFonts w:ascii="SimHei" w:eastAsia="SimHei" w:hAnsi="SimHei" w:cs="SimHei"/>
          <w:spacing w:val="-1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计算、人工智能、区块链等数字技术创新活跃，</w:t>
      </w:r>
      <w:r>
        <w:rPr>
          <w:rFonts w:ascii="SimHei" w:eastAsia="SimHei" w:hAnsi="SimHei" w:cs="SimHei"/>
          <w:spacing w:val="53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数字技术和绿色低碳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2"/>
          <w:sz w:val="27"/>
          <w:szCs w:val="27"/>
        </w:rPr>
        <w:t>产业深度融合，</w:t>
      </w:r>
      <w:r>
        <w:rPr>
          <w:rFonts w:ascii="SimHei" w:eastAsia="SimHei" w:hAnsi="SimHei" w:cs="SimHei"/>
          <w:spacing w:val="-37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2"/>
          <w:sz w:val="27"/>
          <w:szCs w:val="27"/>
        </w:rPr>
        <w:t>推动产业结构由高碳向低碳、由低端向高端转型</w:t>
      </w:r>
      <w:r>
        <w:rPr>
          <w:rFonts w:ascii="SimHei" w:eastAsia="SimHei" w:hAnsi="SimHei" w:cs="SimHei"/>
          <w:spacing w:val="-3"/>
          <w:sz w:val="27"/>
          <w:szCs w:val="27"/>
        </w:rPr>
        <w:t>升级。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数据作为关键生产要素的价值日益凸显，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深入</w:t>
      </w:r>
      <w:r>
        <w:rPr>
          <w:rFonts w:ascii="FangSong" w:eastAsia="FangSong" w:hAnsi="FangSong" w:cs="FangSong"/>
          <w:spacing w:val="1"/>
          <w:sz w:val="27"/>
          <w:szCs w:val="27"/>
        </w:rPr>
        <w:t>渗透到经济社会各领域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全过程，</w:t>
      </w:r>
      <w:r>
        <w:rPr>
          <w:rFonts w:ascii="FangSong" w:eastAsia="FangSong" w:hAnsi="FangSong" w:cs="FangSong"/>
          <w:spacing w:val="3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随着算力、</w:t>
      </w:r>
      <w:r>
        <w:rPr>
          <w:rFonts w:ascii="FangSong" w:eastAsia="FangSong" w:hAnsi="FangSong" w:cs="FangSong"/>
          <w:spacing w:val="-2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算法、模型、数据等技术底座不断夯实、数字基</w:t>
      </w:r>
      <w:r>
        <w:rPr>
          <w:rFonts w:ascii="FangSong" w:eastAsia="FangSong" w:hAnsi="FangSong" w:cs="FangSong"/>
          <w:spacing w:val="-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础设施和服务体系不断完善，数字化转型深入推</w:t>
      </w:r>
      <w:r>
        <w:rPr>
          <w:rFonts w:ascii="FangSong" w:eastAsia="FangSong" w:hAnsi="FangSong" w:cs="FangSong"/>
          <w:spacing w:val="1"/>
          <w:sz w:val="27"/>
          <w:szCs w:val="27"/>
        </w:rPr>
        <w:t>进，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传统产业加速向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高端化、智能化、绿色化方向转型升级，新产业、新业态、新模式蓬</w:t>
      </w:r>
      <w:r>
        <w:rPr>
          <w:rFonts w:ascii="FangSong" w:eastAsia="FangSong" w:hAnsi="FangSong" w:cs="FangSong"/>
          <w:spacing w:val="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勃发展，</w:t>
      </w:r>
      <w:r>
        <w:rPr>
          <w:rFonts w:ascii="FangSong" w:eastAsia="FangSong" w:hAnsi="FangSong" w:cs="FangSong"/>
          <w:spacing w:val="-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推动生产方式、生活方式发生深刻变化，</w:t>
      </w:r>
      <w:r>
        <w:rPr>
          <w:rFonts w:ascii="FangSong" w:eastAsia="FangSong" w:hAnsi="FangSong" w:cs="FangSong"/>
          <w:spacing w:val="-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数字技</w:t>
      </w:r>
      <w:r>
        <w:rPr>
          <w:rFonts w:ascii="FangSong" w:eastAsia="FangSong" w:hAnsi="FangSong" w:cs="FangSong"/>
          <w:spacing w:val="-3"/>
          <w:sz w:val="27"/>
          <w:szCs w:val="27"/>
        </w:rPr>
        <w:t>术成为重组</w:t>
      </w:r>
    </w:p>
    <w:p>
      <w:pPr>
        <w:spacing w:line="221" w:lineRule="auto"/>
        <w:ind w:left="38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sz w:val="27"/>
          <w:szCs w:val="27"/>
        </w:rPr>
        <w:t>全球要素资源、重塑全球经济结构、</w:t>
      </w:r>
      <w:r>
        <w:rPr>
          <w:rFonts w:ascii="FangSong" w:eastAsia="FangSong" w:hAnsi="FangSong" w:cs="FangSong"/>
          <w:spacing w:val="5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改变全球竞争格局的关键力量。</w:t>
      </w:r>
    </w:p>
    <w:p>
      <w:pPr>
        <w:spacing w:before="293" w:line="427" w:lineRule="auto"/>
        <w:ind w:left="34" w:firstLine="565"/>
        <w:rPr>
          <w:rFonts w:ascii="FangSong" w:eastAsia="FangSong" w:hAnsi="FangSong" w:cs="FangSong"/>
          <w:sz w:val="27"/>
          <w:szCs w:val="27"/>
        </w:rPr>
        <w:sectPr>
          <w:headerReference w:type="default" r:id="rId15"/>
          <w:footerReference w:type="default" r:id="rId16"/>
          <w:pgSz w:w="11909" w:h="16839"/>
          <w:pgMar w:top="1118" w:right="1526" w:bottom="1153" w:left="1766" w:header="875" w:footer="988" w:gutter="0"/>
          <w:pgNumType w:start="9"/>
          <w:cols w:space="708"/>
        </w:sectPr>
      </w:pPr>
      <w:r>
        <w:rPr>
          <w:rFonts w:ascii="SimHei" w:eastAsia="SimHei" w:hAnsi="SimHei" w:cs="SimHei"/>
          <w:spacing w:val="-5"/>
          <w:sz w:val="27"/>
          <w:szCs w:val="27"/>
        </w:rPr>
        <w:t>近年来，</w:t>
      </w:r>
      <w:r>
        <w:rPr>
          <w:rFonts w:ascii="SimHei" w:eastAsia="SimHei" w:hAnsi="SimHei" w:cs="SimHei"/>
          <w:spacing w:val="-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5"/>
          <w:sz w:val="27"/>
          <w:szCs w:val="27"/>
        </w:rPr>
        <w:t>我国高度重视数字经济发展，</w:t>
      </w:r>
      <w:r>
        <w:rPr>
          <w:rFonts w:ascii="SimHei" w:eastAsia="SimHei" w:hAnsi="SimHei" w:cs="SimHei"/>
          <w:spacing w:val="5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5"/>
          <w:sz w:val="27"/>
          <w:szCs w:val="27"/>
        </w:rPr>
        <w:t>重点部署数字技术赋能全</w:t>
      </w:r>
      <w:r>
        <w:rPr>
          <w:rFonts w:ascii="SimHei" w:eastAsia="SimHei" w:hAnsi="SimHei" w:cs="SimHei"/>
          <w:sz w:val="27"/>
          <w:szCs w:val="27"/>
        </w:rPr>
        <w:t xml:space="preserve">   </w:t>
      </w:r>
      <w:r>
        <w:rPr>
          <w:rFonts w:ascii="SimHei" w:eastAsia="SimHei" w:hAnsi="SimHei" w:cs="SimHei"/>
          <w:spacing w:val="7"/>
          <w:sz w:val="27"/>
          <w:szCs w:val="27"/>
        </w:rPr>
        <w:t>社会降碳。</w:t>
      </w:r>
      <w:r>
        <w:rPr>
          <w:rFonts w:ascii="FangSong" w:eastAsia="FangSong" w:hAnsi="FangSong" w:cs="FangSong"/>
          <w:spacing w:val="7"/>
          <w:sz w:val="27"/>
          <w:szCs w:val="27"/>
        </w:rPr>
        <w:t>《工业领域碳达峰实施方案》指出要推动数</w:t>
      </w:r>
      <w:r>
        <w:rPr>
          <w:rFonts w:ascii="FangSong" w:eastAsia="FangSong" w:hAnsi="FangSong" w:cs="FangSong"/>
          <w:spacing w:val="6"/>
          <w:sz w:val="27"/>
          <w:szCs w:val="27"/>
        </w:rPr>
        <w:t>字赋能工业绿</w:t>
      </w:r>
      <w:r>
        <w:rPr>
          <w:rFonts w:ascii="FangSong" w:eastAsia="FangSong" w:hAnsi="FangSong" w:cs="FangSong"/>
          <w:sz w:val="27"/>
          <w:szCs w:val="27"/>
        </w:rPr>
        <w:t xml:space="preserve">   </w:t>
      </w:r>
      <w:r>
        <w:rPr>
          <w:rFonts w:ascii="FangSong" w:eastAsia="FangSong" w:hAnsi="FangSong" w:cs="FangSong"/>
          <w:sz w:val="27"/>
          <w:szCs w:val="27"/>
        </w:rPr>
        <w:t>色低碳转型，</w:t>
      </w:r>
      <w:r>
        <w:rPr>
          <w:rFonts w:ascii="FangSong" w:eastAsia="FangSong" w:hAnsi="FangSong" w:cs="FangSong"/>
          <w:spacing w:val="69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强化企业需求和信息服务供给对接，加快数字化低碳解</w:t>
      </w:r>
      <w:r>
        <w:rPr>
          <w:rFonts w:ascii="FangSong" w:eastAsia="FangSong" w:hAnsi="FangSong" w:cs="FangSong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-4"/>
          <w:sz w:val="27"/>
          <w:szCs w:val="27"/>
        </w:rPr>
        <w:t>决方案应用推广。《信息通信行业绿色低碳发展行动计划（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>2022-2025</w:t>
      </w:r>
      <w:r>
        <w:rPr>
          <w:rFonts w:ascii="FangSong" w:eastAsia="FangSong" w:hAnsi="FangSong" w:cs="FangSong"/>
          <w:spacing w:val="-5"/>
          <w:sz w:val="27"/>
          <w:szCs w:val="27"/>
        </w:rPr>
        <w:t>）》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将“赋能全社会降碳促达峰”作为重点任务之一，提</w:t>
      </w:r>
      <w:r>
        <w:rPr>
          <w:rFonts w:ascii="FangSong" w:eastAsia="FangSong" w:hAnsi="FangSong" w:cs="FangSong"/>
          <w:spacing w:val="6"/>
          <w:sz w:val="27"/>
          <w:szCs w:val="27"/>
        </w:rPr>
        <w:t>出以各行业数字</w:t>
      </w:r>
      <w:r>
        <w:rPr>
          <w:rFonts w:ascii="FangSong" w:eastAsia="FangSong" w:hAnsi="FangSong" w:cs="FangSong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-3"/>
          <w:sz w:val="27"/>
          <w:szCs w:val="27"/>
        </w:rPr>
        <w:t>化、智能化、绿色化转型需求为导向，</w:t>
      </w:r>
      <w:r>
        <w:rPr>
          <w:rFonts w:ascii="FangSong" w:eastAsia="FangSong" w:hAnsi="FangSong" w:cs="FangSong"/>
          <w:spacing w:val="-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以</w:t>
      </w:r>
      <w:r>
        <w:rPr>
          <w:rFonts w:ascii="FangSong" w:eastAsia="FangSong" w:hAnsi="FangSong" w:cs="FangSong"/>
          <w:spacing w:val="-4"/>
          <w:sz w:val="27"/>
          <w:szCs w:val="27"/>
        </w:rPr>
        <w:t>产业绿色低碳转型、</w:t>
      </w:r>
      <w:r>
        <w:rPr>
          <w:rFonts w:ascii="FangSong" w:eastAsia="FangSong" w:hAnsi="FangSong" w:cs="FangSong"/>
          <w:spacing w:val="3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居民低</w:t>
      </w:r>
      <w:r>
        <w:rPr>
          <w:rFonts w:ascii="FangSong" w:eastAsia="FangSong" w:hAnsi="FangSong" w:cs="FangSong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2"/>
          <w:sz w:val="27"/>
          <w:szCs w:val="27"/>
        </w:rPr>
        <w:t>碳环保生活和城乡绿色智慧发展等领域为重点，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加快提升数字技术与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4"/>
          <w:sz w:val="27"/>
          <w:szCs w:val="27"/>
        </w:rPr>
        <w:t>垂直行业应用深度融合的服务供给能力，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助力经济社会数字化绿色化</w:t>
      </w:r>
      <w:r>
        <w:rPr>
          <w:rFonts w:ascii="FangSong" w:eastAsia="FangSong" w:hAnsi="FangSong" w:cs="FangSong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2"/>
          <w:sz w:val="27"/>
          <w:szCs w:val="27"/>
        </w:rPr>
        <w:t>转型。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此外，我国确定在河北省张家口市、辽宁省大连市、黑龙江省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  </w:t>
      </w:r>
      <w:r>
        <w:rPr>
          <w:rFonts w:ascii="FangSong" w:eastAsia="FangSong" w:hAnsi="FangSong" w:cs="FangSong"/>
          <w:spacing w:val="7"/>
          <w:sz w:val="27"/>
          <w:szCs w:val="27"/>
        </w:rPr>
        <w:t>齐齐哈尔市、江苏省盐城市、浙江省湖州市、山东省济</w:t>
      </w:r>
      <w:r>
        <w:rPr>
          <w:rFonts w:ascii="FangSong" w:eastAsia="FangSong" w:hAnsi="FangSong" w:cs="FangSong"/>
          <w:spacing w:val="6"/>
          <w:sz w:val="27"/>
          <w:szCs w:val="27"/>
        </w:rPr>
        <w:t>南市、广东省</w:t>
      </w:r>
    </w:p>
    <w:p>
      <w:pPr>
        <w:spacing w:before="1" w:line="221" w:lineRule="auto"/>
        <w:ind w:left="4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"/>
          <w:sz w:val="27"/>
          <w:szCs w:val="27"/>
        </w:rPr>
        <w:t>深圳市、重庆高新区、</w:t>
      </w:r>
      <w:r>
        <w:rPr>
          <w:rFonts w:ascii="FangSong" w:eastAsia="FangSong" w:hAnsi="FangSong" w:cs="FangSong"/>
          <w:spacing w:val="11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四川省成都市、西藏自治区拉萨市等</w:t>
      </w:r>
      <w:r>
        <w:rPr>
          <w:rFonts w:ascii="FangSong" w:eastAsia="FangSong" w:hAnsi="FangSong" w:cs="FangSong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4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个地</w:t>
      </w:r>
    </w:p>
    <w:p>
      <w:pPr>
        <w:spacing w:line="221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17"/>
          <w:footerReference w:type="default" r:id="rId18"/>
          <w:type w:val="nextPage"/>
          <w:pgSz w:w="11909" w:h="16839"/>
          <w:pgMar w:top="1118" w:right="1526" w:bottom="1153" w:left="1766" w:header="875" w:footer="988" w:gutter="0"/>
          <w:pgNumType w:start="10"/>
          <w:cols w:space="708"/>
          <w:titlePg w:val="0"/>
        </w:sectPr>
      </w:pPr>
    </w:p>
    <w:p>
      <w:pPr>
        <w:pStyle w:val="BodyText"/>
        <w:spacing w:line="404" w:lineRule="auto"/>
      </w:pPr>
    </w:p>
    <w:p>
      <w:pPr>
        <w:spacing w:before="88" w:line="427" w:lineRule="auto"/>
        <w:ind w:left="77" w:right="140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"/>
          <w:sz w:val="27"/>
          <w:szCs w:val="27"/>
        </w:rPr>
        <w:t>区和城市开展首批数字化绿色化协同转型发展（双化协同</w:t>
      </w:r>
      <w:r>
        <w:rPr>
          <w:rFonts w:ascii="FangSong" w:eastAsia="FangSong" w:hAnsi="FangSong" w:cs="FangSong"/>
          <w:spacing w:val="-2"/>
          <w:sz w:val="27"/>
          <w:szCs w:val="27"/>
        </w:rPr>
        <w:t>）综合试点，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以试点方式推动数字技术与绿色低碳产业深度融合，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提升</w:t>
      </w:r>
      <w:r>
        <w:rPr>
          <w:rFonts w:ascii="FangSong" w:eastAsia="FangSong" w:hAnsi="FangSong" w:cs="FangSong"/>
          <w:sz w:val="27"/>
          <w:szCs w:val="27"/>
        </w:rPr>
        <w:t>双化协同的</w:t>
      </w:r>
    </w:p>
    <w:p>
      <w:pPr>
        <w:spacing w:line="222" w:lineRule="auto"/>
        <w:ind w:left="6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2"/>
          <w:sz w:val="27"/>
          <w:szCs w:val="27"/>
        </w:rPr>
        <w:t>能力和水平。</w:t>
      </w:r>
    </w:p>
    <w:p>
      <w:pPr>
        <w:spacing w:before="293" w:line="427" w:lineRule="auto"/>
        <w:ind w:left="36" w:right="134" w:firstLine="564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6"/>
          <w:sz w:val="27"/>
          <w:szCs w:val="27"/>
        </w:rPr>
        <w:t>数字技术的快速发展为工业绿色低碳转型提供了新路径。</w:t>
      </w:r>
      <w:r>
        <w:rPr>
          <w:rFonts w:ascii="FangSong" w:eastAsia="FangSong" w:hAnsi="FangSong" w:cs="FangSong"/>
          <w:spacing w:val="6"/>
          <w:sz w:val="27"/>
          <w:szCs w:val="27"/>
        </w:rPr>
        <w:t>通过集</w:t>
      </w:r>
      <w:r>
        <w:rPr>
          <w:rFonts w:ascii="FangSong" w:eastAsia="FangSong" w:hAnsi="FangSong" w:cs="FangSong"/>
          <w:spacing w:val="1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成利用先进的数字技术，</w:t>
      </w:r>
      <w:r>
        <w:rPr>
          <w:rFonts w:ascii="FangSong" w:eastAsia="FangSong" w:hAnsi="FangSong" w:cs="FangSong"/>
          <w:spacing w:val="5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促进研发设计、生产制造、经营管理、</w:t>
      </w:r>
      <w:r>
        <w:rPr>
          <w:rFonts w:ascii="FangSong" w:eastAsia="FangSong" w:hAnsi="FangSong" w:cs="FangSong"/>
          <w:spacing w:val="-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运维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服务等全方位全链条的升级改造，</w:t>
      </w:r>
      <w:r>
        <w:rPr>
          <w:rFonts w:ascii="FangSong" w:eastAsia="FangSong" w:hAnsi="FangSong" w:cs="FangSong"/>
          <w:spacing w:val="-5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推动工业向环境影响小、资源利用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高、经济效益好的绿色化方向发展，</w:t>
      </w:r>
      <w:r>
        <w:rPr>
          <w:rFonts w:ascii="FangSong" w:eastAsia="FangSong" w:hAnsi="FangSong" w:cs="FangSong"/>
          <w:spacing w:val="-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实现生产效率与碳效率的双提升。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根据全球电子可持续发展推进协会（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GeSI</w:t>
      </w:r>
      <w:r>
        <w:rPr>
          <w:rFonts w:ascii="FangSong" w:eastAsia="FangSong" w:hAnsi="FangSong" w:cs="FangSong"/>
          <w:spacing w:val="-3"/>
          <w:sz w:val="27"/>
          <w:szCs w:val="27"/>
        </w:rPr>
        <w:t>）研究结果，在未来十年内，</w:t>
      </w:r>
      <w:r>
        <w:rPr>
          <w:rFonts w:ascii="FangSong" w:eastAsia="FangSong" w:hAnsi="FangSong" w:cs="FangSong"/>
          <w:spacing w:val="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数字技术将通过赋能能源、制造业等行业减少</w:t>
      </w:r>
      <w:r>
        <w:rPr>
          <w:rFonts w:ascii="FangSong" w:eastAsia="FangSong" w:hAnsi="FangSong" w:cs="FangSong"/>
          <w:spacing w:val="-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20%</w:t>
      </w:r>
      <w:r>
        <w:rPr>
          <w:rFonts w:ascii="FangSong" w:eastAsia="FangSong" w:hAnsi="FangSong" w:cs="FangSong"/>
          <w:spacing w:val="5"/>
          <w:sz w:val="27"/>
          <w:szCs w:val="27"/>
        </w:rPr>
        <w:t>的全球碳排放。数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字技术、数字基础设施与传统产业的融合将进一步推</w:t>
      </w:r>
      <w:r>
        <w:rPr>
          <w:rFonts w:ascii="FangSong" w:eastAsia="FangSong" w:hAnsi="FangSong" w:cs="FangSong"/>
          <w:spacing w:val="6"/>
          <w:sz w:val="27"/>
          <w:szCs w:val="27"/>
        </w:rPr>
        <w:t>动产业数字化和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绿色化转型，</w:t>
      </w:r>
      <w:r>
        <w:rPr>
          <w:rFonts w:ascii="FangSong" w:eastAsia="FangSong" w:hAnsi="FangSong" w:cs="FangSong"/>
          <w:spacing w:val="6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释放全领域数据价值，</w:t>
      </w:r>
      <w:r>
        <w:rPr>
          <w:rFonts w:ascii="FangSong" w:eastAsia="FangSong" w:hAnsi="FangSong" w:cs="FangSong"/>
          <w:spacing w:val="4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提高全过程生产效率，降低全链</w:t>
      </w:r>
    </w:p>
    <w:p>
      <w:pPr>
        <w:spacing w:line="222" w:lineRule="auto"/>
        <w:ind w:left="4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1"/>
          <w:sz w:val="27"/>
          <w:szCs w:val="27"/>
        </w:rPr>
        <w:t>条能源消耗，实现发展和减排的双赢，助力推动全社</w:t>
      </w:r>
      <w:r>
        <w:rPr>
          <w:rFonts w:ascii="FangSong" w:eastAsia="FangSong" w:hAnsi="FangSong" w:cs="FangSong"/>
          <w:spacing w:val="10"/>
          <w:sz w:val="27"/>
          <w:szCs w:val="27"/>
        </w:rPr>
        <w:t>会高质量发展。</w:t>
      </w:r>
    </w:p>
    <w:p>
      <w:pPr>
        <w:spacing w:before="338" w:line="222" w:lineRule="auto"/>
        <w:ind w:left="68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二、发达国家积极探索数字技术助力工业脱碳</w:t>
      </w:r>
    </w:p>
    <w:p>
      <w:pPr>
        <w:spacing w:before="299" w:line="218" w:lineRule="auto"/>
        <w:ind w:left="687"/>
        <w:rPr>
          <w:rFonts w:ascii="KaiTi" w:eastAsia="KaiTi" w:hAnsi="KaiTi" w:cs="KaiTi"/>
          <w:sz w:val="31"/>
          <w:szCs w:val="31"/>
        </w:rPr>
      </w:pPr>
      <w:bookmarkStart w:id="3" w:name="bookmark4"/>
      <w:bookmarkEnd w:id="3"/>
      <w:bookmarkStart w:id="4" w:name="bookmark5"/>
      <w:bookmarkEnd w:id="4"/>
      <w:r>
        <w:rPr>
          <w:rFonts w:ascii="KaiTi" w:eastAsia="KaiTi" w:hAnsi="KaiTi" w:cs="KaiTi"/>
          <w:spacing w:val="15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（一）美国：围绕数字减碳强化顶层设计和资金支持</w:t>
      </w:r>
    </w:p>
    <w:p>
      <w:pPr>
        <w:pStyle w:val="BodyText"/>
        <w:spacing w:line="244" w:lineRule="auto"/>
      </w:pPr>
    </w:p>
    <w:p>
      <w:pPr>
        <w:spacing w:before="88" w:line="427" w:lineRule="auto"/>
        <w:ind w:left="33" w:right="212" w:firstLine="577"/>
        <w:jc w:val="both"/>
        <w:rPr>
          <w:rFonts w:ascii="FangSong" w:eastAsia="FangSong" w:hAnsi="FangSong" w:cs="FangSong"/>
          <w:sz w:val="27"/>
          <w:szCs w:val="27"/>
        </w:rPr>
        <w:sectPr>
          <w:headerReference w:type="default" r:id="rId19"/>
          <w:footerReference w:type="default" r:id="rId20"/>
          <w:pgSz w:w="11909" w:h="16839"/>
          <w:pgMar w:top="1118" w:right="1588" w:bottom="1153" w:left="1766" w:header="875" w:footer="988" w:gutter="0"/>
          <w:pgNumType w:start="11"/>
          <w:cols w:space="708"/>
        </w:sectPr>
      </w:pPr>
      <w:r>
        <w:rPr>
          <w:rFonts w:ascii="FangSong" w:eastAsia="FangSong" w:hAnsi="FangSong" w:cs="FangSong"/>
          <w:spacing w:val="16"/>
          <w:sz w:val="27"/>
          <w:szCs w:val="27"/>
        </w:rPr>
        <w:t>美国在推进本国净零排放目标整体过程中高度重视数字技术的</w:t>
      </w:r>
      <w:r>
        <w:rPr>
          <w:rFonts w:ascii="FangSong" w:eastAsia="FangSong" w:hAnsi="FangSong" w:cs="FangSong"/>
          <w:spacing w:val="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融合应用，</w:t>
      </w:r>
      <w:r>
        <w:rPr>
          <w:rFonts w:ascii="FangSong" w:eastAsia="FangSong" w:hAnsi="FangSong" w:cs="FangSong"/>
          <w:spacing w:val="6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特别是围绕数据、标准、技术、</w:t>
      </w:r>
      <w:r>
        <w:rPr>
          <w:rFonts w:ascii="FangSong" w:eastAsia="FangSong" w:hAnsi="FangSong" w:cs="FangSong"/>
          <w:spacing w:val="5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资金等制定了丰</w:t>
      </w:r>
      <w:r>
        <w:rPr>
          <w:rFonts w:ascii="FangSong" w:eastAsia="FangSong" w:hAnsi="FangSong" w:cs="FangSong"/>
          <w:spacing w:val="-7"/>
          <w:sz w:val="27"/>
          <w:szCs w:val="27"/>
        </w:rPr>
        <w:t>富的政策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工具，助力绿色低碳方向的数字技术和应用创新推广。</w:t>
      </w:r>
      <w:r>
        <w:rPr>
          <w:rFonts w:ascii="SimHei" w:eastAsia="SimHei" w:hAnsi="SimHei" w:cs="SimHei"/>
          <w:spacing w:val="7"/>
          <w:sz w:val="27"/>
          <w:szCs w:val="27"/>
        </w:rPr>
        <w:t>一是</w:t>
      </w:r>
      <w:r>
        <w:rPr>
          <w:rFonts w:ascii="SimHei" w:eastAsia="SimHei" w:hAnsi="SimHei" w:cs="SimHei"/>
          <w:spacing w:val="6"/>
          <w:sz w:val="27"/>
          <w:szCs w:val="27"/>
        </w:rPr>
        <w:t>充分发挥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5"/>
          <w:sz w:val="27"/>
          <w:szCs w:val="27"/>
        </w:rPr>
        <w:t>顶层设计对行业数字化减碳的支撑和引领作用。</w:t>
      </w:r>
      <w:r>
        <w:rPr>
          <w:rFonts w:ascii="SimHei" w:eastAsia="SimHei" w:hAnsi="SimHei" w:cs="SimHei"/>
          <w:spacing w:val="5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20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22  </w:t>
      </w:r>
      <w:r>
        <w:rPr>
          <w:rFonts w:ascii="FangSong" w:eastAsia="FangSong" w:hAnsi="FangSong" w:cs="FangSong"/>
          <w:spacing w:val="4"/>
          <w:sz w:val="27"/>
          <w:szCs w:val="27"/>
        </w:rPr>
        <w:t>年美国能源部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发布《工业脱碳路线图》，确定了减少美国制造业工业排放的</w:t>
      </w:r>
      <w:r>
        <w:rPr>
          <w:rFonts w:ascii="FangSong" w:eastAsia="FangSong" w:hAnsi="FangSong" w:cs="FangSong"/>
          <w:spacing w:val="-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spacing w:val="4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个关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键途径及其研发和示范需求，在提高能效关键路径中提出</w:t>
      </w:r>
      <w:r>
        <w:rPr>
          <w:rFonts w:ascii="FangSong" w:eastAsia="FangSong" w:hAnsi="FangSong" w:cs="FangSong"/>
          <w:spacing w:val="6"/>
          <w:sz w:val="27"/>
          <w:szCs w:val="27"/>
        </w:rPr>
        <w:t>在系统级优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化工业过程性能的能源管理方法，以及来自制造过程加热</w:t>
      </w:r>
      <w:r>
        <w:rPr>
          <w:rFonts w:ascii="FangSong" w:eastAsia="FangSong" w:hAnsi="FangSong" w:cs="FangSong"/>
          <w:spacing w:val="6"/>
          <w:sz w:val="27"/>
          <w:szCs w:val="27"/>
        </w:rPr>
        <w:t>、锅炉和热</w:t>
      </w:r>
    </w:p>
    <w:p>
      <w:pPr>
        <w:spacing w:before="1" w:line="222" w:lineRule="auto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sz w:val="27"/>
          <w:szCs w:val="27"/>
        </w:rPr>
        <w:t>电联产的热能系统管理和优化，</w:t>
      </w:r>
      <w:r>
        <w:rPr>
          <w:rFonts w:ascii="FangSong" w:eastAsia="FangSong" w:hAnsi="FangSong" w:cs="FangSong"/>
          <w:spacing w:val="-5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同时加强智能制造和先进的数据分析，</w:t>
      </w:r>
    </w:p>
    <w:p>
      <w:pPr>
        <w:spacing w:line="222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21"/>
          <w:footerReference w:type="default" r:id="rId22"/>
          <w:type w:val="nextPage"/>
          <w:pgSz w:w="11909" w:h="16839"/>
          <w:pgMar w:top="1118" w:right="1588" w:bottom="1153" w:left="1766" w:header="875" w:footer="988" w:gutter="0"/>
          <w:pgNumType w:start="12"/>
          <w:cols w:space="708"/>
          <w:titlePg w:val="0"/>
        </w:sectPr>
      </w:pPr>
    </w:p>
    <w:p>
      <w:pPr>
        <w:pStyle w:val="BodyText"/>
        <w:spacing w:line="397" w:lineRule="auto"/>
      </w:pPr>
    </w:p>
    <w:p>
      <w:pPr>
        <w:spacing w:before="88" w:line="427" w:lineRule="auto"/>
        <w:ind w:left="34" w:firstLine="4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sz w:val="27"/>
          <w:szCs w:val="27"/>
        </w:rPr>
        <w:t>以提高制造过程中的能源生产力，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从而有效提升制造业利</w:t>
      </w:r>
      <w:r>
        <w:rPr>
          <w:rFonts w:ascii="FangSong" w:eastAsia="FangSong" w:hAnsi="FangSong" w:cs="FangSong"/>
          <w:sz w:val="27"/>
          <w:szCs w:val="27"/>
        </w:rPr>
        <w:t>用数字技术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1"/>
          <w:sz w:val="27"/>
          <w:szCs w:val="27"/>
        </w:rPr>
        <w:t>实现节能减排效率。</w:t>
      </w:r>
      <w:r>
        <w:rPr>
          <w:rFonts w:ascii="SimHei" w:eastAsia="SimHei" w:hAnsi="SimHei" w:cs="SimHei"/>
          <w:spacing w:val="11"/>
          <w:sz w:val="27"/>
          <w:szCs w:val="27"/>
        </w:rPr>
        <w:t>二是提供助力减碳模型开发/智能决策的高质量</w:t>
      </w:r>
      <w:r>
        <w:rPr>
          <w:rFonts w:ascii="SimHei" w:eastAsia="SimHei" w:hAnsi="SimHei" w:cs="SimHei"/>
          <w:spacing w:val="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"/>
          <w:sz w:val="27"/>
          <w:szCs w:val="27"/>
        </w:rPr>
        <w:t>数据集和大数据工具。</w:t>
      </w:r>
      <w:r>
        <w:rPr>
          <w:rFonts w:ascii="FangSong" w:eastAsia="FangSong" w:hAnsi="FangSong" w:cs="FangSong"/>
          <w:spacing w:val="7"/>
          <w:sz w:val="27"/>
          <w:szCs w:val="27"/>
        </w:rPr>
        <w:t>针对当前行业由于应用越来越多</w:t>
      </w:r>
      <w:r>
        <w:rPr>
          <w:rFonts w:ascii="FangSong" w:eastAsia="FangSong" w:hAnsi="FangSong" w:cs="FangSong"/>
          <w:spacing w:val="6"/>
          <w:sz w:val="27"/>
          <w:szCs w:val="27"/>
        </w:rPr>
        <w:t>的现代设备设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施、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仪器和高性能计算机而生成传统工具难以有效解析的海量数据，</w:t>
      </w:r>
      <w:r>
        <w:rPr>
          <w:rFonts w:ascii="FangSong" w:eastAsia="FangSong" w:hAnsi="FangSong" w:cs="FangSong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2021 </w:t>
      </w:r>
      <w:r>
        <w:rPr>
          <w:rFonts w:ascii="FangSong" w:eastAsia="FangSong" w:hAnsi="FangSong" w:cs="FangSong"/>
          <w:spacing w:val="7"/>
          <w:sz w:val="27"/>
          <w:szCs w:val="27"/>
        </w:rPr>
        <w:t>年美国能源部拨款</w:t>
      </w:r>
      <w:r>
        <w:rPr>
          <w:rFonts w:ascii="FangSong" w:eastAsia="FangSong" w:hAnsi="FangSong" w:cs="FangSong"/>
          <w:spacing w:val="-5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2900</w:t>
      </w:r>
      <w:r>
        <w:rPr>
          <w:rFonts w:ascii="Times New Roman" w:eastAsia="Times New Roman" w:hAnsi="Times New Roman" w:cs="Times New Roman"/>
          <w:spacing w:val="29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万美元用于开发应对清洁</w:t>
      </w:r>
      <w:r>
        <w:rPr>
          <w:rFonts w:ascii="FangSong" w:eastAsia="FangSong" w:hAnsi="FangSong" w:cs="FangSong"/>
          <w:spacing w:val="6"/>
          <w:sz w:val="27"/>
          <w:szCs w:val="27"/>
        </w:rPr>
        <w:t>能源、气候和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国家安全挑战的大数据工具，其中</w:t>
      </w:r>
      <w:r>
        <w:rPr>
          <w:rFonts w:ascii="FangSong" w:eastAsia="FangSong" w:hAnsi="FangSong" w:cs="FangSong"/>
          <w:spacing w:val="-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800</w:t>
      </w:r>
      <w:r>
        <w:rPr>
          <w:rFonts w:ascii="Times New Roman" w:eastAsia="Times New Roman" w:hAnsi="Times New Roman" w:cs="Times New Roman"/>
          <w:spacing w:val="29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万用于支撑超大型数据集</w:t>
      </w:r>
      <w:r>
        <w:rPr>
          <w:rFonts w:ascii="FangSong" w:eastAsia="FangSong" w:hAnsi="FangSong" w:cs="FangSong"/>
          <w:spacing w:val="4"/>
          <w:sz w:val="27"/>
          <w:szCs w:val="27"/>
        </w:rPr>
        <w:t>系统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简化，</w:t>
      </w:r>
      <w:r>
        <w:rPr>
          <w:rFonts w:ascii="Times New Roman" w:eastAsia="Times New Roman" w:hAnsi="Times New Roman" w:cs="Times New Roman"/>
          <w:sz w:val="27"/>
          <w:szCs w:val="27"/>
        </w:rPr>
        <w:t>2100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万用于支持识别相关数据模型，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服务能源领域智能决策，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对提高能源领域利用数字技术开发节能减碳模型具有重</w:t>
      </w:r>
      <w:r>
        <w:rPr>
          <w:rFonts w:ascii="FangSong" w:eastAsia="FangSong" w:hAnsi="FangSong" w:cs="FangSong"/>
          <w:spacing w:val="6"/>
          <w:sz w:val="27"/>
          <w:szCs w:val="27"/>
        </w:rPr>
        <w:t>要意义。</w:t>
      </w:r>
      <w:r>
        <w:rPr>
          <w:rFonts w:ascii="SimHei" w:eastAsia="SimHei" w:hAnsi="SimHei" w:cs="SimHei"/>
          <w:spacing w:val="6"/>
          <w:sz w:val="27"/>
          <w:szCs w:val="27"/>
        </w:rPr>
        <w:t>三是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"/>
          <w:sz w:val="27"/>
          <w:szCs w:val="27"/>
        </w:rPr>
        <w:t>为企业利用数字技术促进净零排放技术创新提供研发补</w:t>
      </w:r>
      <w:r>
        <w:rPr>
          <w:rFonts w:ascii="SimHei" w:eastAsia="SimHei" w:hAnsi="SimHei" w:cs="SimHei"/>
          <w:spacing w:val="6"/>
          <w:sz w:val="27"/>
          <w:szCs w:val="27"/>
        </w:rPr>
        <w:t>贴。</w:t>
      </w:r>
      <w:r>
        <w:rPr>
          <w:rFonts w:ascii="FangSong" w:eastAsia="FangSong" w:hAnsi="FangSong" w:cs="FangSong"/>
          <w:spacing w:val="6"/>
          <w:sz w:val="27"/>
          <w:szCs w:val="27"/>
        </w:rPr>
        <w:t>在研发补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助方面，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2020 </w:t>
      </w:r>
      <w:r>
        <w:rPr>
          <w:rFonts w:ascii="FangSong" w:eastAsia="FangSong" w:hAnsi="FangSong" w:cs="FangSong"/>
          <w:spacing w:val="6"/>
          <w:sz w:val="27"/>
          <w:szCs w:val="27"/>
        </w:rPr>
        <w:t>年美国能源部宣布提供</w:t>
      </w:r>
      <w:r>
        <w:rPr>
          <w:rFonts w:ascii="FangSong" w:eastAsia="FangSong" w:hAnsi="FangSong" w:cs="FangSong"/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1600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万美元用于机器学习和人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工智能高级研究，服务各领域智能化、可持续发展；在奖励</w:t>
      </w:r>
      <w:r>
        <w:rPr>
          <w:rFonts w:ascii="FangSong" w:eastAsia="FangSong" w:hAnsi="FangSong" w:cs="FangSong"/>
          <w:spacing w:val="-2"/>
          <w:sz w:val="27"/>
          <w:szCs w:val="27"/>
        </w:rPr>
        <w:t>资金方面，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2020</w:t>
      </w:r>
      <w:r>
        <w:rPr>
          <w:rFonts w:ascii="Times New Roman" w:eastAsia="Times New Roman" w:hAnsi="Times New Roman" w:cs="Times New Roman"/>
          <w:spacing w:val="17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年美国能源部设立</w:t>
      </w:r>
      <w:r>
        <w:rPr>
          <w:rFonts w:ascii="FangSong" w:eastAsia="FangSong" w:hAnsi="FangSong" w:cs="FangSong"/>
          <w:spacing w:val="-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21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亿美元的</w:t>
      </w:r>
      <w:r>
        <w:rPr>
          <w:rFonts w:ascii="FangSong" w:eastAsia="FangSong" w:hAnsi="FangSong" w:cs="FangSong"/>
          <w:spacing w:val="-98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“新人</w:t>
      </w:r>
      <w:r>
        <w:rPr>
          <w:rFonts w:ascii="FangSong" w:eastAsia="FangSong" w:hAnsi="FangSong" w:cs="FangSong"/>
          <w:spacing w:val="-1"/>
          <w:sz w:val="27"/>
          <w:szCs w:val="27"/>
        </w:rPr>
        <w:t>工智能奖项”，对</w:t>
      </w:r>
      <w:r>
        <w:rPr>
          <w:rFonts w:ascii="FangSong" w:eastAsia="FangSong" w:hAnsi="FangSong" w:cs="FangSong"/>
          <w:spacing w:val="-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12 </w:t>
      </w:r>
      <w:r>
        <w:rPr>
          <w:rFonts w:ascii="FangSong" w:eastAsia="FangSong" w:hAnsi="FangSong" w:cs="FangSong"/>
          <w:spacing w:val="-1"/>
          <w:sz w:val="27"/>
          <w:szCs w:val="27"/>
        </w:rPr>
        <w:t>个提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高效率、降低成本和能耗的人工智能项目给予资金奖励</w:t>
      </w:r>
      <w:r>
        <w:rPr>
          <w:rFonts w:ascii="FangSong" w:eastAsia="FangSong" w:hAnsi="FangSong" w:cs="FangSong"/>
          <w:spacing w:val="6"/>
          <w:sz w:val="27"/>
          <w:szCs w:val="27"/>
        </w:rPr>
        <w:t>，同时美国能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源部“可持续发展奖”还对一系列成效突出的数据中心</w:t>
      </w:r>
      <w:r>
        <w:rPr>
          <w:rFonts w:ascii="FangSong" w:eastAsia="FangSong" w:hAnsi="FangSong" w:cs="FangSong"/>
          <w:spacing w:val="6"/>
          <w:sz w:val="27"/>
          <w:szCs w:val="27"/>
        </w:rPr>
        <w:t>绿色化集约化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项目予以表彰；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在贷款担保方面，能源部提供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85</w:t>
      </w:r>
      <w:r>
        <w:rPr>
          <w:rFonts w:ascii="Times New Roman" w:eastAsia="Times New Roman" w:hAnsi="Times New Roman" w:cs="Times New Roman"/>
          <w:spacing w:val="6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亿美元贷款担保，</w:t>
      </w:r>
    </w:p>
    <w:p>
      <w:pPr>
        <w:spacing w:line="223" w:lineRule="auto"/>
        <w:ind w:left="4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支持利用数字技术减少或隔离温室气体排放。</w:t>
      </w:r>
    </w:p>
    <w:p>
      <w:pPr>
        <w:spacing w:before="339" w:line="218" w:lineRule="auto"/>
        <w:ind w:left="687"/>
        <w:rPr>
          <w:rFonts w:ascii="KaiTi" w:eastAsia="KaiTi" w:hAnsi="KaiTi" w:cs="KaiTi"/>
          <w:sz w:val="31"/>
          <w:szCs w:val="31"/>
        </w:rPr>
      </w:pPr>
      <w:bookmarkStart w:id="5" w:name="bookmark6"/>
      <w:bookmarkEnd w:id="5"/>
      <w:r>
        <w:rPr>
          <w:rFonts w:ascii="KaiTi" w:eastAsia="KaiTi" w:hAnsi="KaiTi" w:cs="KaiTi"/>
          <w:spacing w:val="14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（二）欧盟：制定战略规划引领数字和绿色双重转型</w:t>
      </w:r>
    </w:p>
    <w:p>
      <w:pPr>
        <w:pStyle w:val="BodyText"/>
        <w:spacing w:line="246" w:lineRule="auto"/>
      </w:pPr>
    </w:p>
    <w:p>
      <w:pPr>
        <w:spacing w:before="87" w:line="427" w:lineRule="auto"/>
        <w:ind w:left="40" w:right="71" w:firstLine="570"/>
        <w:jc w:val="both"/>
        <w:rPr>
          <w:rFonts w:ascii="FangSong" w:eastAsia="FangSong" w:hAnsi="FangSong" w:cs="FangSong"/>
          <w:sz w:val="27"/>
          <w:szCs w:val="27"/>
        </w:rPr>
        <w:sectPr>
          <w:headerReference w:type="default" r:id="rId23"/>
          <w:footerReference w:type="default" r:id="rId24"/>
          <w:pgSz w:w="11909" w:h="16839"/>
          <w:pgMar w:top="1118" w:right="1729" w:bottom="1152" w:left="1766" w:header="875" w:footer="988" w:gutter="0"/>
          <w:pgNumType w:start="13"/>
          <w:cols w:space="708"/>
        </w:sectPr>
      </w:pPr>
      <w:r>
        <w:rPr>
          <w:rFonts w:ascii="FangSong" w:eastAsia="FangSong" w:hAnsi="FangSong" w:cs="FangSong"/>
          <w:spacing w:val="6"/>
          <w:sz w:val="27"/>
          <w:szCs w:val="27"/>
        </w:rPr>
        <w:t>欧盟将利用数字技术促进行业脱碳和可持续发展纳入投融资、研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究创新、国际合作等政策，特别强调通过相关政策，引导和支持企业</w:t>
      </w:r>
      <w:r>
        <w:rPr>
          <w:rFonts w:ascii="FangSong" w:eastAsia="FangSong" w:hAnsi="FangSong" w:cs="FangSong"/>
          <w:spacing w:val="1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通过数字转型提高应对气候变化的能力。</w:t>
      </w:r>
      <w:r>
        <w:rPr>
          <w:rFonts w:ascii="FangSong" w:eastAsia="FangSong" w:hAnsi="FangSong" w:cs="FangSong"/>
          <w:spacing w:val="37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5"/>
          <w:sz w:val="27"/>
          <w:szCs w:val="27"/>
        </w:rPr>
        <w:t>一是在战略规划方面，</w:t>
      </w:r>
      <w:r>
        <w:rPr>
          <w:rFonts w:ascii="SimHei" w:eastAsia="SimHei" w:hAnsi="SimHei" w:cs="SimHei"/>
          <w:spacing w:val="4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5"/>
          <w:sz w:val="27"/>
          <w:szCs w:val="27"/>
        </w:rPr>
        <w:t>重视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4"/>
          <w:sz w:val="27"/>
          <w:szCs w:val="27"/>
        </w:rPr>
        <w:t>工业数字化绿色化双重转型。</w:t>
      </w:r>
      <w:r>
        <w:rPr>
          <w:rFonts w:ascii="SimHei" w:eastAsia="SimHei" w:hAnsi="SimHei" w:cs="SimHei"/>
          <w:spacing w:val="6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2019  </w:t>
      </w:r>
      <w:r>
        <w:rPr>
          <w:rFonts w:ascii="FangSong" w:eastAsia="FangSong" w:hAnsi="FangSong" w:cs="FangSong"/>
          <w:spacing w:val="4"/>
          <w:sz w:val="27"/>
          <w:szCs w:val="27"/>
        </w:rPr>
        <w:t>年欧盟委员会发布《欧洲绿色新</w:t>
      </w:r>
    </w:p>
    <w:p>
      <w:pPr>
        <w:spacing w:line="219" w:lineRule="auto"/>
        <w:ind w:left="4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3"/>
          <w:sz w:val="27"/>
          <w:szCs w:val="27"/>
        </w:rPr>
        <w:t>政》，明确提出工业领域要充分挖掘数字转型的潜力，</w:t>
      </w:r>
      <w:r>
        <w:rPr>
          <w:rFonts w:ascii="FangSong" w:eastAsia="FangSong" w:hAnsi="FangSong" w:cs="FangSong"/>
          <w:spacing w:val="9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使人工智能、</w:t>
      </w:r>
    </w:p>
    <w:p>
      <w:pPr>
        <w:spacing w:line="219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25"/>
          <w:footerReference w:type="default" r:id="rId26"/>
          <w:type w:val="nextPage"/>
          <w:pgSz w:w="11909" w:h="16839"/>
          <w:pgMar w:top="1118" w:right="1729" w:bottom="1152" w:left="1766" w:header="875" w:footer="988" w:gutter="0"/>
          <w:pgNumType w:start="14"/>
          <w:cols w:space="708"/>
          <w:titlePg w:val="0"/>
        </w:sectPr>
      </w:pPr>
    </w:p>
    <w:p>
      <w:pPr>
        <w:pStyle w:val="BodyText"/>
        <w:spacing w:line="392" w:lineRule="auto"/>
      </w:pPr>
    </w:p>
    <w:p>
      <w:pPr>
        <w:spacing w:before="88" w:line="427" w:lineRule="auto"/>
        <w:ind w:left="34" w:firstLine="8"/>
        <w:jc w:val="both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5G</w:t>
      </w:r>
      <w:r>
        <w:rPr>
          <w:rFonts w:ascii="Times New Roman" w:eastAsia="Times New Roman" w:hAnsi="Times New Roman" w:cs="Times New Roman"/>
          <w:spacing w:val="-2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2"/>
          <w:sz w:val="27"/>
          <w:szCs w:val="27"/>
        </w:rPr>
        <w:t>、云计算和边缘计算及物联网等数字技术尽快在欧盟应对气候变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化和保护环境的政策中发挥重要作用。为持续推动工业</w:t>
      </w:r>
      <w:r>
        <w:rPr>
          <w:rFonts w:ascii="FangSong" w:eastAsia="FangSong" w:hAnsi="FangSong" w:cs="FangSong"/>
          <w:spacing w:val="6"/>
          <w:sz w:val="27"/>
          <w:szCs w:val="27"/>
        </w:rPr>
        <w:t>领域双化协同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转型，</w:t>
      </w:r>
      <w:r>
        <w:rPr>
          <w:rFonts w:ascii="FangSong" w:eastAsia="FangSong" w:hAnsi="FangSong" w:cs="FangSong"/>
          <w:spacing w:val="-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2020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年欧盟委员会还发布了《欧洲工业</w:t>
      </w:r>
      <w:r>
        <w:rPr>
          <w:rFonts w:ascii="FangSong" w:eastAsia="FangSong" w:hAnsi="FangSong" w:cs="FangSong"/>
          <w:sz w:val="27"/>
          <w:szCs w:val="27"/>
        </w:rPr>
        <w:t>战略》旨在提升欧盟全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球竞争力并带动欧洲绿色工业和数字化的发展，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助推欧洲向更加可持</w:t>
      </w:r>
      <w:r>
        <w:rPr>
          <w:rFonts w:ascii="FangSong" w:eastAsia="FangSong" w:hAnsi="FangSong" w:cs="FangSong"/>
          <w:spacing w:val="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续、数字化和更具全球竞争力的经济转型。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2023 </w:t>
      </w:r>
      <w:r>
        <w:rPr>
          <w:rFonts w:ascii="FangSong" w:eastAsia="FangSong" w:hAnsi="FangSong" w:cs="FangSong"/>
          <w:spacing w:val="2"/>
          <w:sz w:val="27"/>
          <w:szCs w:val="27"/>
        </w:rPr>
        <w:t>年</w:t>
      </w:r>
      <w:r>
        <w:rPr>
          <w:rFonts w:ascii="FangSong" w:eastAsia="FangSong" w:hAnsi="FangSong" w:cs="FangSong"/>
          <w:spacing w:val="-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28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月欧盟委员会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通过了战略能源技术（</w:t>
      </w:r>
      <w:r>
        <w:rPr>
          <w:rFonts w:ascii="Times New Roman" w:eastAsia="Times New Roman" w:hAnsi="Times New Roman" w:cs="Times New Roman"/>
          <w:sz w:val="27"/>
          <w:szCs w:val="27"/>
        </w:rPr>
        <w:t>SET</w:t>
      </w:r>
      <w:r>
        <w:rPr>
          <w:rFonts w:ascii="FangSong" w:eastAsia="FangSong" w:hAnsi="FangSong" w:cs="FangSong"/>
          <w:spacing w:val="7"/>
          <w:sz w:val="27"/>
          <w:szCs w:val="27"/>
        </w:rPr>
        <w:t>）计划的修订，</w:t>
      </w:r>
      <w:r>
        <w:rPr>
          <w:rFonts w:ascii="FangSong" w:eastAsia="FangSong" w:hAnsi="FangSong" w:cs="FangSong"/>
          <w:spacing w:val="-6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旨在将最初的战略</w:t>
      </w:r>
      <w:r>
        <w:rPr>
          <w:rFonts w:ascii="FangSong" w:eastAsia="FangSong" w:hAnsi="FangSong" w:cs="FangSong"/>
          <w:spacing w:val="6"/>
          <w:sz w:val="27"/>
          <w:szCs w:val="27"/>
        </w:rPr>
        <w:t>目标与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欧洲绿色协议、</w:t>
      </w:r>
      <w:r>
        <w:rPr>
          <w:rFonts w:ascii="Times New Roman" w:eastAsia="Times New Roman" w:hAnsi="Times New Roman" w:cs="Times New Roman"/>
          <w:sz w:val="27"/>
          <w:szCs w:val="27"/>
        </w:rPr>
        <w:t>REPowerEU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计划和绿色新政工业计划（特别</w:t>
      </w:r>
      <w:r>
        <w:rPr>
          <w:rFonts w:ascii="FangSong" w:eastAsia="FangSong" w:hAnsi="FangSong" w:cs="FangSong"/>
          <w:spacing w:val="2"/>
          <w:sz w:val="27"/>
          <w:szCs w:val="27"/>
        </w:rPr>
        <w:t>是“净零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工业法案”）相协调，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此次修订，欧盟委员会将纳入跨领域问题的新</w:t>
      </w:r>
      <w:r>
        <w:rPr>
          <w:rFonts w:ascii="FangSong" w:eastAsia="FangSong" w:hAnsi="FangSong" w:cs="FangSong"/>
          <w:spacing w:val="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优先事项，包括根据社会需求、数字化和市场准入度定</w:t>
      </w:r>
      <w:r>
        <w:rPr>
          <w:rFonts w:ascii="FangSong" w:eastAsia="FangSong" w:hAnsi="FangSong" w:cs="FangSong"/>
          <w:spacing w:val="6"/>
          <w:sz w:val="27"/>
          <w:szCs w:val="27"/>
        </w:rPr>
        <w:t>制的可持续性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设计、技能开发、研究和创新。</w:t>
      </w:r>
      <w:r>
        <w:rPr>
          <w:rFonts w:ascii="FangSong" w:eastAsia="FangSong" w:hAnsi="FangSong" w:cs="FangSong"/>
          <w:spacing w:val="-2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3"/>
          <w:sz w:val="27"/>
          <w:szCs w:val="27"/>
        </w:rPr>
        <w:t>二是利用大数据、区块链等数字技术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"/>
          <w:sz w:val="27"/>
          <w:szCs w:val="27"/>
        </w:rPr>
        <w:t>提高碳市场可信度和碳交易效率。</w:t>
      </w:r>
      <w:r>
        <w:rPr>
          <w:rFonts w:ascii="SimHei" w:eastAsia="SimHei" w:hAnsi="SimHei" w:cs="SimHei"/>
          <w:spacing w:val="7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欧洲能源交易所</w:t>
      </w:r>
      <w:r>
        <w:rPr>
          <w:rFonts w:ascii="FangSong" w:eastAsia="FangSong" w:hAnsi="FangSong" w:cs="FangSong"/>
          <w:spacing w:val="-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EEX</w:t>
      </w:r>
      <w:r>
        <w:rPr>
          <w:rFonts w:ascii="Times New Roman" w:eastAsia="Times New Roman" w:hAnsi="Times New Roman" w:cs="Times New Roman"/>
          <w:spacing w:val="4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建立了电子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0"/>
          <w:sz w:val="27"/>
          <w:szCs w:val="27"/>
        </w:rPr>
        <w:t>碳交易平台，通过支撑线上登记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/</w:t>
      </w:r>
      <w:r>
        <w:rPr>
          <w:rFonts w:ascii="FangSong" w:eastAsia="FangSong" w:hAnsi="FangSong" w:cs="FangSong"/>
          <w:spacing w:val="10"/>
          <w:sz w:val="27"/>
          <w:szCs w:val="27"/>
        </w:rPr>
        <w:t>交易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/</w:t>
      </w:r>
      <w:r>
        <w:rPr>
          <w:rFonts w:ascii="FangSong" w:eastAsia="FangSong" w:hAnsi="FangSong" w:cs="FangSong"/>
          <w:spacing w:val="10"/>
          <w:sz w:val="27"/>
          <w:szCs w:val="27"/>
        </w:rPr>
        <w:t>拍卖、提供实时交易数据，助</w:t>
      </w:r>
      <w:r>
        <w:rPr>
          <w:rFonts w:ascii="FangSong" w:eastAsia="FangSong" w:hAnsi="FangSong" w:cs="FangSong"/>
          <w:spacing w:val="1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力政策优化调整、模拟交易过程，</w:t>
      </w:r>
      <w:r>
        <w:rPr>
          <w:rFonts w:ascii="FangSong" w:eastAsia="FangSong" w:hAnsi="FangSong" w:cs="FangSong"/>
          <w:spacing w:val="-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选择最优拍卖方案</w:t>
      </w:r>
      <w:r>
        <w:rPr>
          <w:rFonts w:ascii="FangSong" w:eastAsia="FangSong" w:hAnsi="FangSong" w:cs="FangSong"/>
          <w:spacing w:val="-2"/>
          <w:sz w:val="27"/>
          <w:szCs w:val="27"/>
        </w:rPr>
        <w:t>等功能，</w:t>
      </w:r>
      <w:r>
        <w:rPr>
          <w:rFonts w:ascii="FangSong" w:eastAsia="FangSong" w:hAnsi="FangSong" w:cs="FangSong"/>
          <w:spacing w:val="-2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助力本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国碳交易制度实施，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最终利用数字技术更有效地利用市场机制促进电</w:t>
      </w:r>
      <w:r>
        <w:rPr>
          <w:rFonts w:ascii="FangSong" w:eastAsia="FangSong" w:hAnsi="FangSong" w:cs="FangSong"/>
          <w:spacing w:val="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3"/>
          <w:sz w:val="27"/>
          <w:szCs w:val="27"/>
        </w:rPr>
        <w:t>力、钢铁、</w:t>
      </w:r>
      <w:r>
        <w:rPr>
          <w:rFonts w:ascii="FangSong" w:eastAsia="FangSong" w:hAnsi="FangSong" w:cs="FangSong"/>
          <w:spacing w:val="6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3"/>
          <w:sz w:val="27"/>
          <w:szCs w:val="27"/>
        </w:rPr>
        <w:t>玻璃、水泥等行业减碳。</w:t>
      </w:r>
      <w:r>
        <w:rPr>
          <w:rFonts w:ascii="FangSong" w:eastAsia="FangSong" w:hAnsi="FangSong" w:cs="FangSong"/>
          <w:spacing w:val="60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3"/>
          <w:sz w:val="27"/>
          <w:szCs w:val="27"/>
        </w:rPr>
        <w:t>三是成立绿色化数字化联盟，</w:t>
      </w:r>
      <w:r>
        <w:rPr>
          <w:rFonts w:ascii="SimHei" w:eastAsia="SimHei" w:hAnsi="SimHei" w:cs="SimHei"/>
          <w:spacing w:val="6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3"/>
          <w:sz w:val="27"/>
          <w:szCs w:val="27"/>
        </w:rPr>
        <w:t>更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3"/>
          <w:sz w:val="27"/>
          <w:szCs w:val="27"/>
        </w:rPr>
        <w:t>好地集聚行业力量支撑政府决策和引导产业发展。</w:t>
      </w:r>
      <w:r>
        <w:rPr>
          <w:rFonts w:ascii="SimHei" w:eastAsia="SimHei" w:hAnsi="SimHei" w:cs="SimHei"/>
          <w:spacing w:val="6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欧盟召集</w:t>
      </w:r>
      <w:r>
        <w:rPr>
          <w:rFonts w:ascii="FangSong" w:eastAsia="FangSong" w:hAnsi="FangSong" w:cs="FangSong"/>
          <w:spacing w:val="2"/>
          <w:sz w:val="27"/>
          <w:szCs w:val="27"/>
        </w:rPr>
        <w:t>埃森哲、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达索、</w:t>
      </w:r>
      <w:r>
        <w:rPr>
          <w:rFonts w:ascii="FangSong" w:eastAsia="FangSong" w:hAnsi="FangSong" w:cs="FangSong"/>
          <w:spacing w:val="-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爱立信、施耐德电气、</w:t>
      </w:r>
      <w:r>
        <w:rPr>
          <w:rFonts w:ascii="FangSong" w:eastAsia="FangSong" w:hAnsi="FangSong" w:cs="FangSong"/>
          <w:spacing w:val="-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谷歌、西门子、思科等</w:t>
      </w:r>
      <w:r>
        <w:rPr>
          <w:rFonts w:ascii="FangSong" w:eastAsia="FangSong" w:hAnsi="FangSong" w:cs="FangSong"/>
          <w:spacing w:val="-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26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家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ICT</w:t>
      </w:r>
      <w:r>
        <w:rPr>
          <w:rFonts w:ascii="Times New Roman" w:eastAsia="Times New Roman" w:hAnsi="Times New Roman" w:cs="Times New Roman"/>
          <w:spacing w:val="29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龙头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9"/>
          <w:sz w:val="27"/>
          <w:szCs w:val="27"/>
        </w:rPr>
        <w:t>企业成立欧洲绿色化数字化联盟（</w:t>
      </w:r>
      <w:r>
        <w:rPr>
          <w:rFonts w:ascii="Times New Roman" w:eastAsia="Times New Roman" w:hAnsi="Times New Roman" w:cs="Times New Roman"/>
          <w:sz w:val="27"/>
          <w:szCs w:val="27"/>
        </w:rPr>
        <w:t>EGDC</w:t>
      </w:r>
      <w:r>
        <w:rPr>
          <w:rFonts w:ascii="FangSong" w:eastAsia="FangSong" w:hAnsi="FangSong" w:cs="FangSong"/>
          <w:spacing w:val="-57"/>
          <w:sz w:val="27"/>
          <w:szCs w:val="27"/>
        </w:rPr>
        <w:t>），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2021  </w:t>
      </w:r>
      <w:r>
        <w:rPr>
          <w:rFonts w:ascii="FangSong" w:eastAsia="FangSong" w:hAnsi="FangSong" w:cs="FangSong"/>
          <w:spacing w:val="9"/>
          <w:sz w:val="27"/>
          <w:szCs w:val="27"/>
        </w:rPr>
        <w:t>年签署《</w:t>
      </w:r>
      <w:r>
        <w:rPr>
          <w:rFonts w:ascii="FangSong" w:eastAsia="FangSong" w:hAnsi="FangSong" w:cs="FangSong"/>
          <w:spacing w:val="8"/>
          <w:sz w:val="27"/>
          <w:szCs w:val="27"/>
        </w:rPr>
        <w:t>支持欧盟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绿色和数字化转型宣言》，</w:t>
      </w:r>
      <w:r>
        <w:rPr>
          <w:rFonts w:ascii="FangSong" w:eastAsia="FangSong" w:hAnsi="FangSong" w:cs="FangSong"/>
          <w:spacing w:val="-8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同时与龙头企业合作制定能源</w:t>
      </w:r>
      <w:r>
        <w:rPr>
          <w:rFonts w:ascii="FangSong" w:eastAsia="FangSong" w:hAnsi="FangSong" w:cs="FangSong"/>
          <w:spacing w:val="-3"/>
          <w:sz w:val="27"/>
          <w:szCs w:val="27"/>
        </w:rPr>
        <w:t>、制造、</w:t>
      </w:r>
      <w:r>
        <w:rPr>
          <w:rFonts w:ascii="FangSong" w:eastAsia="FangSong" w:hAnsi="FangSong" w:cs="FangSong"/>
          <w:spacing w:val="8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交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通、农业、建筑等领域绿色化数字化转型指导方案。</w:t>
      </w:r>
      <w:r>
        <w:rPr>
          <w:rFonts w:ascii="SimHei" w:eastAsia="SimHei" w:hAnsi="SimHei" w:cs="SimHei"/>
          <w:spacing w:val="7"/>
          <w:sz w:val="27"/>
          <w:szCs w:val="27"/>
        </w:rPr>
        <w:t>四</w:t>
      </w:r>
      <w:r>
        <w:rPr>
          <w:rFonts w:ascii="SimHei" w:eastAsia="SimHei" w:hAnsi="SimHei" w:cs="SimHei"/>
          <w:spacing w:val="6"/>
          <w:sz w:val="27"/>
          <w:szCs w:val="27"/>
        </w:rPr>
        <w:t>是加强重点领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"/>
          <w:sz w:val="27"/>
          <w:szCs w:val="27"/>
        </w:rPr>
        <w:t>域数字技术应用基金支持，</w:t>
      </w:r>
      <w:r>
        <w:rPr>
          <w:rFonts w:ascii="SimHei" w:eastAsia="SimHei" w:hAnsi="SimHei" w:cs="SimHei"/>
          <w:spacing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"/>
          <w:sz w:val="27"/>
          <w:szCs w:val="27"/>
        </w:rPr>
        <w:t>在创新项目中部署利用数字化减少行业碳</w:t>
      </w:r>
    </w:p>
    <w:p>
      <w:pPr>
        <w:spacing w:before="1" w:line="224" w:lineRule="auto"/>
        <w:ind w:left="45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4"/>
          <w:sz w:val="27"/>
          <w:szCs w:val="27"/>
        </w:rPr>
        <w:t>足迹研究。</w:t>
      </w:r>
      <w:r>
        <w:rPr>
          <w:rFonts w:ascii="SimHei" w:eastAsia="SimHei" w:hAnsi="SimHei" w:cs="SimHei"/>
          <w:spacing w:val="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2020  </w:t>
      </w:r>
      <w:r>
        <w:rPr>
          <w:rFonts w:ascii="FangSong" w:eastAsia="FangSong" w:hAnsi="FangSong" w:cs="FangSong"/>
          <w:spacing w:val="4"/>
          <w:sz w:val="27"/>
          <w:szCs w:val="27"/>
        </w:rPr>
        <w:t>年欧盟委员会与欧洲投资基金宣布部署风险投资基</w:t>
      </w:r>
    </w:p>
    <w:p>
      <w:pPr>
        <w:spacing w:line="224" w:lineRule="auto"/>
        <w:rPr>
          <w:rFonts w:ascii="FangSong" w:eastAsia="FangSong" w:hAnsi="FangSong" w:cs="FangSong"/>
          <w:sz w:val="27"/>
          <w:szCs w:val="27"/>
        </w:rPr>
        <w:sectPr>
          <w:headerReference w:type="default" r:id="rId27"/>
          <w:footerReference w:type="default" r:id="rId28"/>
          <w:pgSz w:w="11909" w:h="16839"/>
          <w:pgMar w:top="1118" w:right="1717" w:bottom="1152" w:left="1766" w:header="875" w:footer="988" w:gutter="0"/>
          <w:pgNumType w:start="15"/>
          <w:cols w:space="708"/>
        </w:sectPr>
      </w:pPr>
    </w:p>
    <w:p>
      <w:pPr>
        <w:pStyle w:val="BodyText"/>
        <w:spacing w:line="401" w:lineRule="auto"/>
      </w:pPr>
    </w:p>
    <w:p>
      <w:pPr>
        <w:spacing w:before="88" w:line="427" w:lineRule="auto"/>
        <w:ind w:left="39" w:right="84" w:firstLine="1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金，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促进人工智能、机器人等技术在工业领域的推广</w:t>
      </w:r>
      <w:r>
        <w:rPr>
          <w:rFonts w:ascii="FangSong" w:eastAsia="FangSong" w:hAnsi="FangSong" w:cs="FangSong"/>
          <w:spacing w:val="3"/>
          <w:sz w:val="27"/>
          <w:szCs w:val="27"/>
        </w:rPr>
        <w:t>，降低生产能耗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和碳排放。</w:t>
      </w:r>
      <w:r>
        <w:rPr>
          <w:rFonts w:ascii="FangSong" w:eastAsia="FangSong" w:hAnsi="FangSong" w:cs="FangSong"/>
          <w:spacing w:val="3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>2021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4"/>
          <w:sz w:val="27"/>
          <w:szCs w:val="27"/>
        </w:rPr>
        <w:t>年欧盟“地平线欧洲”（</w:t>
      </w: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 xml:space="preserve">Horizon </w:t>
      </w:r>
      <w:r>
        <w:rPr>
          <w:rFonts w:ascii="Times New Roman" w:eastAsia="Times New Roman" w:hAnsi="Times New Roman" w:cs="Times New Roman"/>
          <w:spacing w:val="-5"/>
          <w:sz w:val="27"/>
          <w:szCs w:val="27"/>
        </w:rPr>
        <w:t>Europe</w:t>
      </w:r>
      <w:r>
        <w:rPr>
          <w:rFonts w:ascii="FangSong" w:eastAsia="FangSong" w:hAnsi="FangSong" w:cs="FangSong"/>
          <w:spacing w:val="-5"/>
          <w:sz w:val="27"/>
          <w:szCs w:val="27"/>
        </w:rPr>
        <w:t>）计划宣布未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8"/>
          <w:sz w:val="27"/>
          <w:szCs w:val="27"/>
        </w:rPr>
        <w:t>来两年将提供</w:t>
      </w:r>
      <w:r>
        <w:rPr>
          <w:rFonts w:ascii="FangSong" w:eastAsia="FangSong" w:hAnsi="FangSong" w:cs="FangSong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7.24  </w:t>
      </w:r>
      <w:r>
        <w:rPr>
          <w:rFonts w:ascii="FangSong" w:eastAsia="FangSong" w:hAnsi="FangSong" w:cs="FangSong"/>
          <w:spacing w:val="8"/>
          <w:sz w:val="27"/>
          <w:szCs w:val="27"/>
        </w:rPr>
        <w:t>亿欧元拨款，支持制造业和建筑业的</w:t>
      </w:r>
      <w:r>
        <w:rPr>
          <w:rFonts w:ascii="FangSong" w:eastAsia="FangSong" w:hAnsi="FangSong" w:cs="FangSong"/>
          <w:spacing w:val="7"/>
          <w:sz w:val="27"/>
          <w:szCs w:val="27"/>
        </w:rPr>
        <w:t>数字化并减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少行业碳足迹。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2023 </w:t>
      </w:r>
      <w:r>
        <w:rPr>
          <w:rFonts w:ascii="FangSong" w:eastAsia="FangSong" w:hAnsi="FangSong" w:cs="FangSong"/>
          <w:spacing w:val="5"/>
          <w:sz w:val="27"/>
          <w:szCs w:val="27"/>
        </w:rPr>
        <w:t>年</w:t>
      </w:r>
      <w:r>
        <w:rPr>
          <w:rFonts w:ascii="FangSong" w:eastAsia="FangSong" w:hAnsi="FangSong" w:cs="FangSong"/>
          <w:spacing w:val="-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12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月，欧盟投入近</w:t>
      </w:r>
      <w:r>
        <w:rPr>
          <w:rFonts w:ascii="FangSong" w:eastAsia="FangSong" w:hAnsi="FangSong" w:cs="FangSong"/>
          <w:spacing w:val="-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6</w:t>
      </w:r>
      <w:r>
        <w:rPr>
          <w:rFonts w:ascii="Times New Roman" w:eastAsia="Times New Roman" w:hAnsi="Times New Roman" w:cs="Times New Roman"/>
          <w:spacing w:val="21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亿欧元支持跨境能源基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础设施项目，</w:t>
      </w:r>
      <w:r>
        <w:rPr>
          <w:rFonts w:ascii="FangSong" w:eastAsia="FangSong" w:hAnsi="FangSong" w:cs="FangSong"/>
          <w:spacing w:val="-5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包括支持五个二氧化碳网络项目、</w:t>
      </w:r>
      <w:r>
        <w:rPr>
          <w:rFonts w:ascii="FangSong" w:eastAsia="FangSong" w:hAnsi="FangSong" w:cs="FangSong"/>
          <w:spacing w:val="-4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两个电力部门项目和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一个储气库项目，其中电力部门项目包括</w:t>
      </w:r>
      <w:r>
        <w:rPr>
          <w:rFonts w:ascii="FangSong" w:eastAsia="FangSong" w:hAnsi="FangSong" w:cs="FangSong"/>
          <w:spacing w:val="-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21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亿</w:t>
      </w:r>
      <w:r>
        <w:rPr>
          <w:rFonts w:ascii="FangSong" w:eastAsia="FangSong" w:hAnsi="FangSong" w:cs="FangSong"/>
          <w:spacing w:val="4"/>
          <w:sz w:val="27"/>
          <w:szCs w:val="27"/>
        </w:rPr>
        <w:t>欧元的智能电网项目和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122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万欧元的电力互连线加固项目等，</w:t>
      </w:r>
      <w:r>
        <w:rPr>
          <w:rFonts w:ascii="FangSong" w:eastAsia="FangSong" w:hAnsi="FangSong" w:cs="FangSong"/>
          <w:spacing w:val="5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以</w:t>
      </w:r>
      <w:r>
        <w:rPr>
          <w:rFonts w:ascii="FangSong" w:eastAsia="FangSong" w:hAnsi="FangSong" w:cs="FangSong"/>
          <w:spacing w:val="1"/>
          <w:sz w:val="27"/>
          <w:szCs w:val="27"/>
        </w:rPr>
        <w:t>实现更智能的电网、效率以</w:t>
      </w:r>
    </w:p>
    <w:p>
      <w:pPr>
        <w:spacing w:line="223" w:lineRule="auto"/>
        <w:ind w:left="3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8"/>
          <w:sz w:val="27"/>
          <w:szCs w:val="27"/>
        </w:rPr>
        <w:t>及创新技术和解决方案。</w:t>
      </w:r>
    </w:p>
    <w:p>
      <w:pPr>
        <w:spacing w:before="338" w:line="218" w:lineRule="auto"/>
        <w:ind w:left="687"/>
        <w:rPr>
          <w:rFonts w:ascii="KaiTi" w:eastAsia="KaiTi" w:hAnsi="KaiTi" w:cs="KaiTi"/>
          <w:sz w:val="31"/>
          <w:szCs w:val="31"/>
        </w:rPr>
      </w:pPr>
      <w:bookmarkStart w:id="6" w:name="bookmark7"/>
      <w:bookmarkEnd w:id="6"/>
      <w:r>
        <w:rPr>
          <w:rFonts w:ascii="KaiTi" w:eastAsia="KaiTi" w:hAnsi="KaiTi" w:cs="KaiTi"/>
          <w:spacing w:val="15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（三）日本：强调政策融合推动数字化赋能绿色发展</w:t>
      </w:r>
    </w:p>
    <w:p>
      <w:pPr>
        <w:spacing w:before="329" w:line="427" w:lineRule="auto"/>
        <w:ind w:left="40" w:firstLine="594"/>
        <w:jc w:val="both"/>
        <w:rPr>
          <w:rFonts w:ascii="FangSong" w:eastAsia="FangSong" w:hAnsi="FangSong" w:cs="FangSong"/>
          <w:sz w:val="27"/>
          <w:szCs w:val="27"/>
        </w:rPr>
        <w:sectPr>
          <w:headerReference w:type="default" r:id="rId29"/>
          <w:footerReference w:type="default" r:id="rId30"/>
          <w:pgSz w:w="11909" w:h="16839"/>
          <w:pgMar w:top="1118" w:right="1717" w:bottom="1153" w:left="1766" w:header="875" w:footer="988" w:gutter="0"/>
          <w:pgNumType w:start="16"/>
          <w:cols w:space="708"/>
        </w:sectPr>
      </w:pPr>
      <w:r>
        <w:rPr>
          <w:rFonts w:ascii="FangSong" w:eastAsia="FangSong" w:hAnsi="FangSong" w:cs="FangSong"/>
          <w:spacing w:val="5"/>
          <w:sz w:val="27"/>
          <w:szCs w:val="27"/>
        </w:rPr>
        <w:t>当前日本面临着绿色发展、区域发展、生产力增长、低出生率和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人口老龄化等一系列挑战，亟需推动数字化来实现可持续发展。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日本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数字化赋能工业绿色发展注重战略、法规、标准顶层设计的融合创新。</w:t>
      </w:r>
      <w:r>
        <w:rPr>
          <w:rFonts w:ascii="FangSong" w:eastAsia="FangSong" w:hAnsi="FangSong" w:cs="FangSong"/>
          <w:spacing w:val="13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5"/>
          <w:sz w:val="27"/>
          <w:szCs w:val="27"/>
        </w:rPr>
        <w:t>一是制定实施国家战略，</w:t>
      </w:r>
      <w:r>
        <w:rPr>
          <w:rFonts w:ascii="SimHei" w:eastAsia="SimHei" w:hAnsi="SimHei" w:cs="SimHei"/>
          <w:spacing w:val="8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5"/>
          <w:sz w:val="27"/>
          <w:szCs w:val="27"/>
        </w:rPr>
        <w:t>最大限度地推进绿</w:t>
      </w:r>
      <w:r>
        <w:rPr>
          <w:rFonts w:ascii="SimHei" w:eastAsia="SimHei" w:hAnsi="SimHei" w:cs="SimHei"/>
          <w:spacing w:val="-6"/>
          <w:sz w:val="27"/>
          <w:szCs w:val="27"/>
        </w:rPr>
        <w:t>色社会发展。</w:t>
      </w:r>
      <w:r>
        <w:rPr>
          <w:rFonts w:ascii="SimHei" w:eastAsia="SimHei" w:hAnsi="SimHei" w:cs="SimHei"/>
          <w:spacing w:val="4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2020</w:t>
      </w:r>
      <w:r>
        <w:rPr>
          <w:rFonts w:ascii="Times New Roman" w:eastAsia="Times New Roman" w:hAnsi="Times New Roman" w:cs="Times New Roman"/>
          <w:spacing w:val="4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年</w:t>
      </w:r>
      <w:r>
        <w:rPr>
          <w:rFonts w:ascii="FangSong" w:eastAsia="FangSong" w:hAnsi="FangSong" w:cs="FangSong"/>
          <w:spacing w:val="-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12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 </w:t>
      </w:r>
      <w:r>
        <w:rPr>
          <w:rFonts w:ascii="FangSong" w:eastAsia="FangSong" w:hAnsi="FangSong" w:cs="FangSong"/>
          <w:sz w:val="27"/>
          <w:szCs w:val="27"/>
        </w:rPr>
        <w:t>月</w:t>
      </w:r>
      <w:r>
        <w:rPr>
          <w:rFonts w:ascii="FangSong" w:eastAsia="FangSong" w:hAnsi="FangSong" w:cs="FangSong"/>
          <w:spacing w:val="-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25  </w:t>
      </w:r>
      <w:r>
        <w:rPr>
          <w:rFonts w:ascii="FangSong" w:eastAsia="FangSong" w:hAnsi="FangSong" w:cs="FangSong"/>
          <w:sz w:val="27"/>
          <w:szCs w:val="27"/>
        </w:rPr>
        <w:t>日日本发布《</w:t>
      </w:r>
      <w:r>
        <w:rPr>
          <w:rFonts w:ascii="Times New Roman" w:eastAsia="Times New Roman" w:hAnsi="Times New Roman" w:cs="Times New Roman"/>
          <w:sz w:val="27"/>
          <w:szCs w:val="27"/>
        </w:rPr>
        <w:t>2050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年碳中和绿色增长战略》，明确了</w:t>
      </w:r>
      <w:r>
        <w:rPr>
          <w:rFonts w:ascii="FangSong" w:eastAsia="FangSong" w:hAnsi="FangSong" w:cs="FangSong"/>
          <w:spacing w:val="-90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“</w:t>
      </w:r>
      <w:r>
        <w:rPr>
          <w:rFonts w:ascii="Times New Roman" w:eastAsia="Times New Roman" w:hAnsi="Times New Roman" w:cs="Times New Roman"/>
          <w:sz w:val="27"/>
          <w:szCs w:val="27"/>
        </w:rPr>
        <w:t>2050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年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日本实现净零排放”</w:t>
      </w:r>
      <w:r>
        <w:rPr>
          <w:rFonts w:ascii="FangSong" w:eastAsia="FangSong" w:hAnsi="FangSong" w:cs="FangSong"/>
          <w:spacing w:val="-9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的碳中和目标，</w:t>
      </w:r>
      <w:r>
        <w:rPr>
          <w:rFonts w:ascii="FangSong" w:eastAsia="FangSong" w:hAnsi="FangSong" w:cs="FangSong"/>
          <w:spacing w:val="7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基于预算、税制、金融、</w:t>
      </w:r>
      <w:r>
        <w:rPr>
          <w:rFonts w:ascii="FangSong" w:eastAsia="FangSong" w:hAnsi="FangSong" w:cs="FangSong"/>
          <w:spacing w:val="7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监</w:t>
      </w:r>
      <w:r>
        <w:rPr>
          <w:rFonts w:ascii="FangSong" w:eastAsia="FangSong" w:hAnsi="FangSong" w:cs="FangSong"/>
          <w:spacing w:val="-7"/>
          <w:sz w:val="27"/>
          <w:szCs w:val="27"/>
        </w:rPr>
        <w:t>管、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国际合作</w:t>
      </w:r>
      <w:r>
        <w:rPr>
          <w:rFonts w:ascii="FangSong" w:eastAsia="FangSong" w:hAnsi="FangSong" w:cs="FangSong"/>
          <w:spacing w:val="-3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spacing w:val="3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个政策工具，将在海上风电、</w:t>
      </w:r>
      <w:r>
        <w:rPr>
          <w:rFonts w:ascii="FangSong" w:eastAsia="FangSong" w:hAnsi="FangSong" w:cs="FangSong"/>
          <w:spacing w:val="-7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电动汽车、氢能等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14</w:t>
      </w:r>
      <w:r>
        <w:rPr>
          <w:rFonts w:ascii="Times New Roman" w:eastAsia="Times New Roman" w:hAnsi="Times New Roman" w:cs="Times New Roman"/>
          <w:spacing w:val="3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个重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点领域推进减排，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提出了具体的发展目标和重点任务。半导体和通信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行业作为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14</w:t>
      </w:r>
      <w:r>
        <w:rPr>
          <w:rFonts w:ascii="Times New Roman" w:eastAsia="Times New Roman" w:hAnsi="Times New Roman" w:cs="Times New Roman"/>
          <w:spacing w:val="43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个重点领域之一，主要包括两个方面的</w:t>
      </w:r>
      <w:r>
        <w:rPr>
          <w:rFonts w:ascii="FangSong" w:eastAsia="FangSong" w:hAnsi="FangSong" w:cs="FangSong"/>
          <w:spacing w:val="2"/>
          <w:sz w:val="27"/>
          <w:szCs w:val="27"/>
        </w:rPr>
        <w:t>内容：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一是利用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数字化提高能源消费的效率和减少二氧化碳</w:t>
      </w:r>
      <w:r>
        <w:rPr>
          <w:rFonts w:ascii="FangSong" w:eastAsia="FangSong" w:hAnsi="FangSong" w:cs="FangSong"/>
          <w:spacing w:val="6"/>
          <w:sz w:val="27"/>
          <w:szCs w:val="27"/>
        </w:rPr>
        <w:t>排放；二是数字设备和信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息通信自身的节能和环保，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2030</w:t>
      </w:r>
      <w:r>
        <w:rPr>
          <w:rFonts w:ascii="Times New Roman" w:eastAsia="Times New Roman" w:hAnsi="Times New Roman" w:cs="Times New Roman"/>
          <w:spacing w:val="8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年所有新建数据中心节能</w:t>
      </w:r>
      <w:r>
        <w:rPr>
          <w:rFonts w:ascii="FangSong" w:eastAsia="FangSong" w:hAnsi="FangSong" w:cs="FangSong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30%</w:t>
      </w:r>
      <w:r>
        <w:rPr>
          <w:rFonts w:ascii="FangSong" w:eastAsia="FangSong" w:hAnsi="FangSong" w:cs="FangSong"/>
          <w:spacing w:val="5"/>
          <w:sz w:val="27"/>
          <w:szCs w:val="27"/>
        </w:rPr>
        <w:t>。</w:t>
      </w:r>
      <w:r>
        <w:rPr>
          <w:rFonts w:ascii="FangSong" w:eastAsia="FangSong" w:hAnsi="FangSong" w:cs="FangSong"/>
          <w:spacing w:val="-6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时还提到要加快制定制造业、企业和区域的</w:t>
      </w:r>
      <w:r>
        <w:rPr>
          <w:rFonts w:ascii="FangSong" w:eastAsia="FangSong" w:hAnsi="FangSong" w:cs="FangSong"/>
          <w:spacing w:val="6"/>
          <w:sz w:val="27"/>
          <w:szCs w:val="27"/>
        </w:rPr>
        <w:t>数字化方案，推进利用数</w:t>
      </w:r>
    </w:p>
    <w:p>
      <w:pPr>
        <w:spacing w:line="226" w:lineRule="auto"/>
        <w:ind w:left="58"/>
        <w:rPr>
          <w:rFonts w:ascii="SimHei" w:eastAsia="SimHei" w:hAnsi="SimHei" w:cs="SimHei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字技术促进地区二氧化碳减排示范。</w:t>
      </w:r>
      <w:r>
        <w:rPr>
          <w:rFonts w:ascii="SimHei" w:eastAsia="SimHei" w:hAnsi="SimHei" w:cs="SimHei"/>
          <w:spacing w:val="6"/>
          <w:sz w:val="27"/>
          <w:szCs w:val="27"/>
        </w:rPr>
        <w:t>二是完善公共采购、法规、标准</w:t>
      </w:r>
    </w:p>
    <w:p>
      <w:pPr>
        <w:spacing w:line="226" w:lineRule="auto"/>
        <w:rPr>
          <w:rFonts w:ascii="SimHei" w:eastAsia="SimHei" w:hAnsi="SimHei" w:cs="SimHei"/>
          <w:sz w:val="27"/>
          <w:szCs w:val="27"/>
        </w:rPr>
        <w:sectPr>
          <w:headerReference w:type="default" r:id="rId31"/>
          <w:footerReference w:type="default" r:id="rId32"/>
          <w:type w:val="nextPage"/>
          <w:pgSz w:w="11909" w:h="16839"/>
          <w:pgMar w:top="1118" w:right="1717" w:bottom="1153" w:left="1766" w:header="875" w:footer="988" w:gutter="0"/>
          <w:pgNumType w:start="17"/>
          <w:cols w:space="708"/>
          <w:titlePg w:val="0"/>
        </w:sectPr>
      </w:pPr>
    </w:p>
    <w:p>
      <w:pPr>
        <w:pStyle w:val="BodyText"/>
        <w:spacing w:line="398" w:lineRule="auto"/>
      </w:pPr>
    </w:p>
    <w:p>
      <w:pPr>
        <w:spacing w:before="88" w:line="427" w:lineRule="auto"/>
        <w:ind w:left="39" w:firstLine="1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-1"/>
          <w:sz w:val="27"/>
          <w:szCs w:val="27"/>
        </w:rPr>
        <w:t>化等扩大需求引导。</w:t>
      </w:r>
      <w:r>
        <w:rPr>
          <w:rFonts w:ascii="SimHei" w:eastAsia="SimHei" w:hAnsi="SimHei" w:cs="SimHei"/>
          <w:spacing w:val="5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利用数字技术积极发展碳交易市</w:t>
      </w:r>
      <w:r>
        <w:rPr>
          <w:rFonts w:ascii="FangSong" w:eastAsia="FangSong" w:hAnsi="FangSong" w:cs="FangSong"/>
          <w:spacing w:val="-2"/>
          <w:sz w:val="27"/>
          <w:szCs w:val="27"/>
        </w:rPr>
        <w:t>场，</w:t>
      </w:r>
      <w:r>
        <w:rPr>
          <w:rFonts w:ascii="FangSong" w:eastAsia="FangSong" w:hAnsi="FangSong" w:cs="FangSong"/>
          <w:spacing w:val="-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促进汽车、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半导体等行业采购无碳电源。统一《道路运输法》《高压气体安全法》</w:t>
      </w:r>
      <w:r>
        <w:rPr>
          <w:rFonts w:ascii="FangSong" w:eastAsia="FangSong" w:hAnsi="FangSong" w:cs="FangSong"/>
          <w:spacing w:val="1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等相关法规，</w:t>
      </w:r>
      <w:r>
        <w:rPr>
          <w:rFonts w:ascii="FangSong" w:eastAsia="FangSong" w:hAnsi="FangSong" w:cs="FangSong"/>
          <w:spacing w:val="-2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促进电动汽车、氢能汽车普及，并基于此促进网联汽车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加速发展。推进下一代太阳能电池性能评估</w:t>
      </w:r>
      <w:r>
        <w:rPr>
          <w:rFonts w:ascii="FangSong" w:eastAsia="FangSong" w:hAnsi="FangSong" w:cs="FangSong"/>
          <w:spacing w:val="6"/>
          <w:sz w:val="27"/>
          <w:szCs w:val="27"/>
        </w:rPr>
        <w:t>系统等相关技术标准国际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化，</w:t>
      </w:r>
      <w:r>
        <w:rPr>
          <w:rFonts w:ascii="FangSong" w:eastAsia="FangSong" w:hAnsi="FangSong" w:cs="FangSong"/>
          <w:spacing w:val="-32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为国内碳中和技术、产品争取国际市场。</w:t>
      </w:r>
      <w:r>
        <w:rPr>
          <w:rFonts w:ascii="FangSong" w:eastAsia="FangSong" w:hAnsi="FangSong" w:cs="FangSong"/>
          <w:spacing w:val="-38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三是引导在日企业夯实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"/>
          <w:sz w:val="27"/>
          <w:szCs w:val="27"/>
        </w:rPr>
        <w:t>数字产业基础，发挥技术和生产方面的核心作用。</w:t>
      </w:r>
      <w:r>
        <w:rPr>
          <w:rFonts w:ascii="SimHei" w:eastAsia="SimHei" w:hAnsi="SimHei" w:cs="SimHei"/>
          <w:spacing w:val="4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2021</w:t>
      </w:r>
      <w:r>
        <w:rPr>
          <w:rFonts w:ascii="Times New Roman" w:eastAsia="Times New Roman" w:hAnsi="Times New Roman" w:cs="Times New Roman"/>
          <w:spacing w:val="5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年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6  </w:t>
      </w:r>
      <w:r>
        <w:rPr>
          <w:rFonts w:ascii="FangSong" w:eastAsia="FangSong" w:hAnsi="FangSong" w:cs="FangSong"/>
          <w:sz w:val="27"/>
          <w:szCs w:val="27"/>
        </w:rPr>
        <w:t>月日本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经济产业省首次发布</w:t>
      </w:r>
      <w:r>
        <w:rPr>
          <w:rFonts w:ascii="SimHei" w:eastAsia="SimHei" w:hAnsi="SimHei" w:cs="SimHei"/>
          <w:spacing w:val="7"/>
          <w:sz w:val="27"/>
          <w:szCs w:val="27"/>
        </w:rPr>
        <w:t>《</w:t>
      </w:r>
      <w:r>
        <w:rPr>
          <w:rFonts w:ascii="FangSong" w:eastAsia="FangSong" w:hAnsi="FangSong" w:cs="FangSong"/>
          <w:spacing w:val="7"/>
          <w:sz w:val="27"/>
          <w:szCs w:val="27"/>
        </w:rPr>
        <w:t>半导体数字产业战略</w:t>
      </w:r>
      <w:r>
        <w:rPr>
          <w:rFonts w:ascii="FangSong" w:eastAsia="FangSong" w:hAnsi="FangSong" w:cs="FangSong"/>
          <w:spacing w:val="6"/>
          <w:sz w:val="27"/>
          <w:szCs w:val="27"/>
        </w:rPr>
        <w:t>》，从半导体、数字基础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设施、数字产业三个维度提出了总体和细分</w:t>
      </w:r>
      <w:r>
        <w:rPr>
          <w:rFonts w:ascii="FangSong" w:eastAsia="FangSong" w:hAnsi="FangSong" w:cs="FangSong"/>
          <w:spacing w:val="6"/>
          <w:sz w:val="27"/>
          <w:szCs w:val="27"/>
        </w:rPr>
        <w:t>领域的战略目标以及施策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方向，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夯实基础提升话语权，确保经济与环境共优，同步推进数字化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和绿色技术。</w:t>
      </w:r>
      <w:r>
        <w:rPr>
          <w:rFonts w:ascii="FangSong" w:eastAsia="FangSong" w:hAnsi="FangSong" w:cs="FangSong"/>
          <w:spacing w:val="5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在半导体领域，</w:t>
      </w:r>
      <w:r>
        <w:rPr>
          <w:rFonts w:ascii="FangSong" w:eastAsia="FangSong" w:hAnsi="FangSong" w:cs="FangSong"/>
          <w:spacing w:val="-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支持数字化和绿色投资的设计开发，</w:t>
      </w:r>
      <w:r>
        <w:rPr>
          <w:rFonts w:ascii="FangSong" w:eastAsia="FangSong" w:hAnsi="FangSong" w:cs="FangSong"/>
          <w:spacing w:val="-4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推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进半导体技术的绿色革新；在数字基础设施领域，</w:t>
      </w:r>
      <w:r>
        <w:rPr>
          <w:rFonts w:ascii="FangSong" w:eastAsia="FangSong" w:hAnsi="FangSong" w:cs="FangSong"/>
          <w:spacing w:val="-2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sz w:val="27"/>
          <w:szCs w:val="27"/>
        </w:rPr>
        <w:t>建设绿色数据中心，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推广使用可再生能源发电，降低数字化转型</w:t>
      </w:r>
      <w:r>
        <w:rPr>
          <w:rFonts w:ascii="FangSong" w:eastAsia="FangSong" w:hAnsi="FangSong" w:cs="FangSong"/>
          <w:spacing w:val="6"/>
          <w:sz w:val="27"/>
          <w:szCs w:val="27"/>
        </w:rPr>
        <w:t>带来的能源消耗；在数字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产业领域，</w:t>
      </w:r>
      <w:r>
        <w:rPr>
          <w:rFonts w:ascii="FangSong" w:eastAsia="FangSong" w:hAnsi="FangSong" w:cs="FangSong"/>
          <w:spacing w:val="8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绿色政策和能源政策融合实施，</w:t>
      </w:r>
      <w:r>
        <w:rPr>
          <w:rFonts w:ascii="FangSong" w:eastAsia="FangSong" w:hAnsi="FangSong" w:cs="FangSong"/>
          <w:spacing w:val="5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加强“数字×绿色”项目</w:t>
      </w:r>
    </w:p>
    <w:p>
      <w:pPr>
        <w:spacing w:line="223" w:lineRule="auto"/>
        <w:ind w:left="4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8"/>
          <w:sz w:val="27"/>
          <w:szCs w:val="27"/>
        </w:rPr>
        <w:t>管理，统筹管理推动碳中和的数字技术成果。</w:t>
      </w:r>
    </w:p>
    <w:p>
      <w:pPr>
        <w:spacing w:before="337" w:line="222" w:lineRule="auto"/>
        <w:ind w:left="687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三、数字技术将在工业领域持续释放降碳潜能</w:t>
      </w:r>
    </w:p>
    <w:p>
      <w:pPr>
        <w:spacing w:before="298" w:line="218" w:lineRule="auto"/>
        <w:ind w:left="687"/>
        <w:rPr>
          <w:rFonts w:ascii="KaiTi" w:eastAsia="KaiTi" w:hAnsi="KaiTi" w:cs="KaiTi"/>
          <w:sz w:val="31"/>
          <w:szCs w:val="31"/>
        </w:rPr>
      </w:pPr>
      <w:bookmarkStart w:id="7" w:name="bookmark8"/>
      <w:bookmarkEnd w:id="7"/>
      <w:bookmarkStart w:id="8" w:name="bookmark9"/>
      <w:bookmarkEnd w:id="8"/>
      <w:r>
        <w:rPr>
          <w:rFonts w:ascii="KaiTi" w:eastAsia="KaiTi" w:hAnsi="KaiTi" w:cs="KaiTi"/>
          <w:spacing w:val="15"/>
          <w:sz w:val="31"/>
          <w:szCs w:val="31"/>
          <w14:textOutline w14:w="5613">
            <w14:solidFill>
              <w14:srgbClr w14:val="000000"/>
            </w14:solidFill>
            <w14:prstDash w14:val="solid"/>
            <w14:miter w14:lim="10"/>
          </w14:textOutline>
        </w:rPr>
        <w:t>（一）数字技术助力碳减排科学内涵和思路框架</w:t>
      </w:r>
    </w:p>
    <w:p>
      <w:pPr>
        <w:pStyle w:val="BodyText"/>
        <w:spacing w:line="245" w:lineRule="auto"/>
      </w:pPr>
    </w:p>
    <w:p>
      <w:pPr>
        <w:spacing w:before="88" w:line="427" w:lineRule="auto"/>
        <w:ind w:left="36" w:right="11" w:firstLine="564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SimHei" w:eastAsia="SimHei" w:hAnsi="SimHei" w:cs="SimHei"/>
          <w:spacing w:val="9"/>
          <w:sz w:val="27"/>
          <w:szCs w:val="27"/>
        </w:rPr>
        <w:t>数字技术助力减少碳排放</w:t>
      </w:r>
      <w:r>
        <w:rPr>
          <w:rFonts w:ascii="FangSong" w:eastAsia="FangSong" w:hAnsi="FangSong" w:cs="FangSong"/>
          <w:spacing w:val="9"/>
          <w:sz w:val="27"/>
          <w:szCs w:val="27"/>
        </w:rPr>
        <w:t>，是指以</w:t>
      </w:r>
      <w:r>
        <w:rPr>
          <w:rFonts w:ascii="FangSong" w:eastAsia="FangSong" w:hAnsi="FangSong" w:cs="FangSong"/>
          <w:color w:val="333333"/>
          <w:spacing w:val="9"/>
          <w:sz w:val="27"/>
          <w:szCs w:val="27"/>
        </w:rPr>
        <w:t>数据资源</w:t>
      </w:r>
      <w:r>
        <w:rPr>
          <w:rFonts w:ascii="FangSong" w:eastAsia="FangSong" w:hAnsi="FangSong" w:cs="FangSong"/>
          <w:spacing w:val="9"/>
          <w:sz w:val="27"/>
          <w:szCs w:val="27"/>
        </w:rPr>
        <w:t>作为关键生产要素，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以现代信息网络为重要载体，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以新型通信技术融合应用、全要素数字</w:t>
      </w:r>
      <w:r>
        <w:rPr>
          <w:rFonts w:ascii="FangSong" w:eastAsia="FangSong" w:hAnsi="FangSong" w:cs="FangSong"/>
          <w:spacing w:val="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化转型为重要推动力，</w:t>
      </w:r>
      <w:r>
        <w:rPr>
          <w:rFonts w:ascii="FangSong" w:eastAsia="FangSong" w:hAnsi="FangSong" w:cs="FangSong"/>
          <w:spacing w:val="7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以碳达峰碳中和为重要目标，</w:t>
      </w:r>
      <w:r>
        <w:rPr>
          <w:rFonts w:ascii="FangSong" w:eastAsia="FangSong" w:hAnsi="FangSong" w:cs="FangSong"/>
          <w:spacing w:val="7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7"/>
          <w:sz w:val="27"/>
          <w:szCs w:val="27"/>
        </w:rPr>
        <w:t>以减</w:t>
      </w:r>
      <w:r>
        <w:rPr>
          <w:rFonts w:ascii="FangSong" w:eastAsia="FangSong" w:hAnsi="FangSong" w:cs="FangSong"/>
          <w:spacing w:val="-8"/>
          <w:sz w:val="27"/>
          <w:szCs w:val="27"/>
        </w:rPr>
        <w:t>污降碳扩绿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7"/>
          <w:sz w:val="27"/>
          <w:szCs w:val="27"/>
        </w:rPr>
        <w:t>增长为重要抓手，提升能源效率、资源效率、环保</w:t>
      </w:r>
      <w:r>
        <w:rPr>
          <w:rFonts w:ascii="FangSong" w:eastAsia="FangSong" w:hAnsi="FangSong" w:cs="FangSong"/>
          <w:spacing w:val="6"/>
          <w:sz w:val="27"/>
          <w:szCs w:val="27"/>
        </w:rPr>
        <w:t>效率和生产效率的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同时减少碳排放，</w:t>
      </w:r>
      <w:r>
        <w:rPr>
          <w:rFonts w:ascii="FangSong" w:eastAsia="FangSong" w:hAnsi="FangSong" w:cs="FangSong"/>
          <w:spacing w:val="5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推动新业态、新商业模式、新产业加快发展，</w:t>
      </w:r>
      <w:r>
        <w:rPr>
          <w:rFonts w:ascii="FangSong" w:eastAsia="FangSong" w:hAnsi="FangSong" w:cs="FangSong"/>
          <w:spacing w:val="5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促进</w:t>
      </w:r>
      <w:r>
        <w:rPr>
          <w:rFonts w:ascii="FangSong" w:eastAsia="FangSong" w:hAnsi="FangSong" w:cs="FangSong"/>
          <w:sz w:val="27"/>
          <w:szCs w:val="27"/>
        </w:rPr>
        <w:br/>
      </w:r>
      <w:r>
        <w:rPr>
          <w:rFonts w:ascii="FangSong" w:eastAsia="FangSong" w:hAnsi="FangSong" w:cs="FangSong"/>
          <w:sz w:val="27"/>
          <w:szCs w:val="2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https://d.book118.com/756233020021010050</w:t>
        </w:r>
      </w:hyperlink>
    </w:p>
    <w:p>
      <w:pPr>
        <w:spacing w:before="88" w:line="427" w:lineRule="auto"/>
        <w:ind w:left="36" w:right="11" w:firstLine="564"/>
        <w:jc w:val="both"/>
        <w:rPr>
          <w:rFonts w:ascii="FangSong" w:eastAsia="FangSong" w:hAnsi="FangSong" w:cs="FangSong"/>
          <w:sz w:val="27"/>
          <w:szCs w:val="27"/>
        </w:rPr>
      </w:pPr>
    </w:p>
    <w:sectPr>
      <w:headerReference w:type="default" r:id="rId34"/>
      <w:footerReference w:type="default" r:id="rId35"/>
      <w:pgSz w:w="11909" w:h="16839"/>
      <w:pgMar w:top="1118" w:right="1717" w:bottom="1152" w:left="1766" w:header="875" w:footer="988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5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5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4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4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4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4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4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4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4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4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4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414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40" cy="1069022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0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40" cy="10690224"/>
          <wp:effectExtent l="0" t="0" r="0" b="0"/>
          <wp:wrapNone/>
          <wp:docPr id="94630251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30251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02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6" w:lineRule="auto"/>
      <w:rPr>
        <w:sz w:val="2"/>
      </w:rPr>
    </w:pPr>
    <w:r>
      <w:pict>
        <v:rect id="_x0000_s2049" style="width:418.6pt;height:0.75pt;margin-top:114.72pt;margin-left:88.32pt;mso-position-horizontal-relative:page;mso-position-vertical-relative:page;position:absolute;z-index:251660288" o:allowincell="f" filled="t" fillcolor="gray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71661884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661884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74695611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695611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70792169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92169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212407738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07738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26623213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623213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2953"/>
      <w:rPr>
        <w:rFonts w:ascii="SimSun" w:eastAsia="SimSun" w:hAnsi="SimSun" w:cs="SimSun"/>
        <w:sz w:val="18"/>
        <w:szCs w:val="18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1121663</wp:posOffset>
          </wp:positionH>
          <wp:positionV relativeFrom="page">
            <wp:posOffset>701040</wp:posOffset>
          </wp:positionV>
          <wp:extent cx="5315711" cy="9143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5711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2"/>
        <w:sz w:val="18"/>
        <w:szCs w:val="18"/>
      </w:rPr>
      <w:t>数字碳中和 工业篇（</w:t>
    </w:r>
    <w:r>
      <w:rPr>
        <w:rFonts w:ascii="Calibri" w:eastAsia="Calibri" w:hAnsi="Calibri" w:cs="Calibri"/>
        <w:spacing w:val="-2"/>
        <w:sz w:val="18"/>
        <w:szCs w:val="18"/>
      </w:rPr>
      <w:t>2024</w:t>
    </w:r>
    <w:r>
      <w:rPr>
        <w:rFonts w:ascii="Calibri" w:eastAsia="Calibri" w:hAnsi="Calibri" w:cs="Calibri"/>
        <w:spacing w:val="25"/>
        <w:sz w:val="18"/>
        <w:szCs w:val="18"/>
      </w:rPr>
      <w:t xml:space="preserve"> </w:t>
    </w:r>
    <w:r>
      <w:rPr>
        <w:rFonts w:ascii="SimSun" w:eastAsia="SimSun" w:hAnsi="SimSun" w:cs="SimSun"/>
        <w:spacing w:val="-2"/>
        <w:sz w:val="18"/>
        <w:szCs w:val="18"/>
      </w:rPr>
      <w:t>年）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footer" Target="footer1.xml" /><Relationship Id="rId13" Type="http://schemas.openxmlformats.org/officeDocument/2006/relationships/header" Target="header8.xml" /><Relationship Id="rId14" Type="http://schemas.openxmlformats.org/officeDocument/2006/relationships/footer" Target="footer2.xml" /><Relationship Id="rId15" Type="http://schemas.openxmlformats.org/officeDocument/2006/relationships/header" Target="header9.xml" /><Relationship Id="rId16" Type="http://schemas.openxmlformats.org/officeDocument/2006/relationships/footer" Target="footer3.xml" /><Relationship Id="rId17" Type="http://schemas.openxmlformats.org/officeDocument/2006/relationships/header" Target="header10.xml" /><Relationship Id="rId18" Type="http://schemas.openxmlformats.org/officeDocument/2006/relationships/footer" Target="footer4.xm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12.xml" /><Relationship Id="rId22" Type="http://schemas.openxmlformats.org/officeDocument/2006/relationships/footer" Target="footer6.xml" /><Relationship Id="rId23" Type="http://schemas.openxmlformats.org/officeDocument/2006/relationships/header" Target="header13.xml" /><Relationship Id="rId24" Type="http://schemas.openxmlformats.org/officeDocument/2006/relationships/footer" Target="footer7.xml" /><Relationship Id="rId25" Type="http://schemas.openxmlformats.org/officeDocument/2006/relationships/header" Target="header14.xml" /><Relationship Id="rId26" Type="http://schemas.openxmlformats.org/officeDocument/2006/relationships/footer" Target="footer8.xml" /><Relationship Id="rId27" Type="http://schemas.openxmlformats.org/officeDocument/2006/relationships/header" Target="header15.xml" /><Relationship Id="rId28" Type="http://schemas.openxmlformats.org/officeDocument/2006/relationships/footer" Target="footer9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7.xml" /><Relationship Id="rId32" Type="http://schemas.openxmlformats.org/officeDocument/2006/relationships/footer" Target="footer11.xml" /><Relationship Id="rId33" Type="http://schemas.openxmlformats.org/officeDocument/2006/relationships/hyperlink" Target="https://d.book118.com/756233020021010050" TargetMode="Externa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2024-02-16T17:57:37Z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2024-02-16T18:07:15Z</vt:filetime>
  </property>
  <property fmtid="{D5CDD505-2E9C-101B-9397-08002B2CF9AE}" pid="3" name="CRO">
    <vt:lpwstr>wqlLaW5nc29mdCBQREYgdG8gV1BTIDkw</vt:lpwstr>
  </property>
</Properties>
</file>