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embeddings/Microsoft_Excel_Worksheet1.xlsx" ContentType="application/vnd.openxmlformats-officedocument.spreadsheetml.shee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ink/ink1.xml" ContentType="application/inkml+xml"/>
  <Override PartName="/word/ink/ink2.xml" ContentType="application/inkml+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Style w:val="1"/>
          <w:sz w:val="32"/>
          <w:szCs w:val="32"/>
          <w:lang w:eastAsia="zh-CN"/>
        </w:rPr>
      </w:pPr>
      <w:bookmarkStart w:id="0" w:name="_Toc1396"/>
      <w:bookmarkStart w:id="1" w:name="_Toc25860"/>
      <w:bookmarkStart w:id="2" w:name="_Toc2085"/>
      <w:r>
        <w:rPr>
          <w:rStyle w:val="1"/>
          <w:rFonts w:hint="eastAsia"/>
          <w:sz w:val="32"/>
          <w:szCs w:val="32"/>
          <w:lang w:eastAsia="zh-CN"/>
        </w:rPr>
        <w:t>基于</w:t>
      </w:r>
      <w:r>
        <w:rPr>
          <w:rStyle w:val="1"/>
          <w:sz w:val="32"/>
          <w:szCs w:val="32"/>
          <w:lang w:eastAsia="zh-CN"/>
        </w:rPr>
        <w:t>农业价值链</w:t>
      </w:r>
      <w:r>
        <w:rPr>
          <w:rStyle w:val="1"/>
          <w:rFonts w:hint="eastAsia"/>
          <w:sz w:val="32"/>
          <w:szCs w:val="32"/>
          <w:lang w:eastAsia="zh-CN"/>
        </w:rPr>
        <w:t>的</w:t>
      </w:r>
      <w:r>
        <w:rPr>
          <w:rStyle w:val="1"/>
          <w:sz w:val="32"/>
          <w:szCs w:val="32"/>
          <w:lang w:eastAsia="zh-CN"/>
        </w:rPr>
        <w:t>金融</w:t>
      </w:r>
      <w:r>
        <w:rPr>
          <w:rStyle w:val="1"/>
          <w:rFonts w:hint="eastAsia"/>
          <w:sz w:val="32"/>
          <w:szCs w:val="32"/>
          <w:lang w:eastAsia="zh-CN"/>
        </w:rPr>
        <w:t>发展模式分析</w:t>
      </w:r>
    </w:p>
    <w:bookmarkEnd w:id="0"/>
    <w:bookmarkEnd w:id="1"/>
    <w:bookmarkEnd w:id="2"/>
    <w:p>
      <w:pPr>
        <w:jc w:val="center"/>
        <w:rPr>
          <w:rFonts w:eastAsiaTheme="minorEastAsia"/>
          <w:lang w:eastAsia="zh-CN"/>
        </w:rPr>
      </w:pPr>
      <w:bookmarkStart w:id="3" w:name="_Toc22315"/>
      <w:r>
        <w:rPr>
          <w:rStyle w:val="1"/>
          <w:lang w:eastAsia="zh-CN"/>
        </w:rPr>
        <w:t>目录</w:t>
      </w:r>
      <w:bookmarkEnd w:id="3"/>
      <w:r>
        <w:rPr>
          <w:rFonts w:eastAsiaTheme="minorEastAsia"/>
          <w:lang w:eastAsia="zh-CN"/>
        </w:rPr>
        <w:fldChar w:fldCharType="begin"/>
      </w:r>
      <w:r>
        <w:rPr>
          <w:rFonts w:eastAsiaTheme="minorEastAsia"/>
          <w:lang w:eastAsia="zh-CN"/>
        </w:rPr>
        <w:instrText xml:space="preserve">TOC \o "1-4" \h \u </w:instrText>
      </w:r>
      <w:r>
        <w:rPr>
          <w:rFonts w:eastAsiaTheme="minorEastAsia"/>
          <w:lang w:eastAsia="zh-CN"/>
        </w:rPr>
        <w:fldChar w:fldCharType="separate"/>
      </w:r>
    </w:p>
    <w:p>
      <w:pPr>
        <w:pStyle w:val="TOC1"/>
        <w:tabs>
          <w:tab w:val="right" w:leader="dot" w:pos="8306"/>
        </w:tabs>
      </w:pPr>
      <w:bookmarkStart w:id="4" w:name="_GoBack"/>
      <w:bookmarkEnd w:id="4"/>
      <w:hyperlink w:anchor="_Toc5014" w:history="1">
        <w:r>
          <w:rPr>
            <w:rFonts w:ascii="宋体" w:eastAsia="宋体" w:hAnsi="宋体" w:cs="宋体" w:hint="eastAsia"/>
            <w:lang w:val="en-US" w:eastAsia="zh-CN"/>
          </w:rPr>
          <w:t xml:space="preserve">一、 </w:t>
        </w:r>
        <w:r>
          <w:rPr>
            <w:rFonts w:hint="eastAsia"/>
            <w:lang w:val="en-US" w:eastAsia="zh-CN"/>
          </w:rPr>
          <w:t>引言</w:t>
        </w:r>
        <w:r>
          <w:tab/>
        </w:r>
        <w:r>
          <w:fldChar w:fldCharType="begin"/>
        </w:r>
        <w:r>
          <w:instrText xml:space="preserve"> PAGEREF _Toc5014 \h </w:instrText>
        </w:r>
        <w:r>
          <w:fldChar w:fldCharType="separate"/>
        </w:r>
        <w:r>
          <w:t>1</w:t>
        </w:r>
        <w:r>
          <w:fldChar w:fldCharType="end"/>
        </w:r>
      </w:hyperlink>
    </w:p>
    <w:p>
      <w:pPr>
        <w:pStyle w:val="TOC1"/>
        <w:tabs>
          <w:tab w:val="right" w:leader="dot" w:pos="8306"/>
        </w:tabs>
      </w:pPr>
      <w:hyperlink w:anchor="_Toc6490" w:history="1">
        <w:r>
          <w:rPr>
            <w:rFonts w:ascii="宋体" w:eastAsia="宋体" w:hAnsi="宋体" w:cs="宋体" w:hint="eastAsia"/>
            <w:lang w:val="en-US" w:eastAsia="zh-CN"/>
          </w:rPr>
          <w:t xml:space="preserve">二、 </w:t>
        </w:r>
        <w:r>
          <w:rPr>
            <w:rFonts w:hint="eastAsia"/>
            <w:lang w:val="en-US" w:eastAsia="zh-CN"/>
          </w:rPr>
          <w:t>文献综述</w:t>
        </w:r>
        <w:r>
          <w:tab/>
        </w:r>
        <w:r>
          <w:fldChar w:fldCharType="begin"/>
        </w:r>
        <w:r>
          <w:instrText xml:space="preserve"> PAGEREF _Toc6490 \h </w:instrText>
        </w:r>
        <w:r>
          <w:fldChar w:fldCharType="separate"/>
        </w:r>
        <w:r>
          <w:t>5</w:t>
        </w:r>
        <w:r>
          <w:fldChar w:fldCharType="end"/>
        </w:r>
      </w:hyperlink>
    </w:p>
    <w:p>
      <w:pPr>
        <w:pStyle w:val="TOC2"/>
        <w:tabs>
          <w:tab w:val="right" w:leader="dot" w:pos="8306"/>
        </w:tabs>
      </w:pPr>
      <w:hyperlink w:anchor="_Toc22677" w:history="1">
        <w:r>
          <w:rPr>
            <w:rFonts w:ascii="宋体" w:eastAsia="宋体" w:hAnsi="宋体" w:cs="宋体" w:hint="eastAsia"/>
            <w:lang w:eastAsia="zh-CN"/>
          </w:rPr>
          <w:t xml:space="preserve">(一) </w:t>
        </w:r>
        <w:r>
          <w:rPr>
            <w:rFonts w:hint="eastAsia"/>
            <w:lang w:eastAsia="zh-CN"/>
          </w:rPr>
          <w:t>国外农业价值链金融模式研究</w:t>
        </w:r>
        <w:r>
          <w:tab/>
        </w:r>
        <w:r>
          <w:fldChar w:fldCharType="begin"/>
        </w:r>
        <w:r>
          <w:instrText xml:space="preserve"> PAGEREF _Toc22677 \h </w:instrText>
        </w:r>
        <w:r>
          <w:fldChar w:fldCharType="separate"/>
        </w:r>
        <w:r>
          <w:t>5</w:t>
        </w:r>
        <w:r>
          <w:fldChar w:fldCharType="end"/>
        </w:r>
      </w:hyperlink>
    </w:p>
    <w:p>
      <w:pPr>
        <w:pStyle w:val="TOC2"/>
        <w:tabs>
          <w:tab w:val="right" w:leader="dot" w:pos="8306"/>
        </w:tabs>
      </w:pPr>
      <w:hyperlink w:anchor="_Toc19392" w:history="1">
        <w:r>
          <w:rPr>
            <w:rFonts w:ascii="宋体" w:eastAsia="宋体" w:hAnsi="宋体" w:cs="宋体" w:hint="eastAsia"/>
            <w:lang w:eastAsia="zh-CN"/>
          </w:rPr>
          <w:t xml:space="preserve">(二) </w:t>
        </w:r>
        <w:r>
          <w:rPr>
            <w:rFonts w:hint="eastAsia"/>
            <w:lang w:eastAsia="zh-CN"/>
          </w:rPr>
          <w:t>国内农业价值链金融模式研究</w:t>
        </w:r>
        <w:r>
          <w:tab/>
        </w:r>
        <w:r>
          <w:fldChar w:fldCharType="begin"/>
        </w:r>
        <w:r>
          <w:instrText xml:space="preserve"> PAGEREF _Toc19392 \h </w:instrText>
        </w:r>
        <w:r>
          <w:fldChar w:fldCharType="separate"/>
        </w:r>
        <w:r>
          <w:t>5</w:t>
        </w:r>
        <w:r>
          <w:fldChar w:fldCharType="end"/>
        </w:r>
      </w:hyperlink>
    </w:p>
    <w:p>
      <w:pPr>
        <w:pStyle w:val="TOC2"/>
        <w:tabs>
          <w:tab w:val="right" w:leader="dot" w:pos="8306"/>
        </w:tabs>
      </w:pPr>
      <w:hyperlink w:anchor="_Toc14421" w:history="1">
        <w:r>
          <w:rPr>
            <w:rFonts w:ascii="宋体" w:eastAsia="宋体" w:hAnsi="宋体" w:cs="宋体" w:hint="eastAsia"/>
            <w:lang w:eastAsia="zh-CN"/>
          </w:rPr>
          <w:t xml:space="preserve">(三) </w:t>
        </w:r>
        <w:r>
          <w:rPr>
            <w:rFonts w:hint="eastAsia"/>
            <w:lang w:val="en-US" w:eastAsia="zh-CN"/>
          </w:rPr>
          <w:t>本章</w:t>
        </w:r>
        <w:r>
          <w:rPr>
            <w:rFonts w:hint="eastAsia"/>
            <w:lang w:eastAsia="zh-CN"/>
          </w:rPr>
          <w:t>小结</w:t>
        </w:r>
        <w:r>
          <w:tab/>
        </w:r>
        <w:r>
          <w:fldChar w:fldCharType="begin"/>
        </w:r>
        <w:r>
          <w:instrText xml:space="preserve"> PAGEREF _Toc14421 \h </w:instrText>
        </w:r>
        <w:r>
          <w:fldChar w:fldCharType="separate"/>
        </w:r>
        <w:r>
          <w:t>7</w:t>
        </w:r>
        <w:r>
          <w:fldChar w:fldCharType="end"/>
        </w:r>
      </w:hyperlink>
    </w:p>
    <w:p>
      <w:pPr>
        <w:pStyle w:val="TOC1"/>
        <w:tabs>
          <w:tab w:val="right" w:leader="dot" w:pos="8306"/>
        </w:tabs>
      </w:pPr>
      <w:hyperlink w:anchor="_Toc22088" w:history="1">
        <w:r>
          <w:rPr>
            <w:rFonts w:ascii="宋体" w:eastAsia="宋体" w:hAnsi="宋体" w:cs="宋体" w:hint="eastAsia"/>
            <w:lang w:val="en-US" w:eastAsia="zh-CN"/>
          </w:rPr>
          <w:t xml:space="preserve">三、 </w:t>
        </w:r>
        <w:r>
          <w:rPr>
            <w:rFonts w:hint="eastAsia"/>
            <w:lang w:val="en-US" w:eastAsia="zh-CN"/>
          </w:rPr>
          <w:t>当前农业价值链金融模式研究</w:t>
        </w:r>
        <w:r>
          <w:tab/>
        </w:r>
        <w:r>
          <w:fldChar w:fldCharType="begin"/>
        </w:r>
        <w:r>
          <w:instrText xml:space="preserve"> PAGEREF _Toc22088 \h </w:instrText>
        </w:r>
        <w:r>
          <w:fldChar w:fldCharType="separate"/>
        </w:r>
        <w:r>
          <w:t>8</w:t>
        </w:r>
        <w:r>
          <w:fldChar w:fldCharType="end"/>
        </w:r>
      </w:hyperlink>
    </w:p>
    <w:p>
      <w:pPr>
        <w:pStyle w:val="TOC2"/>
        <w:tabs>
          <w:tab w:val="right" w:leader="dot" w:pos="8306"/>
        </w:tabs>
      </w:pPr>
      <w:hyperlink w:anchor="_Toc28553" w:history="1">
        <w:r>
          <w:rPr>
            <w:rFonts w:ascii="宋体" w:eastAsia="宋体" w:hAnsi="宋体" w:cs="宋体" w:hint="eastAsia"/>
            <w:lang w:eastAsia="zh-CN"/>
          </w:rPr>
          <w:t xml:space="preserve">(一) </w:t>
        </w:r>
        <w:r>
          <w:rPr>
            <w:rFonts w:hint="eastAsia"/>
            <w:lang w:eastAsia="zh-CN"/>
          </w:rPr>
          <w:t>农业价值链金融模式的经济主体</w:t>
        </w:r>
        <w:r>
          <w:tab/>
        </w:r>
        <w:r>
          <w:fldChar w:fldCharType="begin"/>
        </w:r>
        <w:r>
          <w:instrText xml:space="preserve"> PAGEREF _Toc28553 \h </w:instrText>
        </w:r>
        <w:r>
          <w:fldChar w:fldCharType="separate"/>
        </w:r>
        <w:r>
          <w:t>8</w:t>
        </w:r>
        <w:r>
          <w:fldChar w:fldCharType="end"/>
        </w:r>
      </w:hyperlink>
    </w:p>
    <w:p>
      <w:pPr>
        <w:pStyle w:val="TOC3"/>
        <w:tabs>
          <w:tab w:val="right" w:leader="dot" w:pos="8306"/>
        </w:tabs>
      </w:pPr>
      <w:hyperlink w:anchor="_Toc12264" w:history="1">
        <w:r>
          <w:rPr>
            <w:rFonts w:ascii="宋体" w:eastAsia="宋体" w:hAnsi="宋体" w:cs="宋体" w:hint="eastAsia"/>
            <w:lang w:val="en-US" w:eastAsia="zh-CN"/>
          </w:rPr>
          <w:t xml:space="preserve">1. </w:t>
        </w:r>
        <w:r>
          <w:rPr>
            <w:rFonts w:hint="eastAsia"/>
            <w:lang w:val="en-US" w:eastAsia="zh-CN"/>
          </w:rPr>
          <w:t>金融机构</w:t>
        </w:r>
        <w:r>
          <w:tab/>
        </w:r>
        <w:r>
          <w:fldChar w:fldCharType="begin"/>
        </w:r>
        <w:r>
          <w:instrText xml:space="preserve"> PAGEREF _Toc12264 \h </w:instrText>
        </w:r>
        <w:r>
          <w:fldChar w:fldCharType="separate"/>
        </w:r>
        <w:r>
          <w:t>8</w:t>
        </w:r>
        <w:r>
          <w:fldChar w:fldCharType="end"/>
        </w:r>
      </w:hyperlink>
    </w:p>
    <w:p>
      <w:pPr>
        <w:pStyle w:val="TOC3"/>
        <w:tabs>
          <w:tab w:val="right" w:leader="dot" w:pos="8306"/>
        </w:tabs>
      </w:pPr>
      <w:hyperlink w:anchor="_Toc23066" w:history="1">
        <w:r>
          <w:rPr>
            <w:rFonts w:ascii="宋体" w:eastAsia="宋体" w:hAnsi="宋体" w:cs="宋体" w:hint="eastAsia"/>
            <w:lang w:val="en-US" w:eastAsia="zh-CN"/>
          </w:rPr>
          <w:t xml:space="preserve">2. </w:t>
        </w:r>
        <w:r>
          <w:rPr>
            <w:rFonts w:hint="eastAsia"/>
            <w:lang w:val="en-US" w:eastAsia="zh-CN"/>
          </w:rPr>
          <w:t>龙头企业</w:t>
        </w:r>
        <w:r>
          <w:tab/>
        </w:r>
        <w:r>
          <w:fldChar w:fldCharType="begin"/>
        </w:r>
        <w:r>
          <w:instrText xml:space="preserve"> PAGEREF _Toc23066 \h </w:instrText>
        </w:r>
        <w:r>
          <w:fldChar w:fldCharType="separate"/>
        </w:r>
        <w:r>
          <w:t>10</w:t>
        </w:r>
        <w:r>
          <w:fldChar w:fldCharType="end"/>
        </w:r>
      </w:hyperlink>
    </w:p>
    <w:p>
      <w:pPr>
        <w:pStyle w:val="TOC3"/>
        <w:tabs>
          <w:tab w:val="right" w:leader="dot" w:pos="8306"/>
        </w:tabs>
      </w:pPr>
      <w:hyperlink w:anchor="_Toc10886" w:history="1">
        <w:r>
          <w:rPr>
            <w:rFonts w:ascii="宋体" w:eastAsia="宋体" w:hAnsi="宋体" w:cs="宋体" w:hint="eastAsia"/>
            <w:lang w:val="en-US" w:eastAsia="zh-CN"/>
          </w:rPr>
          <w:t xml:space="preserve">3. </w:t>
        </w:r>
        <w:r>
          <w:rPr>
            <w:rFonts w:hint="eastAsia"/>
            <w:lang w:val="en-US" w:eastAsia="zh-CN"/>
          </w:rPr>
          <w:t>生产性合作社</w:t>
        </w:r>
        <w:r>
          <w:tab/>
        </w:r>
        <w:r>
          <w:fldChar w:fldCharType="begin"/>
        </w:r>
        <w:r>
          <w:instrText xml:space="preserve"> PAGEREF _Toc10886 \h </w:instrText>
        </w:r>
        <w:r>
          <w:fldChar w:fldCharType="separate"/>
        </w:r>
        <w:r>
          <w:t>11</w:t>
        </w:r>
        <w:r>
          <w:fldChar w:fldCharType="end"/>
        </w:r>
      </w:hyperlink>
    </w:p>
    <w:p>
      <w:pPr>
        <w:pStyle w:val="TOC3"/>
        <w:tabs>
          <w:tab w:val="right" w:leader="dot" w:pos="8306"/>
        </w:tabs>
      </w:pPr>
      <w:hyperlink w:anchor="_Toc22893" w:history="1">
        <w:r>
          <w:rPr>
            <w:rFonts w:ascii="宋体" w:eastAsia="宋体" w:hAnsi="宋体" w:cs="宋体" w:hint="eastAsia"/>
            <w:lang w:val="en-US" w:eastAsia="zh-CN"/>
          </w:rPr>
          <w:t xml:space="preserve">4. </w:t>
        </w:r>
        <w:r>
          <w:rPr>
            <w:rFonts w:hint="eastAsia"/>
            <w:lang w:val="en-US" w:eastAsia="zh-CN"/>
          </w:rPr>
          <w:t>大型买方集团</w:t>
        </w:r>
        <w:r>
          <w:tab/>
        </w:r>
        <w:r>
          <w:fldChar w:fldCharType="begin"/>
        </w:r>
        <w:r>
          <w:instrText xml:space="preserve"> PAGEREF _Toc22893 \h </w:instrText>
        </w:r>
        <w:r>
          <w:fldChar w:fldCharType="separate"/>
        </w:r>
        <w:r>
          <w:t>11</w:t>
        </w:r>
        <w:r>
          <w:fldChar w:fldCharType="end"/>
        </w:r>
      </w:hyperlink>
    </w:p>
    <w:p>
      <w:pPr>
        <w:pStyle w:val="TOC3"/>
        <w:tabs>
          <w:tab w:val="right" w:leader="dot" w:pos="8306"/>
        </w:tabs>
      </w:pPr>
      <w:hyperlink w:anchor="_Toc1189" w:history="1">
        <w:r>
          <w:rPr>
            <w:rFonts w:ascii="宋体" w:eastAsia="宋体" w:hAnsi="宋体" w:cs="宋体" w:hint="eastAsia"/>
            <w:lang w:val="en-US" w:eastAsia="zh-CN"/>
          </w:rPr>
          <w:t xml:space="preserve">5. </w:t>
        </w:r>
        <w:r>
          <w:rPr>
            <w:rFonts w:hint="eastAsia"/>
            <w:lang w:val="en-US" w:eastAsia="zh-CN"/>
          </w:rPr>
          <w:t>农户</w:t>
        </w:r>
        <w:r>
          <w:tab/>
        </w:r>
        <w:r>
          <w:fldChar w:fldCharType="begin"/>
        </w:r>
        <w:r>
          <w:instrText xml:space="preserve"> PAGEREF _Toc1189 \h </w:instrText>
        </w:r>
        <w:r>
          <w:fldChar w:fldCharType="separate"/>
        </w:r>
        <w:r>
          <w:t>11</w:t>
        </w:r>
        <w:r>
          <w:fldChar w:fldCharType="end"/>
        </w:r>
      </w:hyperlink>
    </w:p>
    <w:p>
      <w:pPr>
        <w:pStyle w:val="TOC2"/>
        <w:tabs>
          <w:tab w:val="right" w:leader="dot" w:pos="8306"/>
        </w:tabs>
      </w:pPr>
      <w:hyperlink w:anchor="_Toc20964" w:history="1">
        <w:r>
          <w:rPr>
            <w:rFonts w:ascii="宋体" w:eastAsia="宋体" w:hAnsi="宋体" w:cs="宋体" w:hint="eastAsia"/>
            <w:lang w:eastAsia="zh-CN"/>
          </w:rPr>
          <w:t xml:space="preserve">(二) </w:t>
        </w:r>
        <w:r>
          <w:rPr>
            <w:rFonts w:hint="eastAsia"/>
            <w:lang w:eastAsia="zh-CN"/>
          </w:rPr>
          <w:t>当前主流农业价值链金融模式</w:t>
        </w:r>
        <w:r>
          <w:tab/>
        </w:r>
        <w:r>
          <w:fldChar w:fldCharType="begin"/>
        </w:r>
        <w:r>
          <w:instrText xml:space="preserve"> PAGEREF _Toc20964 \h </w:instrText>
        </w:r>
        <w:r>
          <w:fldChar w:fldCharType="separate"/>
        </w:r>
        <w:r>
          <w:t>12</w:t>
        </w:r>
        <w:r>
          <w:fldChar w:fldCharType="end"/>
        </w:r>
      </w:hyperlink>
    </w:p>
    <w:p>
      <w:pPr>
        <w:pStyle w:val="TOC3"/>
        <w:tabs>
          <w:tab w:val="right" w:leader="dot" w:pos="8306"/>
        </w:tabs>
      </w:pPr>
      <w:hyperlink w:anchor="_Toc22884" w:history="1">
        <w:r>
          <w:rPr>
            <w:rFonts w:ascii="宋体" w:eastAsia="宋体" w:hAnsi="宋体" w:cs="宋体" w:hint="eastAsia"/>
            <w:lang w:val="en-US" w:eastAsia="zh-CN"/>
          </w:rPr>
          <w:t xml:space="preserve">1. </w:t>
        </w:r>
        <w:r>
          <w:rPr>
            <w:rFonts w:hint="eastAsia"/>
            <w:lang w:val="en-US" w:eastAsia="zh-CN"/>
          </w:rPr>
          <w:t>龙头企业主导模式</w:t>
        </w:r>
        <w:r>
          <w:tab/>
        </w:r>
        <w:r>
          <w:fldChar w:fldCharType="begin"/>
        </w:r>
        <w:r>
          <w:instrText xml:space="preserve"> PAGEREF _Toc22884 \h </w:instrText>
        </w:r>
        <w:r>
          <w:fldChar w:fldCharType="separate"/>
        </w:r>
        <w:r>
          <w:t>12</w:t>
        </w:r>
        <w:r>
          <w:fldChar w:fldCharType="end"/>
        </w:r>
      </w:hyperlink>
    </w:p>
    <w:p>
      <w:pPr>
        <w:pStyle w:val="TOC3"/>
        <w:tabs>
          <w:tab w:val="right" w:leader="dot" w:pos="8306"/>
        </w:tabs>
      </w:pPr>
      <w:hyperlink w:anchor="_Toc8541" w:history="1">
        <w:r>
          <w:rPr>
            <w:rFonts w:ascii="宋体" w:eastAsia="宋体" w:hAnsi="宋体" w:cs="宋体" w:hint="eastAsia"/>
            <w:lang w:val="en-US" w:eastAsia="zh-CN"/>
          </w:rPr>
          <w:t xml:space="preserve">2. </w:t>
        </w:r>
        <w:r>
          <w:rPr>
            <w:rFonts w:hint="eastAsia"/>
            <w:lang w:val="en-US" w:eastAsia="zh-CN"/>
          </w:rPr>
          <w:t>生产性合作社主导模式</w:t>
        </w:r>
        <w:r>
          <w:tab/>
        </w:r>
        <w:r>
          <w:fldChar w:fldCharType="begin"/>
        </w:r>
        <w:r>
          <w:instrText xml:space="preserve"> PAGEREF _Toc8541 \h </w:instrText>
        </w:r>
        <w:r>
          <w:fldChar w:fldCharType="separate"/>
        </w:r>
        <w:r>
          <w:t>13</w:t>
        </w:r>
        <w:r>
          <w:fldChar w:fldCharType="end"/>
        </w:r>
      </w:hyperlink>
    </w:p>
    <w:p>
      <w:pPr>
        <w:pStyle w:val="TOC3"/>
        <w:tabs>
          <w:tab w:val="right" w:leader="dot" w:pos="8306"/>
        </w:tabs>
      </w:pPr>
      <w:hyperlink w:anchor="_Toc27001" w:history="1">
        <w:r>
          <w:rPr>
            <w:rFonts w:ascii="宋体" w:eastAsia="宋体" w:hAnsi="宋体" w:cs="宋体" w:hint="eastAsia"/>
            <w:lang w:val="en-US" w:eastAsia="zh-CN"/>
          </w:rPr>
          <w:t xml:space="preserve">3. </w:t>
        </w:r>
        <w:r>
          <w:rPr>
            <w:rFonts w:hint="eastAsia"/>
            <w:lang w:val="en-US" w:eastAsia="zh-CN"/>
          </w:rPr>
          <w:t>买方担保模式</w:t>
        </w:r>
        <w:r>
          <w:tab/>
        </w:r>
        <w:r>
          <w:fldChar w:fldCharType="begin"/>
        </w:r>
        <w:r>
          <w:instrText xml:space="preserve"> PAGEREF _Toc27001 \h </w:instrText>
        </w:r>
        <w:r>
          <w:fldChar w:fldCharType="separate"/>
        </w:r>
        <w:r>
          <w:t>14</w:t>
        </w:r>
        <w:r>
          <w:fldChar w:fldCharType="end"/>
        </w:r>
      </w:hyperlink>
    </w:p>
    <w:p>
      <w:pPr>
        <w:pStyle w:val="TOC2"/>
        <w:tabs>
          <w:tab w:val="right" w:leader="dot" w:pos="8306"/>
        </w:tabs>
      </w:pPr>
      <w:hyperlink w:anchor="_Toc16061" w:history="1">
        <w:r>
          <w:rPr>
            <w:rFonts w:ascii="宋体" w:eastAsia="宋体" w:hAnsi="宋体" w:cs="宋体" w:hint="eastAsia"/>
            <w:lang w:eastAsia="zh-CN"/>
          </w:rPr>
          <w:t xml:space="preserve">(三) </w:t>
        </w:r>
        <w:r>
          <w:rPr>
            <w:rFonts w:hint="eastAsia"/>
            <w:lang w:val="en-US" w:eastAsia="zh-CN"/>
          </w:rPr>
          <w:t>本章</w:t>
        </w:r>
        <w:r>
          <w:rPr>
            <w:rFonts w:hint="eastAsia"/>
            <w:lang w:eastAsia="zh-CN"/>
          </w:rPr>
          <w:t>小结</w:t>
        </w:r>
        <w:r>
          <w:tab/>
        </w:r>
        <w:r>
          <w:fldChar w:fldCharType="begin"/>
        </w:r>
        <w:r>
          <w:instrText xml:space="preserve"> PAGEREF _Toc16061 \h </w:instrText>
        </w:r>
        <w:r>
          <w:fldChar w:fldCharType="separate"/>
        </w:r>
        <w:r>
          <w:t>15</w:t>
        </w:r>
        <w:r>
          <w:fldChar w:fldCharType="end"/>
        </w:r>
      </w:hyperlink>
    </w:p>
    <w:p>
      <w:pPr>
        <w:pStyle w:val="TOC1"/>
        <w:tabs>
          <w:tab w:val="right" w:leader="dot" w:pos="8306"/>
        </w:tabs>
      </w:pPr>
      <w:hyperlink w:anchor="_Toc19734" w:history="1">
        <w:r>
          <w:rPr>
            <w:rFonts w:ascii="宋体" w:eastAsia="宋体" w:hAnsi="宋体" w:cs="宋体" w:hint="eastAsia"/>
            <w:lang w:val="en-US" w:eastAsia="zh-CN"/>
          </w:rPr>
          <w:t xml:space="preserve">四、 </w:t>
        </w:r>
        <w:r>
          <w:rPr>
            <w:rFonts w:hint="eastAsia"/>
            <w:lang w:val="en-US" w:eastAsia="zh-CN"/>
          </w:rPr>
          <w:t>农业价值链金融模式分析</w:t>
        </w:r>
        <w:r>
          <w:tab/>
        </w:r>
        <w:r>
          <w:fldChar w:fldCharType="begin"/>
        </w:r>
        <w:r>
          <w:instrText xml:space="preserve"> PAGEREF _Toc19734 \h </w:instrText>
        </w:r>
        <w:r>
          <w:fldChar w:fldCharType="separate"/>
        </w:r>
        <w:r>
          <w:t>16</w:t>
        </w:r>
        <w:r>
          <w:fldChar w:fldCharType="end"/>
        </w:r>
      </w:hyperlink>
    </w:p>
    <w:p>
      <w:pPr>
        <w:pStyle w:val="TOC2"/>
        <w:tabs>
          <w:tab w:val="right" w:leader="dot" w:pos="8306"/>
        </w:tabs>
      </w:pPr>
      <w:hyperlink w:anchor="_Toc29390" w:history="1">
        <w:r>
          <w:rPr>
            <w:rFonts w:ascii="宋体" w:eastAsia="宋体" w:hAnsi="宋体" w:cs="宋体" w:hint="eastAsia"/>
            <w:lang w:eastAsia="zh-CN"/>
          </w:rPr>
          <w:t xml:space="preserve">(一) </w:t>
        </w:r>
        <w:r>
          <w:rPr>
            <w:rFonts w:hint="eastAsia"/>
            <w:lang w:eastAsia="zh-CN"/>
          </w:rPr>
          <w:t>龙头企业主导型农业价值链金融模式：金融扶贫陕西模式为例</w:t>
        </w:r>
        <w:r>
          <w:tab/>
        </w:r>
        <w:r>
          <w:fldChar w:fldCharType="begin"/>
        </w:r>
        <w:r>
          <w:instrText xml:space="preserve"> PAGEREF _Toc29390 \h </w:instrText>
        </w:r>
        <w:r>
          <w:fldChar w:fldCharType="separate"/>
        </w:r>
        <w:r>
          <w:t>16</w:t>
        </w:r>
        <w:r>
          <w:fldChar w:fldCharType="end"/>
        </w:r>
      </w:hyperlink>
    </w:p>
    <w:p>
      <w:pPr>
        <w:pStyle w:val="TOC3"/>
        <w:tabs>
          <w:tab w:val="right" w:leader="dot" w:pos="8306"/>
        </w:tabs>
      </w:pPr>
      <w:hyperlink w:anchor="_Toc24018" w:history="1">
        <w:r>
          <w:rPr>
            <w:rFonts w:ascii="宋体" w:eastAsia="宋体" w:hAnsi="宋体" w:cs="宋体" w:hint="eastAsia"/>
            <w:lang w:val="en-US" w:eastAsia="zh-CN"/>
          </w:rPr>
          <w:t xml:space="preserve">1. </w:t>
        </w:r>
        <w:r>
          <w:rPr>
            <w:rFonts w:hint="eastAsia"/>
            <w:lang w:val="en-US" w:eastAsia="zh-CN"/>
          </w:rPr>
          <w:t>案例情况</w:t>
        </w:r>
        <w:r>
          <w:tab/>
        </w:r>
        <w:r>
          <w:fldChar w:fldCharType="begin"/>
        </w:r>
        <w:r>
          <w:instrText xml:space="preserve"> PAGEREF _Toc24018 \h </w:instrText>
        </w:r>
        <w:r>
          <w:fldChar w:fldCharType="separate"/>
        </w:r>
        <w:r>
          <w:t>16</w:t>
        </w:r>
        <w:r>
          <w:fldChar w:fldCharType="end"/>
        </w:r>
      </w:hyperlink>
    </w:p>
    <w:p>
      <w:pPr>
        <w:pStyle w:val="TOC3"/>
        <w:tabs>
          <w:tab w:val="right" w:leader="dot" w:pos="8306"/>
        </w:tabs>
      </w:pPr>
      <w:hyperlink w:anchor="_Toc23790" w:history="1">
        <w:r>
          <w:rPr>
            <w:rFonts w:ascii="宋体" w:eastAsia="宋体" w:hAnsi="宋体" w:cs="宋体" w:hint="eastAsia"/>
            <w:lang w:val="en-US" w:eastAsia="zh-CN"/>
          </w:rPr>
          <w:t xml:space="preserve">2. </w:t>
        </w:r>
        <w:r>
          <w:rPr>
            <w:rFonts w:hint="eastAsia"/>
            <w:lang w:val="en-US" w:eastAsia="zh-CN"/>
          </w:rPr>
          <w:t>运行机制</w:t>
        </w:r>
        <w:r>
          <w:tab/>
        </w:r>
        <w:r>
          <w:fldChar w:fldCharType="begin"/>
        </w:r>
        <w:r>
          <w:instrText xml:space="preserve"> PAGEREF _Toc23790 \h </w:instrText>
        </w:r>
        <w:r>
          <w:fldChar w:fldCharType="separate"/>
        </w:r>
        <w:r>
          <w:t>17</w:t>
        </w:r>
        <w:r>
          <w:fldChar w:fldCharType="end"/>
        </w:r>
      </w:hyperlink>
    </w:p>
    <w:p>
      <w:pPr>
        <w:pStyle w:val="TOC3"/>
        <w:tabs>
          <w:tab w:val="right" w:leader="dot" w:pos="8306"/>
        </w:tabs>
      </w:pPr>
      <w:hyperlink w:anchor="_Toc24852" w:history="1">
        <w:r>
          <w:rPr>
            <w:rFonts w:ascii="宋体" w:eastAsia="宋体" w:hAnsi="宋体" w:cs="宋体" w:hint="eastAsia"/>
            <w:lang w:val="en-US" w:eastAsia="zh-CN"/>
          </w:rPr>
          <w:t xml:space="preserve">3. </w:t>
        </w:r>
        <w:r>
          <w:rPr>
            <w:rFonts w:hint="eastAsia"/>
            <w:lang w:val="en-US" w:eastAsia="zh-CN"/>
          </w:rPr>
          <w:t>运行效果</w:t>
        </w:r>
        <w:r>
          <w:tab/>
        </w:r>
        <w:r>
          <w:fldChar w:fldCharType="begin"/>
        </w:r>
        <w:r>
          <w:instrText xml:space="preserve"> PAGEREF _Toc24852 \h </w:instrText>
        </w:r>
        <w:r>
          <w:fldChar w:fldCharType="separate"/>
        </w:r>
        <w:r>
          <w:t>17</w:t>
        </w:r>
        <w:r>
          <w:fldChar w:fldCharType="end"/>
        </w:r>
      </w:hyperlink>
    </w:p>
    <w:p>
      <w:pPr>
        <w:pStyle w:val="TOC3"/>
        <w:tabs>
          <w:tab w:val="right" w:leader="dot" w:pos="8306"/>
        </w:tabs>
      </w:pPr>
      <w:hyperlink w:anchor="_Toc19047" w:history="1">
        <w:r>
          <w:rPr>
            <w:rFonts w:ascii="宋体" w:eastAsia="宋体" w:hAnsi="宋体" w:cs="宋体" w:hint="eastAsia"/>
            <w:lang w:val="en-US" w:eastAsia="zh-CN"/>
          </w:rPr>
          <w:t xml:space="preserve">4. </w:t>
        </w:r>
        <w:r>
          <w:rPr>
            <w:rFonts w:hint="eastAsia"/>
            <w:lang w:val="en-US" w:eastAsia="zh-CN"/>
          </w:rPr>
          <w:t>局限性</w:t>
        </w:r>
        <w:r>
          <w:tab/>
        </w:r>
        <w:r>
          <w:fldChar w:fldCharType="begin"/>
        </w:r>
        <w:r>
          <w:instrText xml:space="preserve"> PAGEREF _Toc19047 \h </w:instrText>
        </w:r>
        <w:r>
          <w:fldChar w:fldCharType="separate"/>
        </w:r>
        <w:r>
          <w:t>18</w:t>
        </w:r>
        <w:r>
          <w:fldChar w:fldCharType="end"/>
        </w:r>
      </w:hyperlink>
    </w:p>
    <w:p>
      <w:pPr>
        <w:pStyle w:val="TOC2"/>
        <w:tabs>
          <w:tab w:val="right" w:leader="dot" w:pos="8306"/>
        </w:tabs>
      </w:pPr>
      <w:hyperlink w:anchor="_Toc32396" w:history="1">
        <w:r>
          <w:rPr>
            <w:rFonts w:ascii="宋体" w:eastAsia="宋体" w:hAnsi="宋体" w:cs="宋体" w:hint="eastAsia"/>
            <w:lang w:eastAsia="zh-CN"/>
          </w:rPr>
          <w:t xml:space="preserve">(二) </w:t>
        </w:r>
        <w:r>
          <w:rPr>
            <w:rFonts w:hint="eastAsia"/>
            <w:lang w:eastAsia="zh-CN"/>
          </w:rPr>
          <w:t>生产性合作社主导型农业价值链模式：黑龙江玉米合作社为例</w:t>
        </w:r>
        <w:r>
          <w:tab/>
        </w:r>
        <w:r>
          <w:fldChar w:fldCharType="begin"/>
        </w:r>
        <w:r>
          <w:instrText xml:space="preserve"> PAGEREF _Toc32396 \h </w:instrText>
        </w:r>
        <w:r>
          <w:fldChar w:fldCharType="separate"/>
        </w:r>
        <w:r>
          <w:t>18</w:t>
        </w:r>
        <w:r>
          <w:fldChar w:fldCharType="end"/>
        </w:r>
      </w:hyperlink>
    </w:p>
    <w:p>
      <w:pPr>
        <w:pStyle w:val="TOC3"/>
        <w:tabs>
          <w:tab w:val="right" w:leader="dot" w:pos="8306"/>
        </w:tabs>
      </w:pPr>
      <w:hyperlink w:anchor="_Toc23919" w:history="1">
        <w:r>
          <w:rPr>
            <w:rFonts w:ascii="宋体" w:eastAsia="宋体" w:hAnsi="宋体" w:cs="宋体" w:hint="eastAsia"/>
            <w:lang w:val="en-US" w:eastAsia="zh-CN"/>
          </w:rPr>
          <w:t xml:space="preserve">1. </w:t>
        </w:r>
        <w:r>
          <w:rPr>
            <w:rFonts w:hint="eastAsia"/>
            <w:lang w:val="en-US" w:eastAsia="zh-CN"/>
          </w:rPr>
          <w:t>案例情况</w:t>
        </w:r>
        <w:r>
          <w:tab/>
        </w:r>
        <w:r>
          <w:fldChar w:fldCharType="begin"/>
        </w:r>
        <w:r>
          <w:instrText xml:space="preserve"> PAGEREF _Toc23919 \h </w:instrText>
        </w:r>
        <w:r>
          <w:fldChar w:fldCharType="separate"/>
        </w:r>
        <w:r>
          <w:t>18</w:t>
        </w:r>
        <w:r>
          <w:fldChar w:fldCharType="end"/>
        </w:r>
      </w:hyperlink>
    </w:p>
    <w:p>
      <w:pPr>
        <w:pStyle w:val="TOC3"/>
        <w:tabs>
          <w:tab w:val="right" w:leader="dot" w:pos="8306"/>
        </w:tabs>
      </w:pPr>
      <w:hyperlink w:anchor="_Toc11200" w:history="1">
        <w:r>
          <w:rPr>
            <w:rFonts w:ascii="宋体" w:eastAsia="宋体" w:hAnsi="宋体" w:cs="宋体" w:hint="eastAsia"/>
            <w:lang w:val="en-US" w:eastAsia="zh-CN"/>
          </w:rPr>
          <w:t xml:space="preserve">2. </w:t>
        </w:r>
        <w:r>
          <w:rPr>
            <w:rFonts w:hint="eastAsia"/>
            <w:lang w:val="en-US" w:eastAsia="zh-CN"/>
          </w:rPr>
          <w:t>运行机制</w:t>
        </w:r>
        <w:r>
          <w:tab/>
        </w:r>
        <w:r>
          <w:fldChar w:fldCharType="begin"/>
        </w:r>
        <w:r>
          <w:instrText xml:space="preserve"> PAGEREF _Toc11200 \h </w:instrText>
        </w:r>
        <w:r>
          <w:fldChar w:fldCharType="separate"/>
        </w:r>
        <w:r>
          <w:t>19</w:t>
        </w:r>
        <w:r>
          <w:fldChar w:fldCharType="end"/>
        </w:r>
      </w:hyperlink>
    </w:p>
    <w:p>
      <w:pPr>
        <w:pStyle w:val="TOC3"/>
        <w:tabs>
          <w:tab w:val="right" w:leader="dot" w:pos="8306"/>
        </w:tabs>
      </w:pPr>
      <w:hyperlink w:anchor="_Toc10515" w:history="1">
        <w:r>
          <w:rPr>
            <w:rFonts w:ascii="宋体" w:eastAsia="宋体" w:hAnsi="宋体" w:cs="宋体" w:hint="eastAsia"/>
            <w:lang w:val="en-US" w:eastAsia="zh-CN"/>
          </w:rPr>
          <w:t xml:space="preserve">3. </w:t>
        </w:r>
        <w:r>
          <w:rPr>
            <w:rFonts w:hint="eastAsia"/>
            <w:lang w:val="en-US" w:eastAsia="zh-CN"/>
          </w:rPr>
          <w:t>运行效果</w:t>
        </w:r>
        <w:r>
          <w:tab/>
        </w:r>
        <w:r>
          <w:fldChar w:fldCharType="begin"/>
        </w:r>
        <w:r>
          <w:instrText xml:space="preserve"> PAGEREF _Toc10515 \h </w:instrText>
        </w:r>
        <w:r>
          <w:fldChar w:fldCharType="separate"/>
        </w:r>
        <w:r>
          <w:t>19</w:t>
        </w:r>
        <w:r>
          <w:fldChar w:fldCharType="end"/>
        </w:r>
      </w:hyperlink>
    </w:p>
    <w:p>
      <w:pPr>
        <w:pStyle w:val="TOC3"/>
        <w:tabs>
          <w:tab w:val="right" w:leader="dot" w:pos="8306"/>
        </w:tabs>
      </w:pPr>
      <w:hyperlink w:anchor="_Toc15544" w:history="1">
        <w:r>
          <w:rPr>
            <w:rFonts w:ascii="宋体" w:eastAsia="宋体" w:hAnsi="宋体" w:cs="宋体" w:hint="eastAsia"/>
            <w:lang w:val="en-US" w:eastAsia="zh-CN"/>
          </w:rPr>
          <w:t xml:space="preserve">4. </w:t>
        </w:r>
        <w:r>
          <w:rPr>
            <w:rFonts w:hint="eastAsia"/>
            <w:lang w:val="en-US" w:eastAsia="zh-CN"/>
          </w:rPr>
          <w:t>局限性</w:t>
        </w:r>
        <w:r>
          <w:tab/>
        </w:r>
        <w:r>
          <w:fldChar w:fldCharType="begin"/>
        </w:r>
        <w:r>
          <w:instrText xml:space="preserve"> PAGEREF _Toc15544 \h </w:instrText>
        </w:r>
        <w:r>
          <w:fldChar w:fldCharType="separate"/>
        </w:r>
        <w:r>
          <w:t>20</w:t>
        </w:r>
        <w:r>
          <w:fldChar w:fldCharType="end"/>
        </w:r>
      </w:hyperlink>
    </w:p>
    <w:p>
      <w:pPr>
        <w:pStyle w:val="TOC2"/>
        <w:tabs>
          <w:tab w:val="right" w:leader="dot" w:pos="8306"/>
        </w:tabs>
      </w:pPr>
      <w:hyperlink w:anchor="_Toc20897" w:history="1">
        <w:r>
          <w:rPr>
            <w:rFonts w:ascii="宋体" w:eastAsia="宋体" w:hAnsi="宋体" w:cs="宋体" w:hint="eastAsia"/>
            <w:lang w:val="en-US" w:eastAsia="zh-CN"/>
          </w:rPr>
          <w:t xml:space="preserve">(三) </w:t>
        </w:r>
        <w:r>
          <w:rPr>
            <w:rFonts w:hint="eastAsia"/>
            <w:lang w:val="en-US" w:eastAsia="zh-CN"/>
          </w:rPr>
          <w:t>买方担保型农业价值链金融模式：以电商平台担保模式为例</w:t>
        </w:r>
        <w:r>
          <w:tab/>
        </w:r>
        <w:r>
          <w:fldChar w:fldCharType="begin"/>
        </w:r>
        <w:r>
          <w:instrText xml:space="preserve"> PAGEREF _Toc20897 \h </w:instrText>
        </w:r>
        <w:r>
          <w:fldChar w:fldCharType="separate"/>
        </w:r>
        <w:r>
          <w:t>20</w:t>
        </w:r>
        <w:r>
          <w:fldChar w:fldCharType="end"/>
        </w:r>
      </w:hyperlink>
    </w:p>
    <w:p>
      <w:pPr>
        <w:pStyle w:val="TOC3"/>
        <w:tabs>
          <w:tab w:val="right" w:leader="dot" w:pos="8306"/>
        </w:tabs>
      </w:pPr>
      <w:hyperlink w:anchor="_Toc2889" w:history="1">
        <w:r>
          <w:rPr>
            <w:rFonts w:ascii="宋体" w:eastAsia="宋体" w:hAnsi="宋体" w:cs="宋体" w:hint="eastAsia"/>
            <w:lang w:val="en-US" w:eastAsia="zh-CN"/>
          </w:rPr>
          <w:t xml:space="preserve">1. </w:t>
        </w:r>
        <w:r>
          <w:rPr>
            <w:rFonts w:hint="eastAsia"/>
            <w:lang w:val="en-US" w:eastAsia="zh-CN"/>
          </w:rPr>
          <w:t>案例情况</w:t>
        </w:r>
        <w:r>
          <w:tab/>
        </w:r>
        <w:r>
          <w:fldChar w:fldCharType="begin"/>
        </w:r>
        <w:r>
          <w:instrText xml:space="preserve"> PAGEREF _Toc2889 \h </w:instrText>
        </w:r>
        <w:r>
          <w:fldChar w:fldCharType="separate"/>
        </w:r>
        <w:r>
          <w:t>20</w:t>
        </w:r>
        <w:r>
          <w:fldChar w:fldCharType="end"/>
        </w:r>
      </w:hyperlink>
    </w:p>
    <w:p>
      <w:pPr>
        <w:pStyle w:val="TOC3"/>
        <w:tabs>
          <w:tab w:val="right" w:leader="dot" w:pos="8306"/>
        </w:tabs>
      </w:pPr>
      <w:hyperlink w:anchor="_Toc32084" w:history="1">
        <w:r>
          <w:rPr>
            <w:rFonts w:ascii="宋体" w:eastAsia="宋体" w:hAnsi="宋体" w:cs="宋体" w:hint="eastAsia"/>
            <w:lang w:val="en-US" w:eastAsia="zh-CN"/>
          </w:rPr>
          <w:t xml:space="preserve">2. </w:t>
        </w:r>
        <w:r>
          <w:rPr>
            <w:rFonts w:hint="eastAsia"/>
            <w:lang w:val="en-US" w:eastAsia="zh-CN"/>
          </w:rPr>
          <w:t>运行机制</w:t>
        </w:r>
        <w:r>
          <w:tab/>
        </w:r>
        <w:r>
          <w:fldChar w:fldCharType="begin"/>
        </w:r>
        <w:r>
          <w:instrText xml:space="preserve"> PAGEREF _Toc32084 \h </w:instrText>
        </w:r>
        <w:r>
          <w:fldChar w:fldCharType="separate"/>
        </w:r>
        <w:r>
          <w:t>21</w:t>
        </w:r>
        <w:r>
          <w:fldChar w:fldCharType="end"/>
        </w:r>
      </w:hyperlink>
    </w:p>
    <w:p>
      <w:pPr>
        <w:pStyle w:val="TOC3"/>
        <w:tabs>
          <w:tab w:val="right" w:leader="dot" w:pos="8306"/>
        </w:tabs>
      </w:pPr>
      <w:hyperlink w:anchor="_Toc29084" w:history="1">
        <w:r>
          <w:rPr>
            <w:rFonts w:ascii="宋体" w:eastAsia="宋体" w:hAnsi="宋体" w:cs="宋体" w:hint="eastAsia"/>
            <w:lang w:val="en-US" w:eastAsia="zh-CN"/>
          </w:rPr>
          <w:t xml:space="preserve">3. </w:t>
        </w:r>
        <w:r>
          <w:rPr>
            <w:rFonts w:hint="eastAsia"/>
            <w:lang w:val="en-US" w:eastAsia="zh-CN"/>
          </w:rPr>
          <w:t>运行效果</w:t>
        </w:r>
        <w:r>
          <w:tab/>
        </w:r>
        <w:r>
          <w:fldChar w:fldCharType="begin"/>
        </w:r>
        <w:r>
          <w:instrText xml:space="preserve"> PAGEREF _Toc29084 \h </w:instrText>
        </w:r>
        <w:r>
          <w:fldChar w:fldCharType="separate"/>
        </w:r>
        <w:r>
          <w:t>21</w:t>
        </w:r>
        <w:r>
          <w:fldChar w:fldCharType="end"/>
        </w:r>
      </w:hyperlink>
    </w:p>
    <w:p>
      <w:pPr>
        <w:pStyle w:val="TOC3"/>
        <w:tabs>
          <w:tab w:val="right" w:leader="dot" w:pos="8306"/>
        </w:tabs>
      </w:pPr>
      <w:hyperlink w:anchor="_Toc32575" w:history="1">
        <w:r>
          <w:rPr>
            <w:rFonts w:ascii="宋体" w:eastAsia="宋体" w:hAnsi="宋体" w:cs="宋体" w:hint="eastAsia"/>
            <w:lang w:val="en-US" w:eastAsia="zh-CN"/>
          </w:rPr>
          <w:t xml:space="preserve">4. </w:t>
        </w:r>
        <w:r>
          <w:rPr>
            <w:rFonts w:hint="eastAsia"/>
            <w:lang w:val="en-US" w:eastAsia="zh-CN"/>
          </w:rPr>
          <w:t>局限性</w:t>
        </w:r>
        <w:r>
          <w:tab/>
        </w:r>
        <w:r>
          <w:fldChar w:fldCharType="begin"/>
        </w:r>
        <w:r>
          <w:instrText xml:space="preserve"> PAGEREF _Toc32575 \h </w:instrText>
        </w:r>
        <w:r>
          <w:fldChar w:fldCharType="separate"/>
        </w:r>
        <w:r>
          <w:t>22</w:t>
        </w:r>
        <w:r>
          <w:fldChar w:fldCharType="end"/>
        </w:r>
      </w:hyperlink>
    </w:p>
    <w:p>
      <w:pPr>
        <w:pStyle w:val="TOC2"/>
        <w:tabs>
          <w:tab w:val="right" w:leader="dot" w:pos="8306"/>
        </w:tabs>
      </w:pPr>
      <w:hyperlink w:anchor="_Toc31184" w:history="1">
        <w:r>
          <w:rPr>
            <w:rFonts w:ascii="宋体" w:eastAsia="宋体" w:hAnsi="宋体" w:cs="宋体" w:hint="eastAsia"/>
            <w:lang w:val="en-US" w:eastAsia="zh-CN"/>
          </w:rPr>
          <w:t xml:space="preserve">(四) </w:t>
        </w:r>
        <w:r>
          <w:rPr>
            <w:rFonts w:hint="eastAsia"/>
            <w:lang w:val="en-US" w:eastAsia="zh-CN"/>
          </w:rPr>
          <w:t>本章小结</w:t>
        </w:r>
        <w:r>
          <w:tab/>
        </w:r>
        <w:r>
          <w:fldChar w:fldCharType="begin"/>
        </w:r>
        <w:r>
          <w:instrText xml:space="preserve"> PAGEREF _Toc31184 \h </w:instrText>
        </w:r>
        <w:r>
          <w:fldChar w:fldCharType="separate"/>
        </w:r>
        <w:r>
          <w:t>22</w:t>
        </w:r>
        <w:r>
          <w:fldChar w:fldCharType="end"/>
        </w:r>
      </w:hyperlink>
    </w:p>
    <w:p>
      <w:pPr>
        <w:pStyle w:val="TOC1"/>
        <w:tabs>
          <w:tab w:val="right" w:leader="dot" w:pos="8306"/>
        </w:tabs>
      </w:pPr>
      <w:hyperlink w:anchor="_Toc14042" w:history="1">
        <w:r>
          <w:rPr>
            <w:rFonts w:ascii="宋体" w:eastAsia="宋体" w:hAnsi="宋体" w:cs="宋体" w:hint="eastAsia"/>
            <w:lang w:val="en-US" w:eastAsia="zh-CN"/>
          </w:rPr>
          <w:t xml:space="preserve">五、 </w:t>
        </w:r>
        <w:r>
          <w:rPr>
            <w:rFonts w:hint="eastAsia"/>
            <w:lang w:val="en-US" w:eastAsia="zh-CN"/>
          </w:rPr>
          <w:t>对策措施——基于“弱者联合”视角</w:t>
        </w:r>
        <w:r>
          <w:tab/>
        </w:r>
        <w:r>
          <w:fldChar w:fldCharType="begin"/>
        </w:r>
        <w:r>
          <w:instrText xml:space="preserve"> PAGEREF _Toc14042 \h </w:instrText>
        </w:r>
        <w:r>
          <w:fldChar w:fldCharType="separate"/>
        </w:r>
        <w:r>
          <w:t>24</w:t>
        </w:r>
        <w:r>
          <w:fldChar w:fldCharType="end"/>
        </w:r>
      </w:hyperlink>
    </w:p>
    <w:p>
      <w:pPr>
        <w:pStyle w:val="TOC2"/>
        <w:tabs>
          <w:tab w:val="right" w:leader="dot" w:pos="8306"/>
        </w:tabs>
      </w:pPr>
      <w:hyperlink w:anchor="_Toc29690" w:history="1">
        <w:r>
          <w:rPr>
            <w:rFonts w:ascii="宋体" w:eastAsia="宋体" w:hAnsi="宋体" w:cs="宋体" w:hint="eastAsia"/>
            <w:lang w:val="en-US" w:eastAsia="zh-CN"/>
          </w:rPr>
          <w:t xml:space="preserve">(一) </w:t>
        </w:r>
        <w:r>
          <w:rPr>
            <w:rFonts w:hint="eastAsia"/>
            <w:lang w:val="en-US" w:eastAsia="zh-CN"/>
          </w:rPr>
          <w:t>“夫妻店”主导型农业价值链金融创新模式经济主体</w:t>
        </w:r>
        <w:r>
          <w:tab/>
        </w:r>
        <w:r>
          <w:fldChar w:fldCharType="begin"/>
        </w:r>
        <w:r>
          <w:instrText xml:space="preserve"> PAGEREF _Toc29690 \h </w:instrText>
        </w:r>
        <w:r>
          <w:fldChar w:fldCharType="separate"/>
        </w:r>
        <w:r>
          <w:t>24</w:t>
        </w:r>
        <w:r>
          <w:fldChar w:fldCharType="end"/>
        </w:r>
      </w:hyperlink>
    </w:p>
    <w:p>
      <w:pPr>
        <w:pStyle w:val="TOC3"/>
        <w:tabs>
          <w:tab w:val="right" w:leader="dot" w:pos="8306"/>
        </w:tabs>
      </w:pPr>
      <w:hyperlink w:anchor="_Toc12434" w:history="1">
        <w:r>
          <w:rPr>
            <w:rFonts w:ascii="宋体" w:eastAsia="宋体" w:hAnsi="宋体" w:cs="宋体" w:hint="eastAsia"/>
            <w:lang w:val="en-US" w:eastAsia="zh-CN"/>
          </w:rPr>
          <w:t xml:space="preserve">1. </w:t>
        </w:r>
        <w:r>
          <w:rPr>
            <w:rFonts w:hint="eastAsia"/>
            <w:lang w:val="en-US" w:eastAsia="zh-CN"/>
          </w:rPr>
          <w:t>夫妻店</w:t>
        </w:r>
        <w:r>
          <w:tab/>
        </w:r>
        <w:r>
          <w:fldChar w:fldCharType="begin"/>
        </w:r>
        <w:r>
          <w:instrText xml:space="preserve"> PAGEREF _Toc12434 \h </w:instrText>
        </w:r>
        <w:r>
          <w:fldChar w:fldCharType="separate"/>
        </w:r>
        <w:r>
          <w:t>24</w:t>
        </w:r>
        <w:r>
          <w:fldChar w:fldCharType="end"/>
        </w:r>
      </w:hyperlink>
    </w:p>
    <w:p>
      <w:pPr>
        <w:pStyle w:val="TOC2"/>
        <w:tabs>
          <w:tab w:val="right" w:leader="dot" w:pos="8306"/>
        </w:tabs>
      </w:pPr>
      <w:hyperlink w:anchor="_Toc27850" w:history="1">
        <w:r>
          <w:rPr>
            <w:rFonts w:ascii="宋体" w:eastAsia="宋体" w:hAnsi="宋体" w:cs="宋体" w:hint="eastAsia"/>
            <w:lang w:val="en-US" w:eastAsia="zh-CN"/>
          </w:rPr>
          <w:t xml:space="preserve">(二) </w:t>
        </w:r>
        <w:r>
          <w:rPr>
            <w:rFonts w:hint="eastAsia"/>
            <w:lang w:val="en-US" w:eastAsia="zh-CN"/>
          </w:rPr>
          <w:t>“夫妻店”主导型农业价值链金融创新模式</w:t>
        </w:r>
        <w:r>
          <w:tab/>
        </w:r>
        <w:r>
          <w:fldChar w:fldCharType="begin"/>
        </w:r>
        <w:r>
          <w:instrText xml:space="preserve"> PAGEREF _Toc27850 \h </w:instrText>
        </w:r>
        <w:r>
          <w:fldChar w:fldCharType="separate"/>
        </w:r>
        <w:r>
          <w:t>25</w:t>
        </w:r>
        <w:r>
          <w:fldChar w:fldCharType="end"/>
        </w:r>
      </w:hyperlink>
    </w:p>
    <w:p>
      <w:pPr>
        <w:pStyle w:val="TOC3"/>
        <w:tabs>
          <w:tab w:val="right" w:leader="dot" w:pos="8306"/>
        </w:tabs>
      </w:pPr>
      <w:hyperlink w:anchor="_Toc14420" w:history="1">
        <w:r>
          <w:rPr>
            <w:rFonts w:ascii="宋体" w:eastAsia="宋体" w:hAnsi="宋体" w:cs="宋体" w:hint="eastAsia"/>
            <w:lang w:val="en-US" w:eastAsia="zh-CN"/>
          </w:rPr>
          <w:t xml:space="preserve">1. </w:t>
        </w:r>
        <w:r>
          <w:rPr>
            <w:rFonts w:hint="eastAsia"/>
            <w:lang w:val="en-US" w:eastAsia="zh-CN"/>
          </w:rPr>
          <w:t>运行机制</w:t>
        </w:r>
        <w:r>
          <w:tab/>
        </w:r>
        <w:r>
          <w:fldChar w:fldCharType="begin"/>
        </w:r>
        <w:r>
          <w:instrText xml:space="preserve"> PAGEREF _Toc14420 \h </w:instrText>
        </w:r>
        <w:r>
          <w:fldChar w:fldCharType="separate"/>
        </w:r>
        <w:r>
          <w:t>25</w:t>
        </w:r>
        <w:r>
          <w:fldChar w:fldCharType="end"/>
        </w:r>
      </w:hyperlink>
    </w:p>
    <w:p>
      <w:pPr>
        <w:pStyle w:val="TOC3"/>
        <w:tabs>
          <w:tab w:val="right" w:leader="dot" w:pos="8306"/>
        </w:tabs>
        <w:sectPr>
          <w:footerReference w:type="default" r:id="rId5"/>
          <w:endnotePr>
            <w:numFmt w:val="decimal"/>
          </w:endnotePr>
          <w:pgSz w:w="11906" w:h="16838"/>
          <w:pgMar w:top="1417" w:right="1417" w:bottom="1417" w:left="1417" w:header="851" w:footer="850" w:gutter="0"/>
          <w:pgNumType w:start="1"/>
          <w:cols w:num="1" w:space="0"/>
          <w:rtlGutter w:val="0"/>
          <w:docGrid w:type="lines" w:linePitch="312" w:charSpace="0"/>
        </w:sectPr>
      </w:pPr>
      <w:hyperlink w:anchor="_Toc4758" w:history="1">
        <w:r>
          <w:rPr>
            <w:rFonts w:ascii="宋体" w:eastAsia="宋体" w:hAnsi="宋体" w:cs="宋体" w:hint="eastAsia"/>
            <w:lang w:val="en-US" w:eastAsia="zh-CN"/>
          </w:rPr>
          <w:t xml:space="preserve">2. </w:t>
        </w:r>
        <w:r>
          <w:rPr>
            <w:rFonts w:hint="eastAsia"/>
            <w:lang w:val="en-US" w:eastAsia="zh-CN"/>
          </w:rPr>
          <w:t>“弱者联合”具有的优势</w:t>
        </w:r>
        <w:r>
          <w:tab/>
        </w:r>
        <w:r>
          <w:fldChar w:fldCharType="begin"/>
        </w:r>
        <w:r>
          <w:instrText xml:space="preserve"> PAGEREF _Toc4758 \h </w:instrText>
        </w:r>
        <w:r>
          <w:fldChar w:fldCharType="separate"/>
        </w:r>
        <w:r>
          <w:t>26</w:t>
        </w:r>
        <w:r>
          <w:fldChar w:fldCharType="end"/>
        </w:r>
      </w:hyperlink>
    </w:p>
    <w:p>
      <w:pPr>
        <w:pStyle w:val="TOC4"/>
        <w:tabs>
          <w:tab w:val="right" w:leader="dot" w:pos="8306"/>
        </w:tabs>
      </w:pPr>
      <w:hyperlink w:anchor="_Toc21733" w:history="1">
        <w:r>
          <w:rPr>
            <w:rFonts w:ascii="宋体" w:eastAsia="宋体" w:hAnsi="宋体" w:cs="宋体" w:hint="eastAsia"/>
            <w:lang w:val="en-US" w:eastAsia="zh-CN"/>
          </w:rPr>
          <w:t xml:space="preserve">(1) </w:t>
        </w:r>
        <w:r>
          <w:rPr>
            <w:rFonts w:hint="eastAsia"/>
            <w:lang w:val="en-US" w:eastAsia="zh-CN"/>
          </w:rPr>
          <w:t>提高农户议价能力</w:t>
        </w:r>
        <w:r>
          <w:tab/>
        </w:r>
        <w:r>
          <w:fldChar w:fldCharType="begin"/>
        </w:r>
        <w:r>
          <w:instrText xml:space="preserve"> PAGEREF _Toc21733 \h </w:instrText>
        </w:r>
        <w:r>
          <w:fldChar w:fldCharType="separate"/>
        </w:r>
        <w:r>
          <w:t>26</w:t>
        </w:r>
        <w:r>
          <w:fldChar w:fldCharType="end"/>
        </w:r>
      </w:hyperlink>
    </w:p>
    <w:p>
      <w:pPr>
        <w:pStyle w:val="TOC4"/>
        <w:tabs>
          <w:tab w:val="right" w:leader="dot" w:pos="8306"/>
        </w:tabs>
      </w:pPr>
      <w:hyperlink w:anchor="_Toc17318" w:history="1">
        <w:r>
          <w:rPr>
            <w:rFonts w:ascii="宋体" w:eastAsia="宋体" w:hAnsi="宋体" w:cs="宋体" w:hint="eastAsia"/>
            <w:lang w:val="en-US" w:eastAsia="zh-CN"/>
          </w:rPr>
          <w:t xml:space="preserve">(2) </w:t>
        </w:r>
        <w:r>
          <w:rPr>
            <w:rFonts w:hint="eastAsia"/>
            <w:lang w:val="en-US" w:eastAsia="zh-CN"/>
          </w:rPr>
          <w:t>易于推广农业价值链金融模式</w:t>
        </w:r>
        <w:r>
          <w:tab/>
        </w:r>
        <w:r>
          <w:fldChar w:fldCharType="begin"/>
        </w:r>
        <w:r>
          <w:instrText xml:space="preserve"> PAGEREF _Toc17318 \h </w:instrText>
        </w:r>
        <w:r>
          <w:fldChar w:fldCharType="separate"/>
        </w:r>
        <w:r>
          <w:t>26</w:t>
        </w:r>
        <w:r>
          <w:fldChar w:fldCharType="end"/>
        </w:r>
      </w:hyperlink>
    </w:p>
    <w:p>
      <w:pPr>
        <w:pStyle w:val="TOC4"/>
        <w:tabs>
          <w:tab w:val="right" w:leader="dot" w:pos="8306"/>
        </w:tabs>
      </w:pPr>
      <w:hyperlink w:anchor="_Toc7046" w:history="1">
        <w:r>
          <w:rPr>
            <w:rFonts w:ascii="宋体" w:eastAsia="宋体" w:hAnsi="宋体" w:cs="宋体" w:hint="eastAsia"/>
            <w:lang w:val="en-US" w:eastAsia="zh-CN"/>
          </w:rPr>
          <w:t xml:space="preserve">(3) </w:t>
        </w:r>
        <w:r>
          <w:rPr>
            <w:rFonts w:hint="eastAsia"/>
            <w:lang w:val="en-US" w:eastAsia="zh-CN"/>
          </w:rPr>
          <w:t>夫妻店对农产品的接受度更高</w:t>
        </w:r>
        <w:r>
          <w:tab/>
        </w:r>
        <w:r>
          <w:fldChar w:fldCharType="begin"/>
        </w:r>
        <w:r>
          <w:instrText xml:space="preserve"> PAGEREF _Toc7046 \h </w:instrText>
        </w:r>
        <w:r>
          <w:fldChar w:fldCharType="separate"/>
        </w:r>
        <w:r>
          <w:t>27</w:t>
        </w:r>
        <w:r>
          <w:fldChar w:fldCharType="end"/>
        </w:r>
      </w:hyperlink>
    </w:p>
    <w:p>
      <w:pPr>
        <w:pStyle w:val="TOC3"/>
        <w:tabs>
          <w:tab w:val="right" w:leader="dot" w:pos="8306"/>
        </w:tabs>
      </w:pPr>
      <w:hyperlink w:anchor="_Toc6130" w:history="1">
        <w:r>
          <w:rPr>
            <w:rFonts w:ascii="宋体" w:eastAsia="宋体" w:hAnsi="宋体" w:cs="宋体" w:hint="eastAsia"/>
            <w:lang w:val="en-US" w:eastAsia="zh-CN"/>
          </w:rPr>
          <w:t xml:space="preserve">3. </w:t>
        </w:r>
        <w:r>
          <w:rPr>
            <w:rFonts w:hint="eastAsia"/>
            <w:lang w:val="en-US" w:eastAsia="zh-CN"/>
          </w:rPr>
          <w:t>局限性</w:t>
        </w:r>
        <w:r>
          <w:tab/>
        </w:r>
        <w:r>
          <w:fldChar w:fldCharType="begin"/>
        </w:r>
        <w:r>
          <w:instrText xml:space="preserve"> PAGEREF _Toc6130 \h </w:instrText>
        </w:r>
        <w:r>
          <w:fldChar w:fldCharType="separate"/>
        </w:r>
        <w:r>
          <w:t>28</w:t>
        </w:r>
        <w:r>
          <w:fldChar w:fldCharType="end"/>
        </w:r>
      </w:hyperlink>
    </w:p>
    <w:p>
      <w:pPr>
        <w:pStyle w:val="TOC4"/>
        <w:tabs>
          <w:tab w:val="right" w:leader="dot" w:pos="8306"/>
        </w:tabs>
      </w:pPr>
      <w:hyperlink w:anchor="_Toc1337" w:history="1">
        <w:r>
          <w:rPr>
            <w:rFonts w:ascii="宋体" w:eastAsia="宋体" w:hAnsi="宋体" w:cs="宋体" w:hint="eastAsia"/>
            <w:lang w:val="en-US" w:eastAsia="zh-CN"/>
          </w:rPr>
          <w:t xml:space="preserve">(1) </w:t>
        </w:r>
        <w:r>
          <w:rPr>
            <w:rFonts w:hint="eastAsia"/>
            <w:lang w:val="en-US" w:eastAsia="zh-CN"/>
          </w:rPr>
          <w:t>金融机构供给不足</w:t>
        </w:r>
        <w:r>
          <w:tab/>
        </w:r>
        <w:r>
          <w:fldChar w:fldCharType="begin"/>
        </w:r>
        <w:r>
          <w:instrText xml:space="preserve"> PAGEREF _Toc1337 \h </w:instrText>
        </w:r>
        <w:r>
          <w:fldChar w:fldCharType="separate"/>
        </w:r>
        <w:r>
          <w:t>28</w:t>
        </w:r>
        <w:r>
          <w:fldChar w:fldCharType="end"/>
        </w:r>
      </w:hyperlink>
    </w:p>
    <w:p>
      <w:pPr>
        <w:pStyle w:val="TOC4"/>
        <w:tabs>
          <w:tab w:val="right" w:leader="dot" w:pos="8306"/>
        </w:tabs>
      </w:pPr>
      <w:hyperlink w:anchor="_Toc2479" w:history="1">
        <w:r>
          <w:rPr>
            <w:rFonts w:ascii="宋体" w:eastAsia="宋体" w:hAnsi="宋体" w:cs="宋体" w:hint="eastAsia"/>
            <w:lang w:val="en-US" w:eastAsia="zh-CN"/>
          </w:rPr>
          <w:t xml:space="preserve">(2) </w:t>
        </w:r>
        <w:r>
          <w:rPr>
            <w:rFonts w:hint="eastAsia"/>
            <w:lang w:val="en-US" w:eastAsia="zh-CN"/>
          </w:rPr>
          <w:t>增信作用较弱</w:t>
        </w:r>
        <w:r>
          <w:tab/>
        </w:r>
        <w:r>
          <w:fldChar w:fldCharType="begin"/>
        </w:r>
        <w:r>
          <w:instrText xml:space="preserve"> PAGEREF _Toc2479 \h </w:instrText>
        </w:r>
        <w:r>
          <w:fldChar w:fldCharType="separate"/>
        </w:r>
        <w:r>
          <w:t>28</w:t>
        </w:r>
        <w:r>
          <w:fldChar w:fldCharType="end"/>
        </w:r>
      </w:hyperlink>
    </w:p>
    <w:p>
      <w:pPr>
        <w:pStyle w:val="TOC4"/>
        <w:tabs>
          <w:tab w:val="right" w:leader="dot" w:pos="8306"/>
        </w:tabs>
      </w:pPr>
      <w:hyperlink w:anchor="_Toc31643" w:history="1">
        <w:r>
          <w:rPr>
            <w:rFonts w:ascii="宋体" w:eastAsia="宋体" w:hAnsi="宋体" w:cs="宋体" w:hint="eastAsia"/>
            <w:lang w:val="en-US" w:eastAsia="zh-CN"/>
          </w:rPr>
          <w:t xml:space="preserve">(3) </w:t>
        </w:r>
        <w:r>
          <w:rPr>
            <w:rFonts w:hint="eastAsia"/>
            <w:lang w:val="en-US" w:eastAsia="zh-CN"/>
          </w:rPr>
          <w:t>抗风险能力弱</w:t>
        </w:r>
        <w:r>
          <w:tab/>
        </w:r>
        <w:r>
          <w:fldChar w:fldCharType="begin"/>
        </w:r>
        <w:r>
          <w:instrText xml:space="preserve"> PAGEREF _Toc31643 \h </w:instrText>
        </w:r>
        <w:r>
          <w:fldChar w:fldCharType="separate"/>
        </w:r>
        <w:r>
          <w:t>28</w:t>
        </w:r>
        <w:r>
          <w:fldChar w:fldCharType="end"/>
        </w:r>
      </w:hyperlink>
    </w:p>
    <w:p>
      <w:pPr>
        <w:pStyle w:val="TOC2"/>
        <w:tabs>
          <w:tab w:val="right" w:leader="dot" w:pos="8306"/>
        </w:tabs>
      </w:pPr>
      <w:hyperlink w:anchor="_Toc15196" w:history="1">
        <w:r>
          <w:rPr>
            <w:rFonts w:ascii="宋体" w:eastAsia="宋体" w:hAnsi="宋体" w:cs="宋体" w:hint="eastAsia"/>
            <w:lang w:val="en-US" w:eastAsia="zh-CN"/>
          </w:rPr>
          <w:t xml:space="preserve">(三) </w:t>
        </w:r>
        <w:r>
          <w:rPr>
            <w:rFonts w:hint="eastAsia"/>
            <w:lang w:val="en-US" w:eastAsia="zh-CN"/>
          </w:rPr>
          <w:t>政策建议</w:t>
        </w:r>
        <w:r>
          <w:tab/>
        </w:r>
        <w:r>
          <w:fldChar w:fldCharType="begin"/>
        </w:r>
        <w:r>
          <w:instrText xml:space="preserve"> PAGEREF _Toc15196 \h </w:instrText>
        </w:r>
        <w:r>
          <w:fldChar w:fldCharType="separate"/>
        </w:r>
        <w:r>
          <w:t>29</w:t>
        </w:r>
        <w:r>
          <w:fldChar w:fldCharType="end"/>
        </w:r>
      </w:hyperlink>
    </w:p>
    <w:p>
      <w:pPr>
        <w:pStyle w:val="TOC3"/>
        <w:tabs>
          <w:tab w:val="right" w:leader="dot" w:pos="8306"/>
        </w:tabs>
      </w:pPr>
      <w:hyperlink w:anchor="_Toc16698" w:history="1">
        <w:r>
          <w:rPr>
            <w:rFonts w:ascii="宋体" w:eastAsia="宋体" w:hAnsi="宋体" w:cs="宋体" w:hint="eastAsia"/>
            <w:lang w:val="en-US" w:eastAsia="zh-CN"/>
          </w:rPr>
          <w:t xml:space="preserve">1. </w:t>
        </w:r>
        <w:r>
          <w:rPr>
            <w:rFonts w:hint="eastAsia"/>
            <w:lang w:val="en-US" w:eastAsia="zh-CN"/>
          </w:rPr>
          <w:t>加大银行参与力度，提高金融供给能力</w:t>
        </w:r>
        <w:r>
          <w:tab/>
        </w:r>
        <w:r>
          <w:fldChar w:fldCharType="begin"/>
        </w:r>
        <w:r>
          <w:instrText xml:space="preserve"> PAGEREF _Toc16698 \h </w:instrText>
        </w:r>
        <w:r>
          <w:fldChar w:fldCharType="separate"/>
        </w:r>
        <w:r>
          <w:t>29</w:t>
        </w:r>
        <w:r>
          <w:fldChar w:fldCharType="end"/>
        </w:r>
      </w:hyperlink>
    </w:p>
    <w:p>
      <w:pPr>
        <w:pStyle w:val="TOC3"/>
        <w:tabs>
          <w:tab w:val="right" w:leader="dot" w:pos="8306"/>
        </w:tabs>
      </w:pPr>
      <w:hyperlink w:anchor="_Toc3891" w:history="1">
        <w:r>
          <w:rPr>
            <w:rFonts w:ascii="宋体" w:eastAsia="宋体" w:hAnsi="宋体" w:cs="宋体" w:hint="eastAsia"/>
            <w:lang w:val="en-US" w:eastAsia="zh-CN"/>
          </w:rPr>
          <w:t xml:space="preserve">2. </w:t>
        </w:r>
        <w:r>
          <w:rPr>
            <w:rFonts w:hint="eastAsia"/>
            <w:lang w:val="en-US" w:eastAsia="zh-CN"/>
          </w:rPr>
          <w:t>加速农名新型职业化，保障链条稳定运作</w:t>
        </w:r>
        <w:r>
          <w:tab/>
        </w:r>
        <w:r>
          <w:fldChar w:fldCharType="begin"/>
        </w:r>
        <w:r>
          <w:instrText xml:space="preserve"> PAGEREF _Toc3891 \h </w:instrText>
        </w:r>
        <w:r>
          <w:fldChar w:fldCharType="separate"/>
        </w:r>
        <w:r>
          <w:t>29</w:t>
        </w:r>
        <w:r>
          <w:fldChar w:fldCharType="end"/>
        </w:r>
      </w:hyperlink>
    </w:p>
    <w:p>
      <w:pPr>
        <w:pStyle w:val="TOC3"/>
        <w:tabs>
          <w:tab w:val="right" w:leader="dot" w:pos="8306"/>
        </w:tabs>
      </w:pPr>
      <w:hyperlink w:anchor="_Toc14781" w:history="1">
        <w:r>
          <w:rPr>
            <w:rFonts w:ascii="宋体" w:eastAsia="宋体" w:hAnsi="宋体" w:cs="宋体" w:hint="eastAsia"/>
            <w:lang w:val="en-US" w:eastAsia="zh-CN"/>
          </w:rPr>
          <w:t xml:space="preserve">3. </w:t>
        </w:r>
        <w:r>
          <w:rPr>
            <w:rFonts w:hint="eastAsia"/>
            <w:lang w:val="en-US" w:eastAsia="zh-CN"/>
          </w:rPr>
          <w:t>推动保险机构互动，提升链条抗风险能力</w:t>
        </w:r>
        <w:r>
          <w:tab/>
        </w:r>
        <w:r>
          <w:fldChar w:fldCharType="begin"/>
        </w:r>
        <w:r>
          <w:instrText xml:space="preserve"> PAGEREF _Toc14781 \h </w:instrText>
        </w:r>
        <w:r>
          <w:fldChar w:fldCharType="separate"/>
        </w:r>
        <w:r>
          <w:t>29</w:t>
        </w:r>
        <w:r>
          <w:fldChar w:fldCharType="end"/>
        </w:r>
      </w:hyperlink>
    </w:p>
    <w:p>
      <w:pPr>
        <w:pStyle w:val="TOC1"/>
        <w:tabs>
          <w:tab w:val="right" w:leader="dot" w:pos="8306"/>
        </w:tabs>
      </w:pPr>
      <w:hyperlink w:anchor="_Toc9002" w:history="1">
        <w:r>
          <w:rPr>
            <w:rFonts w:ascii="宋体" w:eastAsia="宋体" w:hAnsi="宋体" w:cs="宋体" w:hint="eastAsia"/>
            <w:lang w:val="en-US" w:eastAsia="zh-CN"/>
          </w:rPr>
          <w:t xml:space="preserve">六、 </w:t>
        </w:r>
        <w:r>
          <w:rPr>
            <w:rFonts w:hint="eastAsia"/>
            <w:lang w:val="en-US" w:eastAsia="zh-CN"/>
          </w:rPr>
          <w:t>参考文献</w:t>
        </w:r>
        <w:r>
          <w:tab/>
        </w:r>
        <w:r>
          <w:fldChar w:fldCharType="begin"/>
        </w:r>
        <w:r>
          <w:instrText xml:space="preserve"> PAGEREF _Toc9002 \h </w:instrText>
        </w:r>
        <w:r>
          <w:fldChar w:fldCharType="separate"/>
        </w:r>
        <w:r>
          <w:t>31</w:t>
        </w:r>
        <w:r>
          <w:fldChar w:fldCharType="end"/>
        </w:r>
      </w:hyperlink>
    </w:p>
    <w:p>
      <w:pPr>
        <w:bidi w:val="0"/>
        <w:rPr>
          <w:lang w:eastAsia="zh-CN"/>
        </w:rPr>
      </w:pPr>
      <w:r>
        <w:rPr>
          <w:lang w:eastAsia="zh-CN"/>
        </w:rPr>
        <w:fldChar w:fldCharType="end"/>
      </w:r>
      <w:bookmarkStart w:id="5" w:name="_Toc20059"/>
      <w:bookmarkStart w:id="6" w:name="_Toc5014"/>
    </w:p>
    <w:p>
      <w:pPr>
        <w:bidi w:val="0"/>
        <w:rPr>
          <w:rFonts w:hint="eastAsia"/>
          <w:lang w:eastAsia="zh-CN"/>
        </w:rPr>
      </w:pPr>
      <w:r>
        <w:rPr>
          <w:rFonts w:hint="eastAsia"/>
          <w:lang w:val="en-US" w:eastAsia="zh-CN"/>
        </w:rPr>
        <w:t>引言</w:t>
      </w:r>
      <w:bookmarkEnd w:id="5"/>
      <w:bookmarkEnd w:id="6"/>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eastAsia="楷体" w:hint="default"/>
          <w:kern w:val="2"/>
          <w:sz w:val="28"/>
          <w:szCs w:val="28"/>
          <w:lang w:eastAsia="zh-CN" w:bidi="ar-SA"/>
        </w:rPr>
      </w:pPr>
      <w:r>
        <w:rPr>
          <w:rFonts w:eastAsia="楷体" w:cs="Times New Roman" w:hint="eastAsia"/>
          <w:kern w:val="2"/>
          <w:sz w:val="28"/>
          <w:szCs w:val="28"/>
          <w:lang w:val="en-US" w:eastAsia="zh-CN" w:bidi="ar-SA"/>
        </w:rPr>
        <w:t>十九大提出乡村振兴战略以来，农业农村发展、解决“三农”等问题得到了前所未有的重大关注。乡村振兴战略的实现离不开农业生产方式的转型升级，众所周知，当前我国农业仍以小农生产方式为主，其分散化、细碎化的生产特征已使其陷入无资金支持的低水平陷阱。2017年的中央“一号文件”指出，要在健全风险阻断机制的基础上，发展农业价值链，加速农村金融创新。农村金融作为农业农村经济发展的重要支柱，在向第二个百年奋斗目标奋进的新时代下助力乡村振兴应更好地发挥其支持作用。鉴于当前农业供应链金融作为农业商业性金融发展的新业态已得到一定程度的推广，在缓解信息不对称，降低融资、交易成本，拓宽农户融资、销售渠道，助力农业生产方式转型升级等方面起到了重要作用，而农业价值链金融作为供应链金融在农业领域的创新模式，具备供应链既存的多重优势，因此对于农业价值链金融模式的探究离不开对供应链金融的探讨，故接下来先对农业供应链金融发展进行分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eastAsia="楷体" w:hint="eastAsia"/>
          <w:kern w:val="2"/>
          <w:sz w:val="28"/>
          <w:szCs w:val="28"/>
          <w:lang w:eastAsia="zh-CN" w:bidi="ar-SA"/>
        </w:rPr>
        <w:sectPr>
          <w:footerReference w:type="default" r:id="rId6"/>
          <w:endnotePr>
            <w:numFmt w:val="decimal"/>
          </w:endnotePr>
          <w:type w:val="nextPage"/>
          <w:pgSz w:w="11906" w:h="16838"/>
          <w:pgMar w:top="1417" w:right="1417" w:bottom="1417" w:left="1417" w:header="851" w:footer="850" w:gutter="0"/>
          <w:pgNumType w:start="2"/>
          <w:cols w:num="1" w:space="0"/>
          <w:titlePg w:val="0"/>
          <w:rtlGutter w:val="0"/>
          <w:docGrid w:type="lines" w:linePitch="312" w:charSpace="0"/>
        </w:sectPr>
      </w:pPr>
      <w:r>
        <w:rPr>
          <w:rFonts w:eastAsia="楷体" w:cs="Times New Roman" w:hint="eastAsia"/>
          <w:kern w:val="2"/>
          <w:sz w:val="28"/>
          <w:szCs w:val="28"/>
          <w:lang w:val="en-US" w:eastAsia="zh-CN" w:bidi="ar-SA"/>
        </w:rPr>
        <mc:AlternateContent>
          <mc:Choice Requires="wpi">
            <w:drawing>
              <wp:anchor distT="0" distB="0" distL="114300" distR="114300" simplePos="0" relativeHeight="251658240" behindDoc="0" locked="0" layoutInCell="1" allowOverlap="1">
                <wp:simplePos x="0" y="0"/>
                <wp:positionH relativeFrom="column">
                  <wp:posOffset>5963285</wp:posOffset>
                </wp:positionH>
                <wp:positionV relativeFrom="paragraph">
                  <wp:posOffset>1230630</wp:posOffset>
                </wp:positionV>
                <wp:extent cx="35560" cy="19685"/>
                <wp:effectExtent l="0" t="0" r="0" b="0"/>
                <wp:wrapNone/>
                <wp:docPr id="21" name="墨迹 21"/>
                <wp:cNvGraphicFramePr/>
                <a:graphic xmlns:a="http://schemas.openxmlformats.org/drawingml/2006/main">
                  <a:graphicData uri="http://schemas.microsoft.com/office/word/2010/wordprocessingInk">
                    <w14:contentPart xmlns:r="http://schemas.openxmlformats.org/officeDocument/2006/relationships" xmlns:w14="http://schemas.microsoft.com/office/word/2010/wordml" bwMode="clr" r:id="rId7">
                      <w14:nvContentPartPr>
                        <w14:cNvContentPartPr/>
                      </w14:nvContentPartPr>
                      <w14:xfrm>
                        <a:off x="7106285" y="7406640"/>
                        <a:ext cx="35560" cy="19685"/>
                      </w14:xfrm>
                    </w14:contentPart>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o:spid="_x0000_s1025" type="#_x0000_t75" style="width:2.8pt;height:1.55pt;margin-top:96.9pt;margin-left:469.55pt;mso-height-relative:page;mso-width-relative:page;position:absolute;z-index:251660288" coordsize="21600,21600">
                <v:imagedata r:id="rId8" o:title=""/>
              </v:shape>
            </w:pict>
          </mc:Fallback>
        </mc:AlternateConten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eastAsia="楷体" w:hint="eastAsia"/>
          <w:kern w:val="2"/>
          <w:sz w:val="28"/>
          <w:szCs w:val="28"/>
          <w:lang w:eastAsia="zh-CN" w:bidi="ar-SA"/>
        </w:rPr>
        <w:sectPr>
          <w:footerReference w:type="default" r:id="rId9"/>
          <w:endnotePr>
            <w:numFmt w:val="decimal"/>
          </w:endnotePr>
          <w:type w:val="nextPage"/>
          <w:pgSz w:w="11906" w:h="16838"/>
          <w:pgMar w:top="1417" w:right="1417" w:bottom="1417" w:left="1417" w:header="851" w:footer="850" w:gutter="0"/>
          <w:pgNumType w:start="3"/>
          <w:cols w:num="1" w:space="0"/>
          <w:titlePg w:val="0"/>
          <w:rtlGutter w:val="0"/>
          <w:docGrid w:type="lines" w:linePitch="312" w:charSpace="0"/>
        </w:sectPr>
      </w:pPr>
      <w:r>
        <w:rPr>
          <w:rFonts w:eastAsia="楷体" w:cs="Times New Roman" w:hint="eastAsia"/>
          <w:kern w:val="2"/>
          <w:sz w:val="28"/>
          <w:szCs w:val="28"/>
          <w:lang w:val="en-US" w:eastAsia="zh-CN" w:bidi="ar-SA"/>
        </w:rPr>
        <w:t>供应链金融是依托核心企业与小贷金融机构建立联系，为供应链链条参与者提供服务，即依托高信用的核心企业等大型组织对供应链上下游链条参与者延伸，通过链条的信息流、资金流以及物流，实现缓释风险、共同增收。</w:t>
      </w:r>
    </w:p>
    <w:p>
      <w:pPr>
        <w:jc w:val="center"/>
        <w:rPr>
          <w:rFonts w:eastAsia="楷体"/>
          <w:kern w:val="2"/>
          <w:sz w:val="28"/>
          <w:szCs w:val="28"/>
          <w:lang w:eastAsia="zh-CN" w:bidi="ar-SA"/>
        </w:rPr>
      </w:pPr>
      <w:r>
        <w:rPr>
          <w:rFonts w:eastAsia="楷体" w:hint="eastAsia"/>
          <w:kern w:val="2"/>
          <w:sz w:val="28"/>
          <w:szCs w:val="28"/>
          <w:lang w:eastAsia="zh-CN" w:bidi="ar-SA"/>
        </w:rPr>
        <w:drawing>
          <wp:inline distT="0" distB="0" distL="114300" distR="114300">
            <wp:extent cx="5094605" cy="2548255"/>
            <wp:effectExtent l="0" t="0" r="10795" b="12065"/>
            <wp:docPr id="16" name="图片 16" descr="ffaec1b77bc649e5144f76e04e1e7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faec1b77bc649e5144f76e04e1e7d5"/>
                    <pic:cNvPicPr>
                      <a:picLocks noChangeAspect="1"/>
                    </pic:cNvPicPr>
                  </pic:nvPicPr>
                  <pic:blipFill>
                    <a:blip xmlns:r="http://schemas.openxmlformats.org/officeDocument/2006/relationships" r:embed="rId10"/>
                    <a:stretch>
                      <a:fillRect/>
                    </a:stretch>
                  </pic:blipFill>
                  <pic:spPr>
                    <a:xfrm>
                      <a:off x="0" y="0"/>
                      <a:ext cx="5094605" cy="2548255"/>
                    </a:xfrm>
                    <a:prstGeom prst="rect">
                      <a:avLst/>
                    </a:prstGeom>
                  </pic:spPr>
                </pic:pic>
              </a:graphicData>
            </a:graphic>
          </wp:inline>
        </w:drawing>
      </w:r>
    </w:p>
    <w:p>
      <w:pPr>
        <w:pStyle w:val="Caption"/>
        <w:jc w:val="center"/>
        <w:rPr>
          <w:rFonts w:eastAsia="仿宋"/>
          <w:kern w:val="2"/>
          <w:sz w:val="28"/>
          <w:szCs w:val="28"/>
          <w:lang w:eastAsia="zh-CN" w:bidi="ar-SA"/>
        </w:rPr>
      </w:pPr>
      <w:r>
        <w:rPr>
          <w:lang w:eastAsia="zh-CN"/>
        </w:rPr>
        <w:t>图1-</w:t>
      </w:r>
      <w:r>
        <w:fldChar w:fldCharType="begin"/>
      </w:r>
      <w:r>
        <w:rPr>
          <w:lang w:eastAsia="zh-CN"/>
        </w:rPr>
        <w:instrText xml:space="preserve"> SEQ 图1- \* ARABIC </w:instrText>
      </w:r>
      <w:r>
        <w:fldChar w:fldCharType="separate"/>
      </w:r>
      <w:r>
        <w:rPr>
          <w:lang w:eastAsia="zh-CN"/>
        </w:rPr>
        <w:t>1</w:t>
      </w:r>
      <w:r>
        <w:fldChar w:fldCharType="end"/>
      </w:r>
      <w:r>
        <w:rPr>
          <w:rFonts w:hint="eastAsia"/>
          <w:lang w:eastAsia="zh-CN"/>
        </w:rPr>
        <w:t>规模以上工业企业应收账款净额（亿元）</w:t>
      </w:r>
    </w:p>
    <w:p>
      <w:pPr>
        <w:rPr>
          <w:lang w:eastAsia="zh-CN"/>
        </w:rPr>
      </w:pPr>
      <w:r>
        <w:rPr>
          <w:rFonts w:hint="eastAsia"/>
          <w:lang w:eastAsia="zh-CN"/>
        </w:rPr>
        <w:t>（资料来源：国家统计局）</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lang w:eastAsia="zh-CN"/>
        </w:rPr>
      </w:pPr>
      <w:r>
        <w:rPr>
          <w:rFonts w:eastAsia="楷体" w:cs="Times New Roman" w:hint="eastAsia"/>
          <w:kern w:val="2"/>
          <w:sz w:val="28"/>
          <w:szCs w:val="28"/>
          <w:lang w:val="en-US" w:eastAsia="zh-CN" w:bidi="ar-SA"/>
        </w:rPr>
        <w:t>如图1-1数据显示，我国2020年末规模以上工业企业应收账款净额16.4万亿元，这其中拥有巨大的企业融资需求，而2019年我国商业保理量仅有1.38万亿元，可以看出大量的供应链需求未被满足，假使最大程度的将应收账款作为潜在抵押品充分利用，则我国供应链金融市场拥有巨大的潜力。</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eastAsia="楷体" w:hint="eastAsia"/>
          <w:kern w:val="2"/>
          <w:sz w:val="28"/>
          <w:szCs w:val="28"/>
          <w:lang w:eastAsia="zh-CN" w:bidi="ar-SA"/>
        </w:rPr>
        <w:sectPr>
          <w:footerReference w:type="default" r:id="rId11"/>
          <w:endnotePr>
            <w:numFmt w:val="decimal"/>
          </w:endnotePr>
          <w:type w:val="nextPage"/>
          <w:pgSz w:w="11906" w:h="16838"/>
          <w:pgMar w:top="1417" w:right="1417" w:bottom="1417" w:left="1417" w:header="851" w:footer="850" w:gutter="0"/>
          <w:pgNumType w:start="4"/>
          <w:cols w:num="1" w:space="0"/>
          <w:titlePg w:val="0"/>
          <w:rtlGutter w:val="0"/>
          <w:docGrid w:type="lines" w:linePitch="312" w:charSpace="0"/>
        </w:sectPr>
      </w:pPr>
      <w:r>
        <w:rPr>
          <w:rFonts w:eastAsia="楷体" w:cs="Times New Roman" w:hint="eastAsia"/>
          <w:kern w:val="2"/>
          <w:sz w:val="28"/>
          <w:szCs w:val="28"/>
          <w:lang w:val="en-US" w:eastAsia="zh-CN" w:bidi="ar-SA"/>
        </w:rPr>
        <w:t>而我国供应链金融市场中，银行仅占4%的市场规模，相反例如B2B平台、供应链公司企业和金融科技公司等小贷金融机构更加容易做出规模，因此一定程度提高了我国供应链金融的融资成本。</w:t>
      </w:r>
    </w:p>
    <w:p>
      <w:pPr>
        <w:jc w:val="center"/>
        <w:rPr>
          <w:rFonts w:eastAsiaTheme="minorEastAsia"/>
          <w:lang w:eastAsia="zh-CN"/>
        </w:rPr>
      </w:pPr>
      <w:r>
        <w:rPr>
          <w:rFonts w:eastAsiaTheme="minorEastAsia" w:hint="eastAsia"/>
          <w:lang w:eastAsia="zh-CN"/>
        </w:rPr>
        <w:drawing>
          <wp:inline distT="0" distB="0" distL="114300" distR="114300">
            <wp:extent cx="5051425" cy="3594100"/>
            <wp:effectExtent l="5080" t="4445" r="18415" b="13335"/>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Caption"/>
        <w:jc w:val="center"/>
        <w:rPr>
          <w:rFonts w:eastAsia="仿宋"/>
          <w:lang w:eastAsia="zh-CN"/>
        </w:rPr>
      </w:pPr>
      <w:r>
        <w:rPr>
          <w:lang w:eastAsia="zh-CN"/>
        </w:rPr>
        <w:t>图1-</w:t>
      </w:r>
      <w:r>
        <w:fldChar w:fldCharType="begin"/>
      </w:r>
      <w:r>
        <w:rPr>
          <w:lang w:eastAsia="zh-CN"/>
        </w:rPr>
        <w:instrText xml:space="preserve"> SEQ 图1- \* ARABIC </w:instrText>
      </w:r>
      <w:r>
        <w:fldChar w:fldCharType="separate"/>
      </w:r>
      <w:r>
        <w:rPr>
          <w:lang w:eastAsia="zh-CN"/>
        </w:rPr>
        <w:t>2</w:t>
      </w:r>
      <w:r>
        <w:fldChar w:fldCharType="end"/>
      </w:r>
      <w:r>
        <w:rPr>
          <w:rFonts w:hint="eastAsia"/>
          <w:lang w:eastAsia="zh-CN"/>
        </w:rPr>
        <w:t>供应链金融服务公司类型分布</w:t>
      </w:r>
    </w:p>
    <w:p>
      <w:pPr>
        <w:rPr>
          <w:lang w:eastAsia="zh-CN"/>
        </w:rPr>
      </w:pPr>
      <w:r>
        <w:rPr>
          <w:rFonts w:hint="eastAsia"/>
          <w:lang w:eastAsia="zh-CN"/>
        </w:rPr>
        <w:t>（资料来源：万联网，利基研究院整理）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eastAsia="楷体" w:hint="eastAsia"/>
          <w:kern w:val="2"/>
          <w:sz w:val="28"/>
          <w:szCs w:val="28"/>
          <w:lang w:eastAsia="zh-CN" w:bidi="ar-SA"/>
        </w:rPr>
      </w:pPr>
      <w:r>
        <w:rPr>
          <w:rFonts w:eastAsia="楷体" w:cs="Times New Roman" w:hint="eastAsia"/>
          <w:kern w:val="2"/>
          <w:sz w:val="28"/>
          <w:szCs w:val="28"/>
          <w:lang w:val="en-US" w:eastAsia="zh-CN" w:bidi="ar-SA"/>
        </w:rPr>
        <w:t>当前大多数研究中将农业价值链金融与农业供应链金融两者混用。诚然这两类金融服务的框架及作用较为相似，运行原理也大致相同，但仍然有一定的区别。农业供应链金融重点关注的是农产品流通过程中，流通主体与上下游经营者之间形成的融资关系。然而农业价值链金融关注的则是链条参与者价值创造之间的作用，以及各类主体所形成的融资样态与性质，更加关注在价值传递、增值方面中小农户与其他主体之间的金融关系，具有较强的微观色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eastAsia="楷体" w:hint="eastAsia"/>
          <w:kern w:val="2"/>
          <w:sz w:val="28"/>
          <w:szCs w:val="28"/>
          <w:lang w:eastAsia="zh-CN" w:bidi="ar-SA"/>
        </w:rPr>
        <w:sectPr>
          <w:footerReference w:type="default" r:id="rId13"/>
          <w:endnotePr>
            <w:numFmt w:val="decimal"/>
          </w:endnotePr>
          <w:type w:val="nextPage"/>
          <w:pgSz w:w="11906" w:h="16838"/>
          <w:pgMar w:top="1417" w:right="1417" w:bottom="1417" w:left="1417" w:header="851" w:footer="850" w:gutter="0"/>
          <w:pgNumType w:start="5"/>
          <w:cols w:num="1" w:space="0"/>
          <w:titlePg w:val="0"/>
          <w:rtlGutter w:val="0"/>
          <w:docGrid w:type="lines" w:linePitch="312" w:charSpace="0"/>
        </w:sectPr>
      </w:pPr>
      <w:r>
        <w:rPr>
          <w:rFonts w:eastAsia="楷体" w:cs="Times New Roman" w:hint="eastAsia"/>
          <w:kern w:val="2"/>
          <w:sz w:val="28"/>
          <w:szCs w:val="28"/>
          <w:lang w:val="en-US" w:eastAsia="zh-CN" w:bidi="ar-SA"/>
        </w:rPr>
        <w:t>农业价值链金融作为传统农业金融服务的一大创新，旨在实现链条参与者的利益共享与增收的服务新模式，有效解决传统农业金融服务中单笔考察等操作弊端，不仅降低了成本，同时缩短了链条循环周期。农业价值链金融与乡村振兴的核心要求完全一致，可以较好的解决农业升级转型问题，但作为新事物，农业价值链金融研究与实践存</w:t>
      </w:r>
      <w:r>
        <w:rPr>
          <w:rFonts w:eastAsia="楷体" w:cs="Times New Roman" w:hint="eastAsia"/>
          <w:kern w:val="2"/>
          <w:sz w:val="28"/>
          <w:szCs w:val="28"/>
          <w:lang w:val="en-US" w:eastAsia="zh-CN" w:bidi="ar-SA"/>
        </w:rPr>
        <mc:AlternateContent>
          <mc:Choice Requires="wpi">
            <w:drawing>
              <wp:anchor distT="0" distB="0" distL="114300" distR="114300" simplePos="0" relativeHeight="251659264" behindDoc="0" locked="0" layoutInCell="1" allowOverlap="1">
                <wp:simplePos x="0" y="0"/>
                <wp:positionH relativeFrom="column">
                  <wp:posOffset>1231265</wp:posOffset>
                </wp:positionH>
                <wp:positionV relativeFrom="paragraph">
                  <wp:posOffset>973455</wp:posOffset>
                </wp:positionV>
                <wp:extent cx="290830" cy="54610"/>
                <wp:effectExtent l="0" t="0" r="0" b="0"/>
                <wp:wrapNone/>
                <wp:docPr id="17" name="墨迹 17"/>
                <wp:cNvGraphicFramePr/>
                <a:graphic xmlns:a="http://schemas.openxmlformats.org/drawingml/2006/main">
                  <a:graphicData uri="http://schemas.microsoft.com/office/word/2010/wordprocessingInk">
                    <w14:contentPart xmlns:r="http://schemas.openxmlformats.org/officeDocument/2006/relationships" xmlns:w14="http://schemas.microsoft.com/office/word/2010/wordml" bwMode="clr" r:id="rId14">
                      <w14:nvContentPartPr>
                        <w14:cNvContentPartPr/>
                      </w14:nvContentPartPr>
                      <w14:xfrm>
                        <a:off x="2374265" y="1887855"/>
                        <a:ext cx="290830" cy="54610"/>
                      </w14:xfrm>
                    </w14:contentPart>
                  </a:graphicData>
                </a:graphic>
              </wp:anchor>
            </w:drawing>
          </mc:Choice>
          <mc:Fallback/>
        </mc:AlternateConten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eastAsia="楷体" w:hint="eastAsia"/>
          <w:kern w:val="2"/>
          <w:sz w:val="28"/>
          <w:szCs w:val="28"/>
          <w:lang w:eastAsia="zh-CN" w:bidi="ar-SA"/>
        </w:rPr>
        <w:sectPr>
          <w:footerReference w:type="default" r:id="rId15"/>
          <w:endnotePr>
            <w:numFmt w:val="decimal"/>
          </w:endnotePr>
          <w:type w:val="nextPage"/>
          <w:pgSz w:w="11906" w:h="16838"/>
          <w:pgMar w:top="1417" w:right="1417" w:bottom="1417" w:left="1417" w:header="851" w:footer="850" w:gutter="0"/>
          <w:pgNumType w:start="6"/>
          <w:cols w:num="1" w:space="0"/>
          <w:titlePg w:val="0"/>
          <w:rtlGutter w:val="0"/>
          <w:docGrid w:type="lines" w:linePitch="312" w:charSpace="0"/>
        </w:sectPr>
      </w:pPr>
      <w:r>
        <w:rPr>
          <w:rFonts w:eastAsia="楷体" w:cs="Times New Roman" w:hint="eastAsia"/>
          <w:kern w:val="2"/>
          <w:sz w:val="28"/>
          <w:szCs w:val="28"/>
          <w:lang w:val="en-US" w:eastAsia="zh-CN" w:bidi="ar-SA"/>
        </w:rPr>
        <w:t>在较大的偏差，故本文选择农业价值链金融模式作为研究对象，进一步分析农业价值链金融在支持乡村振兴的路径中出现的问题，并提出相关对策建议，以期为实现乡村振兴战略进行相关理论探索。</w:t>
      </w:r>
    </w:p>
    <w:p>
      <w:pPr>
        <w:pStyle w:val="Heading1"/>
        <w:keepNext/>
        <w:keepLines/>
        <w:pageBreakBefore/>
        <w:widowControl w:val="0"/>
        <w:kinsoku/>
        <w:wordWrap/>
        <w:overflowPunct/>
        <w:topLinePunct w:val="0"/>
        <w:autoSpaceDE/>
        <w:autoSpaceDN/>
        <w:bidi w:val="0"/>
        <w:adjustRightInd/>
        <w:snapToGrid/>
        <w:spacing w:before="0" w:after="0" w:line="240" w:lineRule="auto"/>
        <w:ind w:left="431" w:hanging="431" w:leftChars="0" w:firstLineChars="0"/>
        <w:jc w:val="both"/>
        <w:textAlignment w:val="auto"/>
        <w:rPr>
          <w:rFonts w:hint="eastAsia"/>
          <w:lang w:val="en-US" w:eastAsia="zh-CN"/>
        </w:rPr>
      </w:pPr>
      <w:bookmarkStart w:id="7" w:name="_Toc6490"/>
      <w:bookmarkStart w:id="8" w:name="_Toc8255"/>
      <w:r>
        <w:rPr>
          <w:rFonts w:hint="eastAsia"/>
          <w:lang w:val="en-US" w:eastAsia="zh-CN"/>
        </w:rPr>
        <w:t>文献综述</w:t>
      </w:r>
      <w:bookmarkEnd w:id="7"/>
      <w:bookmarkEnd w:id="8"/>
    </w:p>
    <w:p>
      <w:pPr>
        <w:pStyle w:val="Heading2"/>
        <w:bidi w:val="0"/>
        <w:ind w:left="576" w:hanging="576" w:leftChars="0" w:firstLineChars="0"/>
        <w:rPr>
          <w:rFonts w:hint="eastAsia"/>
          <w:lang w:eastAsia="zh-CN"/>
        </w:rPr>
      </w:pPr>
      <w:bookmarkStart w:id="9" w:name="_Toc20201"/>
      <w:bookmarkStart w:id="10" w:name="_Toc22677"/>
      <w:r>
        <w:rPr>
          <w:rFonts w:hint="eastAsia"/>
          <w:lang w:eastAsia="zh-CN"/>
        </w:rPr>
        <w:t>国外农业价值链金融模式研究</w:t>
      </w:r>
      <w:bookmarkEnd w:id="9"/>
      <w:bookmarkEnd w:id="10"/>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eastAsia="楷体" w:hint="eastAsia"/>
          <w:kern w:val="2"/>
          <w:sz w:val="28"/>
          <w:szCs w:val="28"/>
          <w:lang w:eastAsia="zh-CN" w:bidi="ar-SA"/>
        </w:rPr>
      </w:pPr>
      <w:r>
        <w:rPr>
          <w:rFonts w:eastAsia="楷体" w:cs="Times New Roman" w:hint="eastAsia"/>
          <w:kern w:val="2"/>
          <w:sz w:val="28"/>
          <w:szCs w:val="28"/>
          <w:lang w:val="en-US" w:eastAsia="zh-CN" w:bidi="ar-SA"/>
        </w:rPr>
        <w:t>Michael Poter（1985）首先在《竞争优势》书中提出了价值链的概念，后由Kaplinsky于2000年加以完善。Casuga et al.（2008）认为农户对农业供应链金融、金融机构交易成本高低的认知不足以及自身农产品种类及其生长周期等因素从而影响农户参与农业供应链金融的积极性</w:t>
      </w:r>
      <w:r>
        <w:rPr>
          <w:rFonts w:eastAsia="楷体" w:cs="Times New Roman" w:hint="eastAsia"/>
          <w:kern w:val="2"/>
          <w:sz w:val="28"/>
          <w:szCs w:val="28"/>
          <w:vertAlign w:val="superscript"/>
          <w:lang w:val="en-US" w:eastAsia="zh-CN" w:bidi="ar-SA"/>
        </w:rPr>
        <w:fldChar w:fldCharType="begin"/>
      </w:r>
      <w:r>
        <w:rPr>
          <w:rFonts w:eastAsia="楷体" w:cs="Times New Roman" w:hint="eastAsia"/>
          <w:kern w:val="2"/>
          <w:sz w:val="28"/>
          <w:szCs w:val="28"/>
          <w:vertAlign w:val="superscript"/>
          <w:lang w:val="en-US" w:eastAsia="zh-CN" w:bidi="ar-SA"/>
        </w:rPr>
        <w:instrText xml:space="preserve"> REF _Ref6756 \r \h </w:instrText>
      </w:r>
      <w:r>
        <w:rPr>
          <w:rFonts w:eastAsia="楷体" w:cs="Times New Roman" w:hint="eastAsia"/>
          <w:kern w:val="2"/>
          <w:sz w:val="28"/>
          <w:szCs w:val="28"/>
          <w:vertAlign w:val="superscript"/>
          <w:lang w:val="en-US" w:eastAsia="zh-CN" w:bidi="ar-SA"/>
        </w:rPr>
        <w:fldChar w:fldCharType="separate"/>
      </w:r>
      <w:r>
        <w:rPr>
          <w:rFonts w:eastAsia="楷体" w:cs="Times New Roman" w:hint="eastAsia"/>
          <w:kern w:val="2"/>
          <w:sz w:val="28"/>
          <w:szCs w:val="28"/>
          <w:vertAlign w:val="superscript"/>
          <w:lang w:val="en-US" w:eastAsia="zh-CN" w:bidi="ar-SA"/>
        </w:rPr>
        <w:t>[11]</w:t>
      </w:r>
      <w:r>
        <w:rPr>
          <w:rFonts w:eastAsia="楷体" w:cs="Times New Roman" w:hint="eastAsia"/>
          <w:kern w:val="2"/>
          <w:sz w:val="28"/>
          <w:szCs w:val="28"/>
          <w:vertAlign w:val="superscript"/>
          <w:lang w:val="en-US" w:eastAsia="zh-CN" w:bidi="ar-SA"/>
        </w:rPr>
        <w:fldChar w:fldCharType="end"/>
      </w:r>
      <w:r>
        <w:rPr>
          <w:rFonts w:eastAsia="楷体" w:cs="Times New Roman" w:hint="eastAsia"/>
          <w:kern w:val="2"/>
          <w:sz w:val="28"/>
          <w:szCs w:val="28"/>
          <w:lang w:val="en-US" w:eastAsia="zh-CN" w:bidi="ar-SA"/>
        </w:rPr>
        <w:t>。Kumar（2013）研究发现，链式融资在借助中介机构扩大服务范围的同时，促进农户增收，调整农村经济结构，加速小农户与现代化农业有机衔接并且改善妇女权利及其地位</w:t>
      </w:r>
      <w:r>
        <w:rPr>
          <w:rFonts w:eastAsia="楷体" w:cs="Times New Roman" w:hint="eastAsia"/>
          <w:kern w:val="2"/>
          <w:sz w:val="28"/>
          <w:szCs w:val="28"/>
          <w:vertAlign w:val="superscript"/>
          <w:lang w:val="en-US" w:eastAsia="zh-CN" w:bidi="ar-SA"/>
        </w:rPr>
        <w:fldChar w:fldCharType="begin"/>
      </w:r>
      <w:r>
        <w:rPr>
          <w:rFonts w:eastAsia="楷体" w:cs="Times New Roman" w:hint="eastAsia"/>
          <w:kern w:val="2"/>
          <w:sz w:val="28"/>
          <w:szCs w:val="28"/>
          <w:vertAlign w:val="superscript"/>
          <w:lang w:val="en-US" w:eastAsia="zh-CN" w:bidi="ar-SA"/>
        </w:rPr>
        <w:instrText xml:space="preserve"> REF _Ref6789 \r \h </w:instrText>
      </w:r>
      <w:r>
        <w:rPr>
          <w:rFonts w:eastAsia="楷体" w:cs="Times New Roman" w:hint="eastAsia"/>
          <w:kern w:val="2"/>
          <w:sz w:val="28"/>
          <w:szCs w:val="28"/>
          <w:vertAlign w:val="superscript"/>
          <w:lang w:val="en-US" w:eastAsia="zh-CN" w:bidi="ar-SA"/>
        </w:rPr>
        <w:fldChar w:fldCharType="separate"/>
      </w:r>
      <w:r>
        <w:rPr>
          <w:rFonts w:eastAsia="楷体" w:cs="Times New Roman" w:hint="eastAsia"/>
          <w:kern w:val="2"/>
          <w:sz w:val="28"/>
          <w:szCs w:val="28"/>
          <w:vertAlign w:val="superscript"/>
          <w:lang w:val="en-US" w:eastAsia="zh-CN" w:bidi="ar-SA"/>
        </w:rPr>
        <w:t>[12]</w:t>
      </w:r>
      <w:r>
        <w:rPr>
          <w:rFonts w:eastAsia="楷体" w:cs="Times New Roman" w:hint="eastAsia"/>
          <w:kern w:val="2"/>
          <w:sz w:val="28"/>
          <w:szCs w:val="28"/>
          <w:vertAlign w:val="superscript"/>
          <w:lang w:val="en-US" w:eastAsia="zh-CN" w:bidi="ar-SA"/>
        </w:rPr>
        <w:fldChar w:fldCharType="end"/>
      </w:r>
      <w:r>
        <w:rPr>
          <w:rFonts w:eastAsia="楷体" w:cs="Times New Roman" w:hint="eastAsia"/>
          <w:kern w:val="2"/>
          <w:sz w:val="28"/>
          <w:szCs w:val="28"/>
          <w:lang w:val="en-US" w:eastAsia="zh-CN" w:bidi="ar-SA"/>
        </w:rPr>
        <w:t>。Van der Rhee（2010）基于价值链的线性假设提出了多主体之间的利益分享模型。Gavimeni（2001）强调价值链中各主体应根据其链条中面临的风险情况进行适当调整收益分配情况。Calvin Miller对农业价值链金融的定义是各类主体之间发生的为了减少各个环节的风险和提升价值链效率的系列融资借贷行为</w:t>
      </w:r>
      <w:r>
        <w:rPr>
          <w:rFonts w:eastAsia="楷体" w:cs="Times New Roman" w:hint="eastAsia"/>
          <w:kern w:val="2"/>
          <w:sz w:val="28"/>
          <w:szCs w:val="28"/>
          <w:vertAlign w:val="superscript"/>
          <w:lang w:val="en-US" w:eastAsia="zh-CN" w:bidi="ar-SA"/>
        </w:rPr>
        <w:fldChar w:fldCharType="begin"/>
      </w:r>
      <w:r>
        <w:rPr>
          <w:rFonts w:eastAsia="楷体" w:cs="Times New Roman" w:hint="eastAsia"/>
          <w:kern w:val="2"/>
          <w:sz w:val="28"/>
          <w:szCs w:val="28"/>
          <w:vertAlign w:val="superscript"/>
          <w:lang w:val="en-US" w:eastAsia="zh-CN" w:bidi="ar-SA"/>
        </w:rPr>
        <w:instrText xml:space="preserve"> REF _Ref6704 \r \h </w:instrText>
      </w:r>
      <w:r>
        <w:rPr>
          <w:rFonts w:eastAsia="楷体" w:cs="Times New Roman" w:hint="eastAsia"/>
          <w:kern w:val="2"/>
          <w:sz w:val="28"/>
          <w:szCs w:val="28"/>
          <w:vertAlign w:val="superscript"/>
          <w:lang w:val="en-US" w:eastAsia="zh-CN" w:bidi="ar-SA"/>
        </w:rPr>
        <w:fldChar w:fldCharType="separate"/>
      </w:r>
      <w:r>
        <w:rPr>
          <w:rFonts w:eastAsia="楷体" w:cs="Times New Roman" w:hint="eastAsia"/>
          <w:kern w:val="2"/>
          <w:sz w:val="28"/>
          <w:szCs w:val="28"/>
          <w:vertAlign w:val="superscript"/>
          <w:lang w:val="en-US" w:eastAsia="zh-CN" w:bidi="ar-SA"/>
        </w:rPr>
        <w:t>[10]</w:t>
      </w:r>
      <w:r>
        <w:rPr>
          <w:rFonts w:eastAsia="楷体" w:cs="Times New Roman" w:hint="eastAsia"/>
          <w:kern w:val="2"/>
          <w:sz w:val="28"/>
          <w:szCs w:val="28"/>
          <w:vertAlign w:val="superscript"/>
          <w:lang w:val="en-US" w:eastAsia="zh-CN" w:bidi="ar-SA"/>
        </w:rPr>
        <w:fldChar w:fldCharType="end"/>
      </w:r>
      <w:r>
        <w:rPr>
          <w:rFonts w:eastAsia="楷体" w:cs="Times New Roman" w:hint="eastAsia"/>
          <w:kern w:val="2"/>
          <w:sz w:val="28"/>
          <w:szCs w:val="28"/>
          <w:lang w:val="en-US" w:eastAsia="zh-CN" w:bidi="ar-SA"/>
        </w:rPr>
        <w:t>。</w:t>
      </w:r>
    </w:p>
    <w:p>
      <w:pPr>
        <w:pStyle w:val="Heading2"/>
        <w:bidi w:val="0"/>
        <w:ind w:left="576" w:hanging="576" w:leftChars="0" w:firstLineChars="0"/>
        <w:rPr>
          <w:rFonts w:hint="eastAsia"/>
          <w:lang w:eastAsia="zh-CN"/>
        </w:rPr>
      </w:pPr>
      <w:bookmarkStart w:id="11" w:name="_Toc19392"/>
      <w:r>
        <w:rPr>
          <w:rFonts w:hint="eastAsia"/>
          <w:lang w:eastAsia="zh-CN"/>
        </w:rPr>
        <w:t>国内农业价值链金融模式研究</w:t>
      </w:r>
      <w:bookmarkEnd w:id="11"/>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eastAsia="楷体" w:hint="eastAsia"/>
          <w:kern w:val="2"/>
          <w:sz w:val="28"/>
          <w:szCs w:val="28"/>
          <w:lang w:eastAsia="zh-CN" w:bidi="ar-SA"/>
        </w:rPr>
      </w:pPr>
      <w:r>
        <w:rPr>
          <w:rFonts w:eastAsia="楷体" w:cs="Times New Roman" w:hint="eastAsia"/>
          <w:kern w:val="2"/>
          <w:sz w:val="28"/>
          <w:szCs w:val="28"/>
          <w:lang w:val="en-US" w:eastAsia="zh-CN" w:bidi="ar-SA"/>
        </w:rPr>
        <w:t>随着我国农业现代化进程的加深，我国农业融资难的问题愈发显著，为解决我国农业融资难的困境，我国学术界借鉴国外经验，提出了农业价值链融资这一创新模式。宋雅楠（2012）认为，农业价值链融资是指链条参与者通过农产品流动过程中所涉及的资金流动以及资金从外部流入链条内部的过程</w:t>
      </w:r>
      <w:r>
        <w:rPr>
          <w:rFonts w:eastAsia="楷体" w:cs="Times New Roman" w:hint="eastAsia"/>
          <w:kern w:val="2"/>
          <w:sz w:val="28"/>
          <w:szCs w:val="28"/>
          <w:vertAlign w:val="superscript"/>
          <w:lang w:val="en-US" w:eastAsia="zh-CN" w:bidi="ar-SA"/>
        </w:rPr>
        <w:fldChar w:fldCharType="begin"/>
      </w:r>
      <w:r>
        <w:rPr>
          <w:rFonts w:eastAsia="楷体" w:cs="Times New Roman" w:hint="eastAsia"/>
          <w:kern w:val="2"/>
          <w:sz w:val="28"/>
          <w:szCs w:val="28"/>
          <w:vertAlign w:val="superscript"/>
          <w:lang w:val="en-US" w:eastAsia="zh-CN" w:bidi="ar-SA"/>
        </w:rPr>
        <w:instrText xml:space="preserve"> REF _Ref6897 \r \h </w:instrText>
      </w:r>
      <w:r>
        <w:rPr>
          <w:rFonts w:eastAsia="楷体" w:cs="Times New Roman" w:hint="eastAsia"/>
          <w:kern w:val="2"/>
          <w:sz w:val="28"/>
          <w:szCs w:val="28"/>
          <w:vertAlign w:val="superscript"/>
          <w:lang w:val="en-US" w:eastAsia="zh-CN" w:bidi="ar-SA"/>
        </w:rPr>
        <w:fldChar w:fldCharType="separate"/>
      </w:r>
      <w:r>
        <w:rPr>
          <w:rFonts w:eastAsia="楷体" w:cs="Times New Roman" w:hint="eastAsia"/>
          <w:kern w:val="2"/>
          <w:sz w:val="28"/>
          <w:szCs w:val="28"/>
          <w:vertAlign w:val="superscript"/>
          <w:lang w:val="en-US" w:eastAsia="zh-CN" w:bidi="ar-SA"/>
        </w:rPr>
        <w:t>[1]</w:t>
      </w:r>
      <w:r>
        <w:rPr>
          <w:rFonts w:eastAsia="楷体" w:cs="Times New Roman" w:hint="eastAsia"/>
          <w:kern w:val="2"/>
          <w:sz w:val="28"/>
          <w:szCs w:val="28"/>
          <w:vertAlign w:val="superscript"/>
          <w:lang w:val="en-US" w:eastAsia="zh-CN" w:bidi="ar-SA"/>
        </w:rPr>
        <w:fldChar w:fldCharType="end"/>
      </w:r>
      <w:r>
        <w:rPr>
          <w:rFonts w:eastAsia="楷体" w:cs="Times New Roman" w:hint="eastAsia"/>
          <w:kern w:val="2"/>
          <w:sz w:val="28"/>
          <w:szCs w:val="28"/>
          <w:lang w:val="en-US" w:eastAsia="zh-CN" w:bidi="ar-SA"/>
        </w:rPr>
        <w:t>。洪银兴（2009）根据融资形式以及参与主体的不同，将农业价值链融资分为内部融资与外部融资两种模式</w:t>
      </w:r>
      <w:r>
        <w:rPr>
          <w:rFonts w:eastAsia="楷体" w:cs="Times New Roman" w:hint="eastAsia"/>
          <w:kern w:val="2"/>
          <w:sz w:val="28"/>
          <w:szCs w:val="28"/>
          <w:vertAlign w:val="superscript"/>
          <w:lang w:val="en-US" w:eastAsia="zh-CN" w:bidi="ar-SA"/>
        </w:rPr>
        <w:fldChar w:fldCharType="begin"/>
      </w:r>
      <w:r>
        <w:rPr>
          <w:rFonts w:eastAsia="楷体" w:cs="Times New Roman" w:hint="eastAsia"/>
          <w:kern w:val="2"/>
          <w:sz w:val="28"/>
          <w:szCs w:val="28"/>
          <w:vertAlign w:val="superscript"/>
          <w:lang w:val="en-US" w:eastAsia="zh-CN" w:bidi="ar-SA"/>
        </w:rPr>
        <w:instrText xml:space="preserve"> REF _Ref6955 \r \h </w:instrText>
      </w:r>
      <w:r>
        <w:rPr>
          <w:rFonts w:eastAsia="楷体" w:cs="Times New Roman" w:hint="eastAsia"/>
          <w:kern w:val="2"/>
          <w:sz w:val="28"/>
          <w:szCs w:val="28"/>
          <w:vertAlign w:val="superscript"/>
          <w:lang w:val="en-US" w:eastAsia="zh-CN" w:bidi="ar-SA"/>
        </w:rPr>
        <w:fldChar w:fldCharType="separate"/>
      </w:r>
      <w:r>
        <w:rPr>
          <w:rFonts w:eastAsia="楷体" w:cs="Times New Roman" w:hint="eastAsia"/>
          <w:kern w:val="2"/>
          <w:sz w:val="28"/>
          <w:szCs w:val="28"/>
          <w:vertAlign w:val="superscript"/>
          <w:lang w:val="en-US" w:eastAsia="zh-CN" w:bidi="ar-SA"/>
        </w:rPr>
        <w:t>[2]</w:t>
      </w:r>
      <w:r>
        <w:rPr>
          <w:rFonts w:eastAsia="楷体" w:cs="Times New Roman" w:hint="eastAsia"/>
          <w:kern w:val="2"/>
          <w:sz w:val="28"/>
          <w:szCs w:val="28"/>
          <w:vertAlign w:val="superscript"/>
          <w:lang w:val="en-US" w:eastAsia="zh-CN" w:bidi="ar-SA"/>
        </w:rPr>
        <w:fldChar w:fldCharType="end"/>
      </w:r>
      <w:r>
        <w:rPr>
          <w:rFonts w:eastAsia="楷体" w:hint="eastAsia"/>
          <w:kern w:val="2"/>
          <w:sz w:val="28"/>
          <w:szCs w:val="28"/>
          <w:lang w:eastAsia="zh-CN" w:bidi="ar-SA"/>
        </w:rPr>
        <w:br/>
      </w:r>
      <w:r>
        <w:rPr>
          <w:rFonts w:eastAsia="楷体" w:hint="eastAsia"/>
          <w:kern w:val="2"/>
          <w:sz w:val="28"/>
          <w:szCs w:val="28"/>
          <w:lang w:eastAsia="zh-CN" w:bidi="ar-SA"/>
        </w:rPr>
        <w:br/>
      </w:r>
    </w:p>
    <w:p>
      <w:pPr>
        <w:widowControl/>
        <w:rPr>
          <w:rFonts w:ascii="SimSun" w:eastAsia="SimSun" w:hAnsi="SimSun" w:cs="SimSun"/>
          <w:b/>
          <w:bCs/>
          <w:sz w:val="30"/>
          <w:szCs w:val="30"/>
        </w:rPr>
      </w:pPr>
      <w:r>
        <w:rPr>
          <w:rFonts w:ascii="SimSun" w:eastAsia="SimSun" w:hAnsi="SimSun" w:cs="SimSun"/>
          <w:b/>
          <w:bCs/>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https://d.book118.com/756233100052010035</w:t>
        </w:r>
      </w:hyperlink>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eastAsia="楷体" w:hint="eastAsia"/>
          <w:kern w:val="2"/>
          <w:sz w:val="28"/>
          <w:szCs w:val="28"/>
          <w:lang w:eastAsia="zh-CN" w:bidi="ar-SA"/>
        </w:rPr>
      </w:pPr>
    </w:p>
    <w:sectPr>
      <w:footerReference w:type="default" r:id="rId17"/>
      <w:endnotePr>
        <w:numFmt w:val="decimal"/>
      </w:endnotePr>
      <w:type w:val="nextPage"/>
      <w:pgSz w:w="11906" w:h="16838"/>
      <w:pgMar w:top="1417" w:right="1417" w:bottom="1417" w:left="1417" w:header="851" w:footer="850" w:gutter="0"/>
      <w:pgNumType w:start="7"/>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Microsoft YaHei UI">
    <w:altName w:val="宋体"/>
    <w:panose1 w:val="020B0503020204020204"/>
    <w:charset w:val="86"/>
    <w:family w:val="swiss"/>
    <w:pitch w:val="default"/>
    <w:sig w:usb0="00000000" w:usb1="00000000" w:usb2="00000016" w:usb3="00000000" w:csb0="0004001F" w:csb1="00000000"/>
  </w:font>
  <w:font w:name="Times New Roman Regular">
    <w:altName w:val="Times New Roman"/>
    <w:panose1 w:val="00000000000000000000"/>
    <w:charset w:val="00"/>
    <w:family w:val="auto"/>
    <w:pitch w:val="default"/>
    <w:sig w:usb0="00000000" w:usb1="00000000" w:usb2="00000001" w:usb3="00000000" w:csb0="400001BF" w:csb1="DFF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49" type="#_x0000_t202" style="width:2in;height:2in;margin-top:0;margin-left:0;mso-position-horizontal:outside;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3197641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0" type="#_x0000_t202" style="width:2in;height:2in;margin-top:0;margin-left:0;mso-position-horizontal:outside;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593212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1" type="#_x0000_t202" style="width:2in;height:2in;margin-top:0;margin-left:0;mso-position-horizontal:outside;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1352522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2" type="#_x0000_t202" style="width:2in;height:2in;margin-top:0;margin-left:0;mso-position-horizontal:outside;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9955173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3" type="#_x0000_t202" style="width:2in;height:2in;margin-top:0;margin-left:0;mso-position-horizontal:outside;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8320761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4" type="#_x0000_t202" style="width:2in;height:2in;margin-top:0;margin-left:0;mso-position-horizontal:outside;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4883291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5" type="#_x0000_t202" style="width:2in;height:2in;margin-top:0;margin-left:0;mso-position-horizontal:outside;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F8E5E2A"/>
    <w:multiLevelType w:val="multilevel"/>
    <w:tmpl w:val="DF8E5E2A"/>
    <w:lvl w:ilvl="0">
      <w:start w:val="1"/>
      <w:numFmt w:val="chineseCounting"/>
      <w:pStyle w:val="Heading1"/>
      <w:lvlText w:val="%1、"/>
      <w:lvlJc w:val="left"/>
      <w:pPr>
        <w:ind w:left="0" w:firstLine="0" w:leftChars="0" w:firstLineChars="0"/>
      </w:pPr>
      <w:rPr>
        <w:rFonts w:ascii="宋体" w:eastAsia="宋体" w:hAnsi="宋体" w:cs="宋体" w:hint="eastAsia"/>
      </w:rPr>
    </w:lvl>
    <w:lvl w:ilvl="1">
      <w:start w:val="1"/>
      <w:numFmt w:val="chineseCounting"/>
      <w:pStyle w:val="Heading2"/>
      <w:lvlText w:val="(%2)"/>
      <w:lvlJc w:val="left"/>
      <w:pPr>
        <w:ind w:left="0" w:firstLine="0" w:leftChars="0" w:firstLineChars="0"/>
      </w:pPr>
      <w:rPr>
        <w:rFonts w:ascii="宋体" w:eastAsia="宋体" w:hAnsi="宋体" w:cs="宋体" w:hint="eastAsia"/>
      </w:rPr>
    </w:lvl>
    <w:lvl w:ilvl="2">
      <w:start w:val="1"/>
      <w:numFmt w:val="decimal"/>
      <w:pStyle w:val="Heading3"/>
      <w:lvlText w:val="%3."/>
      <w:lvlJc w:val="left"/>
      <w:pPr>
        <w:ind w:left="0" w:firstLine="0" w:leftChars="0" w:firstLineChars="0"/>
      </w:pPr>
      <w:rPr>
        <w:rFonts w:ascii="宋体" w:eastAsia="宋体" w:hAnsi="宋体" w:cs="宋体" w:hint="eastAsia"/>
      </w:rPr>
    </w:lvl>
    <w:lvl w:ilvl="3">
      <w:start w:val="1"/>
      <w:numFmt w:val="decimal"/>
      <w:pStyle w:val="Heading4"/>
      <w:lvlText w:val="(%4)"/>
      <w:lvlJc w:val="left"/>
      <w:pPr>
        <w:tabs>
          <w:tab w:val="left" w:pos="420"/>
        </w:tabs>
        <w:ind w:left="420" w:hanging="420" w:leftChars="0" w:firstLineChars="0"/>
      </w:pPr>
      <w:rPr>
        <w:rFonts w:ascii="宋体" w:eastAsia="宋体" w:hAnsi="宋体" w:cs="宋体" w:hint="eastAsia"/>
      </w:rPr>
    </w:lvl>
    <w:lvl w:ilvl="4">
      <w:start w:val="1"/>
      <w:numFmt w:val="decimalEnclosedCircleChinese"/>
      <w:pStyle w:val="Heading5"/>
      <w:lvlText w:val="%5"/>
      <w:lvlJc w:val="left"/>
      <w:pPr>
        <w:ind w:left="1008" w:hanging="1008"/>
      </w:pPr>
      <w:rPr>
        <w:rFonts w:ascii="宋体" w:eastAsia="宋体" w:hAnsi="宋体" w:cs="宋体"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
    <w:nsid w:val="09DD77E5"/>
    <w:multiLevelType w:val="singleLevel"/>
    <w:tmpl w:val="09DD77E5"/>
    <w:lvl w:ilvl="0">
      <w:start w:val="1"/>
      <w:numFmt w:val="decimal"/>
      <w:lvlText w:val="[%1]"/>
      <w:lvlJc w:val="left"/>
      <w:pPr>
        <w:tabs>
          <w:tab w:val="left" w:pos="397"/>
        </w:tabs>
        <w:ind w:left="0" w:firstLine="0" w:leftChars="0"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efaultTabStop w:val="420"/>
  <w:drawingGridVerticalSpacing w:val="156"/>
  <w:noPunctuationKerning/>
  <w:characterSpacingControl w:val="compressPunctuation"/>
  <w:endnotePr>
    <w:numFmt w:val="decimal"/>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6419AA"/>
    <w:rsid w:val="028D4768"/>
    <w:rsid w:val="13863CD3"/>
    <w:rsid w:val="14F532E6"/>
    <w:rsid w:val="3215137B"/>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qFormat="1"/>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5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pPr>
    <w:rPr>
      <w:rFonts w:ascii="Times New Roman" w:eastAsia="仿宋" w:hAnsi="Times New Roman" w:cs="Times New Roman"/>
      <w:color w:val="000000"/>
      <w:sz w:val="21"/>
      <w:szCs w:val="24"/>
      <w:lang w:val="en-US" w:eastAsia="en-US" w:bidi="en-US"/>
    </w:rPr>
  </w:style>
  <w:style w:type="paragraph" w:styleId="Heading1">
    <w:name w:val="heading 1"/>
    <w:basedOn w:val="Normal"/>
    <w:next w:val="Normal"/>
    <w:link w:val="1"/>
    <w:qFormat/>
    <w:pPr>
      <w:keepNext/>
      <w:keepLines/>
      <w:pageBreakBefore/>
      <w:numPr>
        <w:ilvl w:val="0"/>
        <w:numId w:val="1"/>
      </w:numPr>
      <w:spacing w:before="340" w:after="330" w:line="579" w:lineRule="auto"/>
      <w:ind w:left="0" w:firstLine="0"/>
      <w:jc w:val="center"/>
      <w:outlineLvl w:val="0"/>
    </w:pPr>
    <w:rPr>
      <w:b/>
      <w:bCs/>
      <w:kern w:val="44"/>
      <w:sz w:val="28"/>
      <w:szCs w:val="44"/>
    </w:rPr>
  </w:style>
  <w:style w:type="paragraph" w:styleId="Heading2">
    <w:name w:val="heading 2"/>
    <w:basedOn w:val="Normal"/>
    <w:next w:val="Normal"/>
    <w:unhideWhenUsed/>
    <w:qFormat/>
    <w:pPr>
      <w:keepNext/>
      <w:keepLines/>
      <w:numPr>
        <w:ilvl w:val="1"/>
        <w:numId w:val="1"/>
      </w:numPr>
      <w:spacing w:before="260" w:after="260" w:line="416" w:lineRule="auto"/>
      <w:ind w:left="0" w:firstLine="0"/>
      <w:outlineLvl w:val="1"/>
    </w:pPr>
    <w:rPr>
      <w:rFonts w:asciiTheme="majorHAnsi" w:hAnsiTheme="majorHAnsi" w:cstheme="majorBidi"/>
      <w:b/>
      <w:bCs/>
      <w:sz w:val="28"/>
      <w:szCs w:val="32"/>
    </w:rPr>
  </w:style>
  <w:style w:type="paragraph" w:styleId="Heading3">
    <w:name w:val="heading 3"/>
    <w:basedOn w:val="Normal"/>
    <w:next w:val="Normal"/>
    <w:unhideWhenUsed/>
    <w:qFormat/>
    <w:pPr>
      <w:keepNext/>
      <w:keepLines/>
      <w:numPr>
        <w:ilvl w:val="2"/>
        <w:numId w:val="1"/>
      </w:numPr>
      <w:spacing w:before="260" w:after="260" w:line="416" w:lineRule="auto"/>
      <w:ind w:left="0" w:firstLine="0"/>
      <w:outlineLvl w:val="2"/>
    </w:pPr>
    <w:rPr>
      <w:b/>
      <w:bCs/>
      <w:sz w:val="28"/>
      <w:szCs w:val="32"/>
    </w:rPr>
  </w:style>
  <w:style w:type="paragraph" w:styleId="Heading4">
    <w:name w:val="heading 4"/>
    <w:basedOn w:val="Normal"/>
    <w:next w:val="Normal"/>
    <w:unhideWhenUsed/>
    <w:qFormat/>
    <w:pPr>
      <w:keepNext/>
      <w:keepLines/>
      <w:numPr>
        <w:ilvl w:val="3"/>
        <w:numId w:val="1"/>
      </w:numPr>
      <w:tabs>
        <w:tab w:val="left" w:pos="0"/>
      </w:tabs>
      <w:spacing w:before="280" w:after="290" w:line="240" w:lineRule="auto"/>
      <w:ind w:left="420" w:hanging="420"/>
      <w:outlineLvl w:val="3"/>
    </w:pPr>
    <w:rPr>
      <w:rFonts w:asciiTheme="majorAscii" w:hAnsiTheme="majorAscii" w:cstheme="majorBidi"/>
      <w:b/>
      <w:bCs/>
      <w:sz w:val="28"/>
      <w:szCs w:val="28"/>
    </w:rPr>
  </w:style>
  <w:style w:type="paragraph" w:styleId="Heading5">
    <w:name w:val="heading 5"/>
    <w:basedOn w:val="Normal"/>
    <w:next w:val="Normal"/>
    <w:unhideWhenUsed/>
    <w:qFormat/>
    <w:pPr>
      <w:keepNext/>
      <w:keepLines/>
      <w:numPr>
        <w:ilvl w:val="4"/>
        <w:numId w:val="1"/>
      </w:numPr>
      <w:spacing w:before="280" w:after="290" w:line="372" w:lineRule="auto"/>
      <w:outlineLvl w:val="4"/>
    </w:pPr>
    <w:rPr>
      <w:b/>
      <w:sz w:val="28"/>
    </w:rPr>
  </w:style>
  <w:style w:type="character" w:default="1" w:styleId="DefaultParagraphFont">
    <w:name w:val="Default Paragraph Font"/>
    <w:uiPriority w:val="1"/>
    <w:unhideWhenUsed/>
    <w:qFormat/>
  </w:style>
  <w:style w:type="table" w:default="1" w:styleId="TableNormal">
    <w:name w:val="Normal Table"/>
    <w:autoRedefine/>
    <w:uiPriority w:val="99"/>
    <w:unhideWhenUsed/>
    <w:qFormat/>
    <w:tblPr>
      <w:tblCellMar>
        <w:top w:w="0" w:type="dxa"/>
        <w:left w:w="108" w:type="dxa"/>
        <w:bottom w:w="0" w:type="dxa"/>
        <w:right w:w="108" w:type="dxa"/>
      </w:tblCellMar>
    </w:tblPr>
  </w:style>
  <w:style w:type="paragraph" w:styleId="Caption">
    <w:name w:val="caption"/>
    <w:basedOn w:val="Normal"/>
    <w:next w:val="Normal"/>
    <w:autoRedefine/>
    <w:unhideWhenUsed/>
    <w:qFormat/>
    <w:rPr>
      <w:rFonts w:ascii="Arial" w:eastAsia="黑体" w:hAnsi="Arial"/>
      <w:sz w:val="20"/>
    </w:rPr>
  </w:style>
  <w:style w:type="paragraph" w:styleId="TOC5">
    <w:name w:val="toc 5"/>
    <w:basedOn w:val="Normal"/>
    <w:next w:val="Normal"/>
    <w:autoRedefine/>
    <w:qFormat/>
    <w:pPr>
      <w:ind w:left="1680" w:leftChars="800"/>
    </w:pPr>
  </w:style>
  <w:style w:type="paragraph" w:styleId="TOC3">
    <w:name w:val="toc 3"/>
    <w:basedOn w:val="Normal"/>
    <w:next w:val="Normal"/>
    <w:autoRedefine/>
    <w:qFormat/>
    <w:pPr>
      <w:ind w:left="840" w:leftChars="400"/>
    </w:pPr>
  </w:style>
  <w:style w:type="paragraph" w:styleId="EndnoteText">
    <w:name w:val="endnote text"/>
    <w:basedOn w:val="Normal"/>
    <w:link w:val="a"/>
    <w:autoRedefine/>
    <w:qFormat/>
    <w:pPr>
      <w:snapToGrid w:val="0"/>
    </w:pPr>
  </w:style>
  <w:style w:type="paragraph" w:styleId="Footer">
    <w:name w:val="footer"/>
    <w:basedOn w:val="Normal"/>
    <w:autoRedefine/>
    <w:qFormat/>
    <w:pPr>
      <w:tabs>
        <w:tab w:val="center" w:pos="4153"/>
        <w:tab w:val="right" w:pos="8306"/>
      </w:tabs>
      <w:snapToGrid w:val="0"/>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TOC1">
    <w:name w:val="toc 1"/>
    <w:basedOn w:val="Normal"/>
    <w:next w:val="Normal"/>
    <w:autoRedefine/>
    <w:qFormat/>
  </w:style>
  <w:style w:type="paragraph" w:styleId="TOC4">
    <w:name w:val="toc 4"/>
    <w:basedOn w:val="Normal"/>
    <w:next w:val="Normal"/>
    <w:qFormat/>
    <w:pPr>
      <w:ind w:left="1260" w:leftChars="600"/>
    </w:pPr>
  </w:style>
  <w:style w:type="paragraph" w:styleId="TOC2">
    <w:name w:val="toc 2"/>
    <w:basedOn w:val="Normal"/>
    <w:next w:val="Normal"/>
    <w:autoRedefine/>
    <w:qFormat/>
    <w:pPr>
      <w:ind w:left="420" w:leftChars="200"/>
    </w:p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dnoteReference">
    <w:name w:val="endnote reference"/>
    <w:basedOn w:val="DefaultParagraphFont"/>
    <w:autoRedefine/>
    <w:qFormat/>
    <w:rPr>
      <w:vertAlign w:val="superscript"/>
    </w:rPr>
  </w:style>
  <w:style w:type="paragraph" w:customStyle="1" w:styleId="ListParagraph">
    <w:name w:val="List Paragraph"/>
    <w:basedOn w:val="Normal"/>
    <w:autoRedefine/>
    <w:uiPriority w:val="99"/>
    <w:qFormat/>
    <w:pPr>
      <w:ind w:firstLine="420" w:firstLineChars="200"/>
    </w:pPr>
  </w:style>
  <w:style w:type="character" w:customStyle="1" w:styleId="a">
    <w:name w:val="尾注文本 字符"/>
    <w:basedOn w:val="DefaultParagraphFont"/>
    <w:link w:val="EndnoteText"/>
    <w:qFormat/>
    <w:rPr>
      <w:rFonts w:eastAsia="Times New Roman"/>
      <w:color w:val="000000"/>
      <w:sz w:val="24"/>
      <w:szCs w:val="24"/>
      <w:lang w:eastAsia="en-US" w:bidi="en-US"/>
    </w:rPr>
  </w:style>
  <w:style w:type="character" w:customStyle="1" w:styleId="1">
    <w:name w:val="标题 1 字符"/>
    <w:link w:val="Heading1"/>
    <w:qFormat/>
    <w:rPr>
      <w:rFonts w:eastAsia="仿宋"/>
      <w:b/>
      <w:bCs/>
      <w:kern w:val="44"/>
      <w:sz w:val="28"/>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4.xml" /><Relationship Id="rId12" Type="http://schemas.openxmlformats.org/officeDocument/2006/relationships/chart" Target="charts/chart1.xml" /><Relationship Id="rId13" Type="http://schemas.openxmlformats.org/officeDocument/2006/relationships/footer" Target="footer5.xml" /><Relationship Id="rId14" Type="http://schemas.openxmlformats.org/officeDocument/2006/relationships/customXml" Target="ink/ink2.xml" /><Relationship Id="rId15" Type="http://schemas.openxmlformats.org/officeDocument/2006/relationships/footer" Target="footer6.xml" /><Relationship Id="rId16" Type="http://schemas.openxmlformats.org/officeDocument/2006/relationships/hyperlink" Target="https://d.book118.com/756233100052010035" TargetMode="External" /><Relationship Id="rId17" Type="http://schemas.openxmlformats.org/officeDocument/2006/relationships/footer" Target="footer7.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customXml" Target="ink/ink1.xml" /><Relationship Id="rId8" Type="http://schemas.openxmlformats.org/officeDocument/2006/relationships/image" Target="media/image1.png" /><Relationship Id="rId9" Type="http://schemas.openxmlformats.org/officeDocument/2006/relationships/footer" Target="footer3.xml" /></Relationships>
</file>

<file path=word/charts/_rels/chart1.xml.rels><?xml version="1.0" encoding="utf-8" standalone="yes"?><Relationships xmlns="http://schemas.openxmlformats.org/package/2006/relationships"><Relationship Id="rId1" Type="http://schemas.openxmlformats.org/officeDocument/2006/relationships/package" Target="../embeddings/Microsoft_Excel_Worksheet1.xlsx" /><Relationship Id="rId2" Type="http://schemas.openxmlformats.org/officeDocument/2006/relationships/themeOverride" Target="../theme/themeOverride1.xml" /></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供应链金融服务公司类型分布</c:v>
                </c:pt>
              </c:strCache>
            </c:strRef>
          </c:tx>
          <c:explosion val="0"/>
          <c:dPt>
            <c:idx val="0"/>
            <c:bubble3D val="0"/>
            <c:spPr>
              <a:solidFill>
                <a:schemeClr val="accent1"/>
              </a:solidFill>
              <a:ln>
                <a:noFill/>
              </a:ln>
              <a:effectLst/>
            </c:spPr>
          </c:dPt>
          <c:dPt>
            <c:idx val="1"/>
            <c:bubble3D val="0"/>
            <c:spPr>
              <a:solidFill>
                <a:schemeClr val="accent2"/>
              </a:solidFill>
              <a:ln>
                <a:noFill/>
              </a:ln>
              <a:effectLst/>
            </c:spPr>
          </c:dPt>
          <c:dPt>
            <c:idx val="2"/>
            <c:bubble3D val="0"/>
            <c:spPr>
              <a:solidFill>
                <a:schemeClr val="accent3"/>
              </a:solidFill>
              <a:ln>
                <a:noFill/>
              </a:ln>
              <a:effectLst/>
            </c:spPr>
          </c:dPt>
          <c:dPt>
            <c:idx val="3"/>
            <c:bubble3D val="0"/>
            <c:spPr>
              <a:solidFill>
                <a:schemeClr val="accent4"/>
              </a:solidFill>
              <a:ln>
                <a:noFill/>
              </a:ln>
              <a:effectLst/>
            </c:spPr>
          </c:dPt>
          <c:dPt>
            <c:idx val="4"/>
            <c:bubble3D val="0"/>
            <c:spPr>
              <a:solidFill>
                <a:schemeClr val="accent5"/>
              </a:solidFill>
              <a:ln>
                <a:noFill/>
              </a:ln>
              <a:effectLst/>
            </c:spPr>
          </c:dPt>
          <c:dPt>
            <c:idx val="5"/>
            <c:bubble3D val="0"/>
            <c:spPr>
              <a:solidFill>
                <a:schemeClr val="accent6"/>
              </a:solidFill>
              <a:ln>
                <a:noFill/>
              </a:ln>
              <a:effectLst/>
            </c:spPr>
          </c:dPt>
          <c:dPt>
            <c:idx val="6"/>
            <c:bubble3D val="0"/>
            <c:spPr>
              <a:solidFill>
                <a:schemeClr val="accent1">
                  <a:lumMod val="60000"/>
                </a:schemeClr>
              </a:solidFill>
              <a:ln>
                <a:noFill/>
              </a:ln>
              <a:effectLst/>
            </c:spPr>
          </c:dPt>
          <c:dPt>
            <c:idx val="7"/>
            <c:bubble3D val="0"/>
            <c:explosion val="12"/>
            <c:spPr>
              <a:solidFill>
                <a:schemeClr val="accent2">
                  <a:lumMod val="60000"/>
                </a:schemeClr>
              </a:solidFill>
              <a:ln>
                <a:noFill/>
              </a:ln>
              <a:effectLst/>
            </c:spPr>
          </c:dPt>
          <c:dLbls>
            <c:dLbl>
              <c:idx val="0"/>
              <c:layout>
                <c:manualLayout>
                  <c:x val="-0.0185304750404077"/>
                  <c:y val="0.11580353395509"/>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Lst>
            </c:dLbl>
            <c:dLbl>
              <c:idx val="1"/>
              <c:layout>
                <c:manualLayout>
                  <c:x val="-0.121842051556399"/>
                  <c:y val="0.177288048529766"/>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Lst>
            </c:dLbl>
            <c:dLbl>
              <c:idx val="2"/>
              <c:layout>
                <c:manualLayout>
                  <c:x val="-0.118131349398779"/>
                  <c:y val="0.065375389725609"/>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Lst>
            </c:dLbl>
            <c:dLbl>
              <c:idx val="4"/>
              <c:layout>
                <c:manualLayout>
                  <c:x val="-0.089634812182903"/>
                  <c:y val="-0.179465375423294"/>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Lst>
            </c:dLbl>
            <c:dLbl>
              <c:idx val="5"/>
              <c:layout>
                <c:manualLayout>
                  <c:x val="0.110742179483933"/>
                  <c:y val="-0.186075340738935"/>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Lst>
            </c:dLbl>
            <c:dLbl>
              <c:idx val="6"/>
              <c:layout>
                <c:manualLayout>
                  <c:x val="0.206787245944511"/>
                  <c:y val="0.128313337736643"/>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Lst>
            </c:dLbl>
            <c:dLbl>
              <c:idx val="7"/>
              <c:layout>
                <c:manualLayout>
                  <c:x val="0.0185583239849293"/>
                  <c:y val="0.206846864075774"/>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bg1"/>
                    </a:solidFill>
                    <a:latin typeface="+mn-lt"/>
                    <a:ea typeface="+mn-ea"/>
                    <a:cs typeface="+mn-cs"/>
                  </a:defRPr>
                </a:pPr>
              </a:p>
            </c:txPr>
            <c:dLblPos val="inEnd"/>
            <c:showLegendKey val="0"/>
            <c:showVal val="0"/>
            <c:showCatName val="1"/>
            <c:showSerName val="0"/>
            <c:showPercent val="1"/>
            <c:showBubbleSize val="0"/>
            <c:separator>
</c:separator>
            <c:showLeaderLines val="1"/>
            <c:extLst>
              <c:ext xmlns:c15="http://schemas.microsoft.com/office/drawing/2012/chart" uri="{CE6537A1-D6FC-4f65-9D91-7224C49458BB}">
                <c15:showLeaderLines val="1"/>
                <c15:leaderLines>
                  <c:spPr>
                    <a:ln w="9525">
                      <a:solidFill>
                        <a:schemeClr val="tx1">
                          <a:lumMod val="35000"/>
                          <a:lumOff val="65000"/>
                        </a:schemeClr>
                      </a:solidFill>
                      <a:prstDash val="solid"/>
                      <a:round/>
                    </a:ln>
                    <a:effectLst/>
                  </c:spPr>
                </c15:leaderLines>
              </c:ext>
            </c:extLst>
          </c:dLbls>
          <c:cat>
            <c:strRef>
              <c:f>Sheet1!$A$2:$A$9</c:f>
              <c:strCache>
                <c:ptCount val="8"/>
                <c:pt idx="0">
                  <c:v>行业龙头</c:v>
                </c:pt>
                <c:pt idx="1">
                  <c:v>金融信息服务平台</c:v>
                </c:pt>
                <c:pt idx="2">
                  <c:v>物流公司</c:v>
                </c:pt>
                <c:pt idx="3">
                  <c:v>非银金融机构</c:v>
                </c:pt>
                <c:pt idx="4">
                  <c:v>金融科技公司</c:v>
                </c:pt>
                <c:pt idx="5">
                  <c:v>B2B平台</c:v>
                </c:pt>
                <c:pt idx="6">
                  <c:v>供应链公司企业</c:v>
                </c:pt>
                <c:pt idx="7">
                  <c:v>银行</c:v>
                </c:pt>
              </c:strCache>
            </c:strRef>
          </c:cat>
          <c:val>
            <c:numRef>
              <c:f>Sheet1!$B$2:$B$9</c:f>
              <c:numCache>
                <c:formatCode>0%</c:formatCode>
                <c:ptCount val="8"/>
                <c:pt idx="0">
                  <c:v>0.06</c:v>
                </c:pt>
                <c:pt idx="1">
                  <c:v>0.09</c:v>
                </c:pt>
                <c:pt idx="2">
                  <c:v>0.08</c:v>
                </c:pt>
                <c:pt idx="3">
                  <c:v>0.12</c:v>
                </c:pt>
                <c:pt idx="4">
                  <c:v>0.16</c:v>
                </c:pt>
                <c:pt idx="5">
                  <c:v>0.18</c:v>
                </c:pt>
                <c:pt idx="6">
                  <c:v>0.27</c:v>
                </c:pt>
                <c:pt idx="7">
                  <c:v>0.04</c:v>
                </c:pt>
              </c:numCache>
            </c:numRef>
          </c:val>
        </c:ser>
        <c:dLbls>
          <c:showLegendKey val="0"/>
          <c:showVal val="0"/>
          <c:showCatName val="1"/>
          <c:showSerName val="0"/>
          <c:showPercent val="0"/>
          <c:showBubbleSize val="0"/>
          <c:showLeaderLines val="1"/>
        </c:dLbls>
        <c:firstSliceAng val="0"/>
      </c:pieChart>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Entry>
      <c:legendEntry>
        <c:idx val="1"/>
        <c:txPr>
          <a:bodyPr rot="0" spcFirstLastPara="0"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Entry>
      <c:legendEntry>
        <c:idx val="2"/>
        <c:txPr>
          <a:bodyPr rot="0" spcFirstLastPara="0"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Entry>
      <c:legendEntry>
        <c:idx val="3"/>
        <c:txPr>
          <a:bodyPr rot="0" spcFirstLastPara="0"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Entry>
      <c:legendEntry>
        <c:idx val="4"/>
        <c:txPr>
          <a:bodyPr rot="0" spcFirstLastPara="0"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Entry>
      <c:legendEntry>
        <c:idx val="5"/>
        <c:txPr>
          <a:bodyPr rot="0" spcFirstLastPara="0"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Entry>
      <c:legendEntry>
        <c:idx val="6"/>
        <c:txPr>
          <a:bodyPr rot="0" spcFirstLastPara="0"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Entry>
      <c:legendEntry>
        <c:idx val="7"/>
        <c:txPr>
          <a:bodyPr rot="0" spcFirstLastPara="0"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prstDash val="solid"/>
      <a:round/>
    </a:ln>
    <a:effectLst/>
  </c:spPr>
  <c:txPr>
    <a:bodyPr/>
    <a:lstStyle/>
    <a:p>
      <a:pPr>
        <a:defRPr lang="zh-CN" b="1">
          <a:solidFill>
            <a:sysClr val="windowText" lastClr="000000"/>
          </a:solidFill>
        </a:defRPr>
      </a:pPr>
    </a:p>
  </c:txPr>
  <c:externalData r:id="rId1">
    <c:autoUpdate val="0"/>
  </c:externalData>
</c:chartSpace>
</file>

<file path=word/ink/ink1.xml><?xml version="1.0" encoding="utf-8"?>
<inkml:ink xmlns:inkml="http://www.w3.org/2003/InkML">
  <inkml:definitions>
    <inkml:context xml:id="ctx0">
      <inkml:inkSource xml:id="inkSrc0">
        <inkml:traceFormat>
          <inkml:channel name="X" type="integer" units="cm"/>
          <inkml:channel name="Y" type="integer" units="cm"/>
          <inkml:channel name="F" type="integer" max="1023" units="cm"/>
        </inkml:traceFormat>
        <inkml:channelProperties>
          <inkml:channelProperty channel="X" name="resolution" value="28.3464566929134" units="1/cm"/>
          <inkml:channelProperty channel="Y" name="resolution" value="28.3464566929134" units="1/cm"/>
          <inkml:channelProperty channel="F" name="resolution" value="2.84167" units="1/cm"/>
        </inkml:channelProperties>
      </inkml:inkSource>
      <inkml:timestamp xml:id="ts0" timeString="2021-10-27T16:32:59"/>
    </inkml:context>
    <inkml:brush xml:id="br0">
      <inkml:brushProperty name="width" value="0.0166666656732559" units="cm"/>
      <inkml:brushProperty name="height" value="0.0166666656732559" units="cm"/>
      <inkml:brushProperty name="color" value="#000000"/>
      <inkml:brushProperty name="fitToCurve" value="1"/>
      <inkml:brushProperty name="ignorePressure" value="0"/>
    </inkml:brush>
  </inkml:definitions>
  <inkml:trace contextRef="#ctx0" brushRef="#br0">76150 424250 333,'63'25'166,"21"19"-663,20 19 992,20 19-659</inkml:trace>
</inkml:ink>
</file>

<file path=word/ink/ink2.xml><?xml version="1.0" encoding="utf-8"?>
<inkml:ink xmlns:inkml="http://www.w3.org/2003/InkML">
  <inkml:definitions>
    <inkml:context xml:id="ctx0">
      <inkml:inkSource xml:id="inkSrc0">
        <inkml:traceFormat>
          <inkml:channel name="X" type="integer" units="cm"/>
          <inkml:channel name="Y" type="integer" units="cm"/>
          <inkml:channel name="F" type="integer" max="1023" units="cm"/>
        </inkml:traceFormat>
        <inkml:channelProperties>
          <inkml:channelProperty channel="X" name="resolution" value="28.3464566929134" units="1/cm"/>
          <inkml:channelProperty channel="Y" name="resolution" value="28.3464566929134" units="1/cm"/>
          <inkml:channelProperty channel="F" name="resolution" value="2.84167" units="1/cm"/>
        </inkml:channelProperties>
      </inkml:inkSource>
      <inkml:timestamp xml:id="ts0" timeString="2021-10-27T16:32:59"/>
    </inkml:context>
    <inkml:brush xml:id="br0">
      <inkml:brushProperty name="width" value="0.0277777761220932" units="cm"/>
      <inkml:brushProperty name="height" value="0.0277777761220932" units="cm"/>
      <inkml:brushProperty name="color" value="#000000"/>
      <inkml:brushProperty name="fitToCurve" value="1"/>
      <inkml:brushProperty name="ignorePressure" value="0"/>
    </inkml:brush>
  </inkml:definitions>
  <inkml:trace contextRef="#ctx0" brushRef="#br0">25700 710150 1000,'-44'17'0,"13"-16"0,12-15 0,13-15 0,2-6 0,-5 7 0,-7 6 0,-5 7 0,-3 7 0,4 9 0,3 10 0,3 10 0,3 5 0,3 4 0,3 3 0,4 3 0,4-1 0,6-2 0,7-3 0,6-3 0,3-4 0,0-3 0,0-3 0,0-2 0,1-3 0,4 1 0,3-1 0,3 1 0,-1-1 0,-2 1 0,-3-1 0,-3 1 0,-1-3 0,4-2 0,3-3 0,3-3 0,1-1 0,1 4 0,-1 3 0,1 3 0,-1-1 0,1-2 0,-1-3 0,1-3 0,2-2 0,7 0 0,6 0 0,7 0 0,-1 0 0,-6 0 0,-6 0 0,-6 0 0,-4 0 0,1 0 0,-1 0 0,1 0 0,-1 0 0,1 0 0,-1 0 0,1 0 0,1-2 0,3-3 0,3-3 0,4-2 0,-1-1 0,-3 3 0,-3 3 0,-2 4 0,-3 1 0,1 0 0,-1 0 0,1 0 0,-1 0 0,1 0 0,-1 0 0,1 0 0,-3 1 0,-2 4 0,-3 3 0,-3 3 0,-1-1 0,4-2 0,3-3 0,3-3 0,1-2 0,1 0 0,-1 0 0,1 0 0,-1 0 0,1 0 0,-1 0 0,1 0 0,1 1 0,3 4 0,3 3 0,4 3 0,-1-1 0,-3-2 0,-3-3 0,-2-3 0,-12-2 0,-19 0 0,-18 0 0,-19 0 0</inkml:trace>
</inkml:ink>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1423</Words>
  <Characters>8115</Characters>
  <Application>Microsoft Office Word</Application>
  <DocSecurity>0</DocSecurity>
  <Lines>67</Lines>
  <Paragraphs>19</Paragraphs>
  <ScaleCrop>false</ScaleCrop>
  <Company/>
  <LinksUpToDate>false</LinksUpToDate>
  <CharactersWithSpaces>9519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2</cp:revision>
  <dcterms:created xsi:type="dcterms:W3CDTF">2021-10-25T11:10:00Z</dcterms:created>
  <dcterms:modified xsi:type="dcterms:W3CDTF">2024-01-18T05:45:51Z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661777F80E504B3ABABDAC0D16728E31_13</vt:lpwstr>
  </property>
  <property fmtid="{D5CDD505-2E9C-101B-9397-08002B2CF9AE}" pid="3" name="KSOProductBuildVer">
    <vt:lpwstr>2052-12.1.0.16120</vt:lpwstr>
  </property>
</Properties>
</file>