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ind w:firstLine="643"/>
        <w:rPr>
          <w:rFonts w:ascii="宋体" w:hAnsi="宋体" w:hint="eastAsia"/>
          <w:b/>
          <w:sz w:val="32"/>
          <w:szCs w:val="32"/>
        </w:rPr>
      </w:pPr>
      <w:bookmarkStart w:id="0" w:name="_GoBack"/>
      <w:bookmarkEnd w:id="0"/>
    </w:p>
    <w:p>
      <w:pPr>
        <w:pStyle w:val="Normal0"/>
        <w:ind w:firstLine="643"/>
        <w:rPr>
          <w:rFonts w:ascii="宋体" w:hAnsi="宋体" w:hint="eastAsia"/>
          <w:b/>
          <w:sz w:val="32"/>
          <w:szCs w:val="32"/>
        </w:rPr>
      </w:pPr>
    </w:p>
    <w:p>
      <w:pPr>
        <w:pStyle w:val="Normal0"/>
        <w:ind w:firstLine="643"/>
        <w:rPr>
          <w:rFonts w:ascii="宋体" w:hAnsi="宋体" w:hint="eastAsia"/>
          <w:b/>
          <w:sz w:val="32"/>
          <w:szCs w:val="32"/>
        </w:rPr>
      </w:pPr>
    </w:p>
    <w:p>
      <w:pPr>
        <w:pStyle w:val="Normal0"/>
        <w:snapToGrid w:val="0"/>
        <w:spacing w:line="360" w:lineRule="auto"/>
        <w:ind w:left="-567" w:firstLine="130" w:leftChars="-270" w:firstLineChars="27"/>
        <w:jc w:val="center"/>
        <w:rPr>
          <w:rFonts w:ascii="华文行楷" w:eastAsia="华文行楷" w:hAnsi="宋体" w:hint="eastAsia"/>
          <w:b/>
          <w:sz w:val="52"/>
          <w:szCs w:val="52"/>
        </w:rPr>
      </w:pPr>
      <w:r>
        <w:rPr>
          <w:rFonts w:ascii="隶书" w:eastAsia="隶书" w:hAnsi="宋体" w:hint="eastAsia"/>
          <w:b/>
          <w:sz w:val="48"/>
          <w:szCs w:val="48"/>
        </w:rPr>
        <w:t>清水河县坡耕地水土流失综合治理工程</w:t>
      </w:r>
      <w:r>
        <w:rPr>
          <w:rFonts w:ascii="隶书" w:eastAsia="隶书" w:hAnsi="宋体" w:hint="eastAsia"/>
          <w:b/>
          <w:sz w:val="44"/>
          <w:szCs w:val="44"/>
        </w:rPr>
        <w:br/>
      </w:r>
      <w:r>
        <w:rPr>
          <w:rFonts w:ascii="华文行楷" w:eastAsia="华文行楷" w:hAnsi="宋体" w:hint="eastAsia"/>
          <w:b/>
          <w:sz w:val="52"/>
          <w:szCs w:val="52"/>
        </w:rPr>
        <w:t>实施</w:t>
      </w:r>
      <w:r>
        <w:rPr>
          <w:rFonts w:ascii="华文行楷" w:eastAsia="华文行楷" w:hAnsi="宋体" w:hint="eastAsia"/>
          <w:b/>
          <w:sz w:val="52"/>
          <w:szCs w:val="52"/>
          <w:lang w:eastAsia="zh-CN"/>
        </w:rPr>
        <w:t>合适的方案</w:t>
      </w:r>
    </w:p>
    <w:p>
      <w:pPr>
        <w:pStyle w:val="Normal0"/>
        <w:spacing w:line="360" w:lineRule="exact"/>
        <w:ind w:firstLine="643"/>
        <w:rPr>
          <w:rFonts w:ascii="宋体" w:hAnsi="宋体" w:hint="eastAsia"/>
          <w:b/>
          <w:sz w:val="32"/>
          <w:szCs w:val="32"/>
        </w:rPr>
      </w:pPr>
    </w:p>
    <w:p>
      <w:pPr>
        <w:pStyle w:val="Normal0"/>
        <w:spacing w:line="360" w:lineRule="exact"/>
        <w:ind w:firstLine="643"/>
        <w:jc w:val="center"/>
        <w:rPr>
          <w:rFonts w:ascii="宋体" w:hAnsi="宋体" w:hint="eastAsia"/>
          <w:b/>
          <w:sz w:val="32"/>
          <w:szCs w:val="32"/>
        </w:rPr>
      </w:pPr>
    </w:p>
    <w:p>
      <w:pPr>
        <w:pStyle w:val="Normal0"/>
        <w:spacing w:line="360" w:lineRule="exact"/>
        <w:ind w:firstLine="643"/>
        <w:jc w:val="center"/>
        <w:rPr>
          <w:rFonts w:ascii="宋体" w:hAnsi="宋体" w:hint="eastAsia"/>
          <w:b/>
          <w:sz w:val="32"/>
          <w:szCs w:val="32"/>
        </w:rPr>
      </w:pPr>
    </w:p>
    <w:p>
      <w:pPr>
        <w:pStyle w:val="Normal0"/>
        <w:spacing w:line="360" w:lineRule="exact"/>
        <w:ind w:firstLine="643"/>
        <w:jc w:val="center"/>
        <w:rPr>
          <w:rFonts w:ascii="宋体" w:hAnsi="宋体" w:hint="eastAsia"/>
          <w:b/>
          <w:sz w:val="32"/>
          <w:szCs w:val="32"/>
        </w:rPr>
      </w:pPr>
    </w:p>
    <w:p>
      <w:pPr>
        <w:pStyle w:val="Normal0"/>
        <w:spacing w:line="360" w:lineRule="exact"/>
        <w:ind w:firstLine="643"/>
        <w:jc w:val="center"/>
        <w:rPr>
          <w:rFonts w:ascii="宋体" w:hAnsi="宋体" w:hint="eastAsia"/>
          <w:b/>
          <w:sz w:val="32"/>
          <w:szCs w:val="32"/>
        </w:rPr>
      </w:pPr>
    </w:p>
    <w:p>
      <w:pPr>
        <w:pStyle w:val="Normal0"/>
        <w:spacing w:line="360" w:lineRule="exact"/>
        <w:ind w:firstLine="643"/>
        <w:jc w:val="center"/>
        <w:rPr>
          <w:rFonts w:ascii="宋体" w:hAnsi="宋体" w:hint="eastAsia"/>
          <w:b/>
          <w:sz w:val="32"/>
          <w:szCs w:val="32"/>
        </w:rPr>
      </w:pPr>
    </w:p>
    <w:p>
      <w:pPr>
        <w:pStyle w:val="Normal0"/>
        <w:ind w:firstLine="643"/>
        <w:jc w:val="center"/>
        <w:rPr>
          <w:rFonts w:ascii="宋体" w:hAnsi="宋体" w:hint="eastAsia"/>
          <w:b/>
          <w:sz w:val="32"/>
          <w:szCs w:val="32"/>
        </w:rPr>
      </w:pPr>
    </w:p>
    <w:p>
      <w:pPr>
        <w:pStyle w:val="Normal0"/>
        <w:ind w:firstLine="640"/>
        <w:jc w:val="center"/>
        <w:rPr>
          <w:rFonts w:ascii="宋体" w:hAnsi="宋体" w:hint="eastAsia"/>
          <w:sz w:val="32"/>
          <w:szCs w:val="32"/>
        </w:rPr>
      </w:pPr>
    </w:p>
    <w:p>
      <w:pPr>
        <w:pStyle w:val="Normal0"/>
        <w:ind w:firstLine="643"/>
        <w:jc w:val="center"/>
        <w:rPr>
          <w:rFonts w:ascii="宋体" w:hAnsi="宋体" w:hint="eastAsia"/>
          <w:b/>
          <w:sz w:val="32"/>
          <w:szCs w:val="32"/>
        </w:rPr>
      </w:pPr>
    </w:p>
    <w:p>
      <w:pPr>
        <w:pStyle w:val="Normal0"/>
        <w:ind w:firstLine="643"/>
        <w:jc w:val="center"/>
        <w:rPr>
          <w:rFonts w:ascii="宋体" w:hAnsi="宋体" w:hint="eastAsia"/>
          <w:b/>
          <w:sz w:val="32"/>
          <w:szCs w:val="32"/>
        </w:rPr>
      </w:pPr>
    </w:p>
    <w:p>
      <w:pPr>
        <w:pStyle w:val="Normal0"/>
        <w:jc w:val="center"/>
        <w:rPr>
          <w:rFonts w:ascii="宋体" w:hAnsi="宋体" w:hint="eastAsia"/>
          <w:b/>
          <w:sz w:val="32"/>
          <w:szCs w:val="32"/>
        </w:rPr>
      </w:pPr>
    </w:p>
    <w:p>
      <w:pPr>
        <w:pStyle w:val="Normal0"/>
        <w:jc w:val="center"/>
        <w:rPr>
          <w:rFonts w:ascii="宋体" w:hAnsi="宋体" w:hint="eastAsia"/>
          <w:b/>
          <w:sz w:val="32"/>
          <w:szCs w:val="32"/>
        </w:rPr>
      </w:pPr>
    </w:p>
    <w:p>
      <w:pPr>
        <w:pStyle w:val="Normal0"/>
        <w:ind w:left="-4" w:hanging="563" w:leftChars="-270" w:hangingChars="176"/>
        <w:jc w:val="center"/>
        <w:rPr>
          <w:rFonts w:ascii="宋体" w:hAnsi="宋体" w:hint="eastAsia"/>
          <w:b/>
          <w:sz w:val="36"/>
          <w:szCs w:val="36"/>
        </w:rPr>
      </w:pPr>
      <w:r>
        <w:rPr>
          <w:rFonts w:ascii="宋体" w:hAnsi="宋体" w:hint="eastAsia"/>
          <w:b/>
          <w:sz w:val="32"/>
          <w:szCs w:val="32"/>
        </w:rPr>
        <w:t xml:space="preserve"> </w:t>
      </w:r>
      <w:r>
        <w:rPr>
          <w:rFonts w:ascii="宋体" w:hAnsi="宋体" w:hint="eastAsia"/>
          <w:b/>
          <w:sz w:val="36"/>
          <w:szCs w:val="36"/>
        </w:rPr>
        <w:t xml:space="preserve">     清水河县水土保持工作站</w:t>
      </w:r>
    </w:p>
    <w:p>
      <w:pPr>
        <w:pStyle w:val="Normal0"/>
        <w:ind w:left="67" w:hanging="634" w:leftChars="-270" w:hangingChars="176"/>
        <w:jc w:val="center"/>
        <w:rPr>
          <w:rFonts w:ascii="宋体" w:hAnsi="宋体" w:hint="eastAsia"/>
          <w:b/>
          <w:sz w:val="36"/>
          <w:szCs w:val="36"/>
        </w:rPr>
      </w:pPr>
    </w:p>
    <w:p>
      <w:pPr>
        <w:pStyle w:val="Normal0"/>
        <w:ind w:left="67" w:hanging="634" w:leftChars="-270" w:hangingChars="176"/>
        <w:jc w:val="center"/>
        <w:rPr>
          <w:rFonts w:ascii="宋体" w:hAnsi="宋体" w:hint="eastAsia"/>
          <w:b/>
          <w:sz w:val="36"/>
          <w:szCs w:val="36"/>
        </w:rPr>
      </w:pPr>
      <w:r>
        <w:rPr>
          <w:rFonts w:ascii="宋体" w:hAnsi="宋体" w:hint="eastAsia"/>
          <w:b/>
          <w:sz w:val="36"/>
          <w:szCs w:val="36"/>
        </w:rPr>
        <w:t xml:space="preserve">      2011年03月</w:t>
      </w:r>
    </w:p>
    <w:p>
      <w:pPr>
        <w:pStyle w:val="Normal0"/>
        <w:jc w:val="center"/>
        <w:rPr>
          <w:rFonts w:ascii="宋体" w:hAnsi="宋体" w:hint="eastAsia"/>
          <w:b/>
          <w:sz w:val="32"/>
          <w:szCs w:val="32"/>
        </w:rPr>
      </w:pPr>
    </w:p>
    <w:p>
      <w:pPr>
        <w:pStyle w:val="Normal0"/>
        <w:jc w:val="center"/>
        <w:sectPr>
          <w:headerReference w:type="default" r:id="rId5"/>
          <w:footerReference w:type="default" r:id="rId6"/>
          <w:pgSz w:w="11907" w:h="16840"/>
          <w:pgMar w:top="1701" w:right="1418" w:bottom="1418" w:left="1418" w:header="1417" w:footer="567" w:gutter="567"/>
          <w:pgNumType w:start="0"/>
          <w:cols w:num="1" w:space="720"/>
          <w:titlePg/>
          <w:docGrid w:type="lines" w:linePitch="312" w:charSpace="0"/>
        </w:sectPr>
      </w:pPr>
    </w:p>
    <w:p>
      <w:pPr>
        <w:pStyle w:val="Heading1"/>
      </w:pPr>
      <w:r>
        <w:rPr>
          <w:rFonts w:hint="eastAsia"/>
        </w:rPr>
        <w:t>总体布置与措施设计</w:t>
      </w:r>
    </w:p>
    <w:p>
      <w:pPr>
        <w:pStyle w:val="Heading2"/>
        <w:rPr>
          <w:rFonts w:hint="eastAsia"/>
        </w:rPr>
      </w:pPr>
      <w:r>
        <w:rPr>
          <w:rFonts w:hint="eastAsia"/>
        </w:rPr>
        <w:t>水土保持分区</w:t>
      </w:r>
    </w:p>
    <w:p>
      <w:pPr>
        <w:pStyle w:val="Normal0"/>
        <w:ind w:firstLine="560" w:firstLineChars="200"/>
        <w:rPr>
          <w:rFonts w:hint="eastAsia"/>
        </w:rPr>
      </w:pPr>
      <w:r>
        <w:rPr>
          <w:rFonts w:hint="eastAsia"/>
          <w:bCs/>
          <w:sz w:val="28"/>
          <w:szCs w:val="28"/>
          <w:lang w:eastAsia="zh-CN"/>
        </w:rPr>
        <w:t>相关项目</w:t>
      </w:r>
      <w:r>
        <w:rPr>
          <w:rFonts w:hint="eastAsia"/>
          <w:bCs/>
          <w:sz w:val="28"/>
          <w:szCs w:val="28"/>
        </w:rPr>
        <w:t>区位于清水河县中部，清水河流域下游，属黄土丘陵沟壑区、低山丘陵区，主要地貌特征为梁峁沟坡，水土流失的主要形式是水力侵蚀，多发生于沟坡梁峁，面蚀沟蚀并行，沟头沟沿均不同程度出现重力侵蚀，水土流失较为严重，在水土保持 “三区划分”中属于重点治理区。</w:t>
      </w:r>
    </w:p>
    <w:p>
      <w:pPr>
        <w:pStyle w:val="Heading3"/>
      </w:pPr>
      <w:r>
        <w:rPr>
          <w:rFonts w:hint="eastAsia"/>
        </w:rPr>
        <w:t>土地利用现状及土地资源评价</w:t>
      </w:r>
    </w:p>
    <w:p>
      <w:pPr>
        <w:pStyle w:val="Normal0"/>
        <w:ind w:firstLine="560" w:firstLineChars="200"/>
        <w:rPr>
          <w:rFonts w:ascii="宋体" w:hAns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）土地利用现状</w:t>
      </w:r>
    </w:p>
    <w:p>
      <w:pPr>
        <w:pStyle w:val="Normal0"/>
        <w:ind w:firstLine="560" w:firstLineChars="200"/>
        <w:rPr>
          <w:rFonts w:ascii="宋体" w:hAnsi="宋体"/>
          <w:sz w:val="28"/>
          <w:szCs w:val="28"/>
        </w:rPr>
      </w:pPr>
      <w:r>
        <w:rPr>
          <w:rFonts w:ascii="宋体" w:hAnsi="宋体" w:hint="eastAsia"/>
          <w:sz w:val="28"/>
          <w:szCs w:val="28"/>
          <w:lang w:eastAsia="zh-CN"/>
        </w:rPr>
        <w:t>相关项目</w:t>
      </w:r>
      <w:r>
        <w:rPr>
          <w:rFonts w:ascii="宋体" w:hAnsi="宋体" w:hint="eastAsia"/>
          <w:sz w:val="28"/>
          <w:szCs w:val="28"/>
        </w:rPr>
        <w:t>区总面积</w:t>
      </w:r>
      <w:r>
        <w:rPr>
          <w:rFonts w:ascii="宋体" w:hAnsi="宋体"/>
          <w:sz w:val="28"/>
          <w:szCs w:val="28"/>
        </w:rPr>
        <w:t>80</w:t>
      </w:r>
      <w:r>
        <w:rPr>
          <w:rFonts w:ascii="宋体" w:hAnsi="宋体"/>
          <w:position w:val="-4"/>
          <w:sz w:val="28"/>
          <w:szCs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15pt" o:ole="" coordsize="21600,21600" o:preferrelative="t" filled="f" stroked="f">
            <v:stroke joinstyle="miter"/>
            <v:imagedata r:id="rId7" o:title=""/>
            <o:lock v:ext="edit" aspectratio="t"/>
            <w10:anchorlock/>
          </v:shape>
          <o:OLEObject Type="Embed" ProgID="Equation.3" ShapeID="_x0000_i1025" DrawAspect="Content" ObjectID="_1468075725" r:id="rId8"/>
        </w:object>
      </w:r>
      <w:r>
        <w:rPr>
          <w:rFonts w:ascii="宋体" w:hAnsi="宋体" w:hint="eastAsia"/>
          <w:sz w:val="28"/>
          <w:szCs w:val="28"/>
        </w:rPr>
        <w:t>，其中耕地</w:t>
      </w:r>
      <w:r>
        <w:rPr>
          <w:rFonts w:ascii="宋体" w:hAnsi="宋体"/>
          <w:sz w:val="28"/>
          <w:szCs w:val="28"/>
        </w:rPr>
        <w:t>3570</w:t>
      </w:r>
      <w:r>
        <w:rPr>
          <w:rFonts w:ascii="宋体" w:hAnsi="宋体"/>
          <w:position w:val="-4"/>
          <w:sz w:val="28"/>
          <w:szCs w:val="28"/>
        </w:rPr>
        <w:object>
          <v:shape id="_x0000_i1026" type="#_x0000_t75" style="width:24pt;height:15pt" o:ole="" coordsize="21600,21600" o:preferrelative="t" filled="f" stroked="f">
            <v:stroke joinstyle="miter"/>
            <v:imagedata r:id="rId9" o:title=""/>
            <o:lock v:ext="edit" aspectratio="t"/>
            <w10:anchorlock/>
          </v:shape>
          <o:OLEObject Type="Embed" ProgID="Equation.3" ShapeID="_x0000_i1026" DrawAspect="Content" ObjectID="_1468075726" r:id="rId10"/>
        </w:object>
      </w:r>
      <w:r>
        <w:rPr>
          <w:rFonts w:ascii="宋体" w:hAnsi="宋体" w:hint="eastAsia"/>
          <w:sz w:val="28"/>
          <w:szCs w:val="28"/>
        </w:rPr>
        <w:t>，占总土地面积</w:t>
      </w:r>
      <w:r>
        <w:rPr>
          <w:rFonts w:ascii="宋体" w:hAnsi="宋体"/>
          <w:sz w:val="28"/>
          <w:szCs w:val="28"/>
        </w:rPr>
        <w:t>44.63%</w:t>
      </w:r>
      <w:r>
        <w:rPr>
          <w:rFonts w:ascii="宋体" w:hAnsi="宋体" w:hint="eastAsia"/>
          <w:sz w:val="28"/>
          <w:szCs w:val="28"/>
        </w:rPr>
        <w:t>；林地</w:t>
      </w:r>
      <w:r>
        <w:rPr>
          <w:rFonts w:ascii="宋体" w:hAnsi="宋体"/>
          <w:sz w:val="28"/>
          <w:szCs w:val="28"/>
        </w:rPr>
        <w:t>233.7</w:t>
      </w:r>
      <w:r>
        <w:rPr>
          <w:rFonts w:ascii="宋体" w:hAnsi="宋体"/>
          <w:position w:val="-4"/>
          <w:sz w:val="28"/>
          <w:szCs w:val="28"/>
        </w:rPr>
        <w:object>
          <v:shape id="_x0000_i1027" type="#_x0000_t75" style="width:24pt;height:15pt" o:ole="" coordsize="21600,21600" o:preferrelative="t" filled="f" stroked="f">
            <v:stroke joinstyle="miter"/>
            <v:imagedata r:id="rId11" o:title=""/>
            <o:lock v:ext="edit" aspectratio="t"/>
            <w10:anchorlock/>
          </v:shape>
          <o:OLEObject Type="Embed" ProgID="Equation.3" ShapeID="_x0000_i1027" DrawAspect="Content" ObjectID="_1468075727" r:id="rId12"/>
        </w:object>
      </w:r>
      <w:r>
        <w:rPr>
          <w:rFonts w:ascii="宋体" w:hAnsi="宋体" w:hint="eastAsia"/>
          <w:sz w:val="28"/>
          <w:szCs w:val="28"/>
        </w:rPr>
        <w:t>，占总土地面积</w:t>
      </w:r>
      <w:r>
        <w:rPr>
          <w:rFonts w:ascii="宋体" w:hAnsi="宋体"/>
          <w:sz w:val="28"/>
          <w:szCs w:val="28"/>
        </w:rPr>
        <w:t>2.92%</w:t>
      </w:r>
      <w:r>
        <w:rPr>
          <w:rFonts w:ascii="宋体" w:hAnsi="宋体" w:hint="eastAsia"/>
          <w:sz w:val="28"/>
          <w:szCs w:val="28"/>
        </w:rPr>
        <w:t>；草地</w:t>
      </w:r>
      <w:r>
        <w:rPr>
          <w:rFonts w:ascii="宋体" w:hAnsi="宋体"/>
          <w:sz w:val="28"/>
          <w:szCs w:val="28"/>
        </w:rPr>
        <w:t>3948.5</w:t>
      </w:r>
      <w:r>
        <w:rPr>
          <w:rFonts w:ascii="宋体" w:hAnsi="宋体"/>
          <w:position w:val="-4"/>
          <w:sz w:val="28"/>
          <w:szCs w:val="28"/>
        </w:rPr>
        <w:object>
          <v:shape id="_x0000_i1028" type="#_x0000_t75" style="width:24pt;height:15pt" o:ole="" coordsize="21600,21600" o:preferrelative="t" filled="f" stroked="f">
            <v:stroke joinstyle="miter"/>
            <v:imagedata r:id="rId13" o:title=""/>
            <o:lock v:ext="edit" aspectratio="t"/>
            <w10:anchorlock/>
          </v:shape>
          <o:OLEObject Type="Embed" ProgID="Equation.3" ShapeID="_x0000_i1028" DrawAspect="Content" ObjectID="_1468075728" r:id="rId14"/>
        </w:object>
      </w:r>
      <w:r>
        <w:rPr>
          <w:rFonts w:ascii="宋体" w:hAnsi="宋体" w:hint="eastAsia"/>
          <w:sz w:val="28"/>
          <w:szCs w:val="28"/>
        </w:rPr>
        <w:t>，占总土地面积</w:t>
      </w:r>
      <w:r>
        <w:rPr>
          <w:rFonts w:ascii="宋体" w:hAnsi="宋体"/>
          <w:sz w:val="28"/>
          <w:szCs w:val="28"/>
        </w:rPr>
        <w:t>49.36%</w:t>
      </w:r>
      <w:r>
        <w:rPr>
          <w:rFonts w:ascii="宋体" w:hAnsi="宋体" w:hint="eastAsia"/>
          <w:sz w:val="28"/>
          <w:szCs w:val="28"/>
        </w:rPr>
        <w:t>；交通运输用地</w:t>
      </w:r>
      <w:r>
        <w:rPr>
          <w:rFonts w:ascii="宋体" w:hAnsi="宋体"/>
          <w:sz w:val="28"/>
          <w:szCs w:val="28"/>
        </w:rPr>
        <w:t>72</w:t>
      </w:r>
      <w:r>
        <w:rPr>
          <w:rFonts w:ascii="宋体" w:hAnsi="宋体"/>
          <w:position w:val="-4"/>
          <w:sz w:val="28"/>
          <w:szCs w:val="28"/>
        </w:rPr>
        <w:object>
          <v:shape id="_x0000_i1029" type="#_x0000_t75" style="width:24pt;height:15pt" o:ole="" coordsize="21600,21600" o:preferrelative="t" filled="f" stroked="f">
            <v:stroke joinstyle="miter"/>
            <v:imagedata r:id="rId15" o:title=""/>
            <o:lock v:ext="edit" aspectratio="t"/>
            <w10:anchorlock/>
          </v:shape>
          <o:OLEObject Type="Embed" ProgID="Equation.3" ShapeID="_x0000_i1029" DrawAspect="Content" ObjectID="_1468075729" r:id="rId16"/>
        </w:object>
      </w:r>
      <w:r>
        <w:rPr>
          <w:rFonts w:ascii="宋体" w:hAnsi="宋体" w:hint="eastAsia"/>
          <w:sz w:val="28"/>
          <w:szCs w:val="28"/>
        </w:rPr>
        <w:t>，占总土地面积</w:t>
      </w:r>
      <w:r>
        <w:rPr>
          <w:rFonts w:ascii="宋体" w:hAnsi="宋体"/>
          <w:sz w:val="28"/>
          <w:szCs w:val="28"/>
        </w:rPr>
        <w:t>0.90%</w:t>
      </w:r>
      <w:r>
        <w:rPr>
          <w:rFonts w:ascii="宋体" w:hAnsi="宋体" w:hint="eastAsia"/>
          <w:sz w:val="28"/>
          <w:szCs w:val="28"/>
        </w:rPr>
        <w:t>；城镇用地</w:t>
      </w:r>
      <w:r>
        <w:rPr>
          <w:rFonts w:ascii="宋体" w:hAnsi="宋体"/>
          <w:sz w:val="28"/>
          <w:szCs w:val="28"/>
        </w:rPr>
        <w:t>157</w:t>
      </w:r>
      <w:r>
        <w:rPr>
          <w:rFonts w:ascii="宋体" w:hAnsi="宋体"/>
          <w:position w:val="-4"/>
          <w:sz w:val="28"/>
          <w:szCs w:val="28"/>
        </w:rPr>
        <w:object>
          <v:shape id="_x0000_i1030" type="#_x0000_t75" style="width:24pt;height:15pt" o:ole="" coordsize="21600,21600" o:preferrelative="t" filled="f" stroked="f">
            <v:stroke joinstyle="miter"/>
            <v:imagedata r:id="rId17" o:title=""/>
            <o:lock v:ext="edit" aspectratio="t"/>
            <w10:anchorlock/>
          </v:shape>
          <o:OLEObject Type="Embed" ProgID="Equation.3" ShapeID="_x0000_i1030" DrawAspect="Content" ObjectID="_1468075730" r:id="rId18"/>
        </w:object>
      </w:r>
      <w:r>
        <w:rPr>
          <w:rFonts w:ascii="宋体" w:hAnsi="宋体" w:hint="eastAsia"/>
          <w:sz w:val="28"/>
          <w:szCs w:val="28"/>
        </w:rPr>
        <w:t>，占总土地面积</w:t>
      </w:r>
      <w:r>
        <w:rPr>
          <w:rFonts w:ascii="宋体" w:hAnsi="宋体"/>
          <w:sz w:val="28"/>
          <w:szCs w:val="28"/>
        </w:rPr>
        <w:t>1.96%</w:t>
      </w:r>
      <w:r>
        <w:rPr>
          <w:rFonts w:ascii="宋体" w:hAnsi="宋体" w:hint="eastAsia"/>
          <w:sz w:val="28"/>
          <w:szCs w:val="28"/>
        </w:rPr>
        <w:t>；其它用地</w:t>
      </w:r>
      <w:r>
        <w:rPr>
          <w:rFonts w:ascii="宋体" w:hAnsi="宋体"/>
          <w:sz w:val="28"/>
          <w:szCs w:val="28"/>
        </w:rPr>
        <w:t>18.8</w:t>
      </w:r>
      <w:r>
        <w:rPr>
          <w:rFonts w:ascii="宋体" w:hAnsi="宋体"/>
          <w:position w:val="-4"/>
          <w:sz w:val="28"/>
          <w:szCs w:val="28"/>
        </w:rPr>
        <w:object>
          <v:shape id="_x0000_i1031" type="#_x0000_t75" style="width:24pt;height:15pt" o:ole="" coordsize="21600,21600" o:preferrelative="t" filled="f" stroked="f">
            <v:stroke joinstyle="miter"/>
            <v:imagedata r:id="rId19" o:title=""/>
            <o:lock v:ext="edit" aspectratio="t"/>
            <w10:anchorlock/>
          </v:shape>
          <o:OLEObject Type="Embed" ProgID="Equation.3" ShapeID="_x0000_i1031" DrawAspect="Content" ObjectID="_1468075731" r:id="rId20"/>
        </w:object>
      </w:r>
      <w:r>
        <w:rPr>
          <w:rFonts w:ascii="宋体" w:hAnsi="宋体" w:hint="eastAsia"/>
          <w:sz w:val="28"/>
          <w:szCs w:val="28"/>
        </w:rPr>
        <w:t>，占总土地面积</w:t>
      </w:r>
      <w:r>
        <w:rPr>
          <w:rFonts w:ascii="宋体" w:hAnsi="宋体"/>
          <w:sz w:val="28"/>
          <w:szCs w:val="28"/>
        </w:rPr>
        <w:t>0.24%</w:t>
      </w:r>
      <w:r>
        <w:rPr>
          <w:rFonts w:ascii="宋体" w:hAnsi="宋体" w:hint="eastAsia"/>
          <w:sz w:val="28"/>
          <w:szCs w:val="28"/>
        </w:rPr>
        <w:t>。人均土地</w:t>
      </w:r>
      <w:r>
        <w:rPr>
          <w:rFonts w:ascii="宋体" w:hAnsi="宋体"/>
          <w:sz w:val="28"/>
          <w:szCs w:val="28"/>
        </w:rPr>
        <w:t>2.44</w:t>
      </w:r>
      <w:r>
        <w:rPr>
          <w:rFonts w:ascii="宋体" w:hAnsi="宋体"/>
          <w:position w:val="-4"/>
          <w:sz w:val="28"/>
          <w:szCs w:val="28"/>
        </w:rPr>
        <w:object>
          <v:shape id="_x0000_i1032" type="#_x0000_t75" style="width:24pt;height:15pt" o:ole="" coordsize="21600,21600" o:preferrelative="t" filled="f" stroked="f">
            <v:stroke joinstyle="miter"/>
            <v:imagedata r:id="rId21" o:title=""/>
            <o:lock v:ext="edit" aspectratio="t"/>
            <w10:anchorlock/>
          </v:shape>
          <o:OLEObject Type="Embed" ProgID="Equation.3" ShapeID="_x0000_i1032" DrawAspect="Content" ObjectID="_1468075732" r:id="rId22"/>
        </w:object>
      </w:r>
      <w:r>
        <w:rPr>
          <w:rFonts w:ascii="宋体" w:hAnsi="宋体" w:hint="eastAsia"/>
          <w:sz w:val="28"/>
          <w:szCs w:val="28"/>
        </w:rPr>
        <w:t>，人均耕地</w:t>
      </w:r>
      <w:r>
        <w:rPr>
          <w:rFonts w:ascii="宋体" w:hAnsi="宋体"/>
          <w:sz w:val="28"/>
          <w:szCs w:val="28"/>
        </w:rPr>
        <w:t>1.09</w:t>
      </w:r>
      <w:r>
        <w:rPr>
          <w:rFonts w:ascii="宋体" w:hAnsi="宋体"/>
          <w:position w:val="-4"/>
          <w:sz w:val="28"/>
          <w:szCs w:val="28"/>
        </w:rPr>
        <w:object>
          <v:shape id="_x0000_i1033" type="#_x0000_t75" style="width:24pt;height:15pt" o:ole="" coordsize="21600,21600" o:preferrelative="t" filled="f" stroked="f">
            <v:stroke joinstyle="miter"/>
            <v:imagedata r:id="rId23" o:title=""/>
            <o:lock v:ext="edit" aspectratio="t"/>
            <w10:anchorlock/>
          </v:shape>
          <o:OLEObject Type="Embed" ProgID="Equation.3" ShapeID="_x0000_i1033" DrawAspect="Content" ObjectID="_1468075733" r:id="rId24"/>
        </w:object>
      </w:r>
      <w:r>
        <w:rPr>
          <w:rFonts w:ascii="宋体" w:hAnsi="宋体" w:hint="eastAsia"/>
          <w:sz w:val="28"/>
          <w:szCs w:val="28"/>
        </w:rPr>
        <w:t>。详见表</w:t>
      </w:r>
      <w:r>
        <w:rPr>
          <w:rFonts w:ascii="宋体" w:hAnsi="宋体"/>
          <w:sz w:val="28"/>
          <w:szCs w:val="28"/>
        </w:rPr>
        <w:t>5-1</w:t>
      </w:r>
      <w:r>
        <w:rPr>
          <w:rFonts w:ascii="宋体" w:hAnsi="宋体" w:hint="eastAsia"/>
          <w:sz w:val="28"/>
          <w:szCs w:val="28"/>
        </w:rPr>
        <w:t>。</w:t>
      </w:r>
    </w:p>
    <w:p>
      <w:pPr>
        <w:pStyle w:val="a"/>
        <w:rPr>
          <w:rFonts w:hint="eastAsia"/>
        </w:rPr>
      </w:pPr>
      <w:r>
        <w:rPr>
          <w:rFonts w:hint="eastAsia"/>
        </w:rPr>
        <w:t>表</w:t>
      </w:r>
      <w:r>
        <w:t>5-1</w:t>
      </w:r>
      <w:r>
        <w:rPr>
          <w:rFonts w:hint="eastAsia"/>
        </w:rPr>
        <w:t>　　  　　　　　　　</w:t>
      </w:r>
      <w:r>
        <w:rPr>
          <w:rFonts w:hint="eastAsia"/>
          <w:lang w:eastAsia="zh-CN"/>
        </w:rPr>
        <w:t>相关项目</w:t>
      </w:r>
      <w:r>
        <w:rPr>
          <w:rFonts w:hint="eastAsia"/>
        </w:rPr>
        <w:t>区土地利用现状表</w:t>
      </w:r>
    </w:p>
    <w:tbl>
      <w:tblPr>
        <w:tblStyle w:val="TableNormal"/>
        <w:tblW w:w="8642" w:type="dxa"/>
        <w:tblInd w:w="93" w:type="dxa"/>
        <w:tblCellMar>
          <w:top w:w="0" w:type="dxa"/>
          <w:left w:w="108" w:type="dxa"/>
          <w:bottom w:w="0" w:type="dxa"/>
          <w:right w:w="108" w:type="dxa"/>
        </w:tblCellMar>
      </w:tblPr>
      <w:tblGrid>
        <w:gridCol w:w="1262"/>
        <w:gridCol w:w="1206"/>
        <w:gridCol w:w="1029"/>
        <w:gridCol w:w="1161"/>
        <w:gridCol w:w="897"/>
        <w:gridCol w:w="1029"/>
        <w:gridCol w:w="897"/>
        <w:gridCol w:w="1161"/>
      </w:tblGrid>
      <w:tr>
        <w:tblPrEx>
          <w:tblW w:w="8642" w:type="dxa"/>
          <w:tblInd w:w="93" w:type="dxa"/>
          <w:tblCellMar>
            <w:top w:w="0" w:type="dxa"/>
            <w:left w:w="108" w:type="dxa"/>
            <w:bottom w:w="0" w:type="dxa"/>
            <w:right w:w="108" w:type="dxa"/>
          </w:tblCellMar>
        </w:tblPrEx>
        <w:trPr>
          <w:trHeight w:val="297"/>
        </w:trPr>
        <w:tc>
          <w:tcPr>
            <w:tcW w:w="1262" w:type="dxa"/>
            <w:vMerge w:val="restart"/>
            <w:tcBorders>
              <w:top w:val="single" w:sz="4" w:space="0" w:color="auto"/>
              <w:left w:val="nil"/>
              <w:bottom w:val="single" w:sz="4" w:space="0" w:color="auto"/>
              <w:right w:val="single" w:sz="4" w:space="0" w:color="auto"/>
            </w:tcBorders>
            <w:shd w:val="clear" w:color="auto" w:fill="auto"/>
            <w:noWrap/>
            <w:vAlign w:val="center"/>
          </w:tcPr>
          <w:p>
            <w:pPr>
              <w:pStyle w:val="5"/>
              <w:rPr>
                <w:rFonts w:eastAsia="宋体" w:hint="eastAsia"/>
                <w:b/>
                <w:lang w:eastAsia="zh-CN"/>
              </w:rPr>
            </w:pPr>
            <w:r>
              <w:rPr>
                <w:rFonts w:hint="eastAsia"/>
                <w:b/>
                <w:lang w:eastAsia="zh-CN"/>
              </w:rPr>
              <w:t>相关项目</w:t>
            </w:r>
          </w:p>
        </w:tc>
        <w:tc>
          <w:tcPr>
            <w:tcW w:w="120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pPr>
              <w:pStyle w:val="5"/>
              <w:rPr>
                <w:b/>
              </w:rPr>
            </w:pPr>
            <w:r>
              <w:rPr>
                <w:rFonts w:hint="eastAsia"/>
                <w:b/>
              </w:rPr>
              <w:t>耕地</w:t>
            </w:r>
          </w:p>
        </w:tc>
        <w:tc>
          <w:tcPr>
            <w:tcW w:w="10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pPr>
              <w:pStyle w:val="5"/>
              <w:rPr>
                <w:b/>
              </w:rPr>
            </w:pPr>
            <w:r>
              <w:rPr>
                <w:rFonts w:hint="eastAsia"/>
                <w:b/>
              </w:rPr>
              <w:t>林地</w:t>
            </w:r>
          </w:p>
        </w:tc>
        <w:tc>
          <w:tcPr>
            <w:tcW w:w="116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pPr>
              <w:pStyle w:val="5"/>
              <w:rPr>
                <w:b/>
              </w:rPr>
            </w:pPr>
            <w:r>
              <w:rPr>
                <w:rFonts w:hint="eastAsia"/>
                <w:b/>
              </w:rPr>
              <w:t>草地</w:t>
            </w:r>
          </w:p>
        </w:tc>
        <w:tc>
          <w:tcPr>
            <w:tcW w:w="897" w:type="dxa"/>
            <w:vMerge w:val="restart"/>
            <w:tcBorders>
              <w:top w:val="single" w:sz="4" w:space="0" w:color="auto"/>
              <w:left w:val="nil"/>
              <w:right w:val="single" w:sz="4" w:space="0" w:color="auto"/>
            </w:tcBorders>
            <w:shd w:val="clear" w:color="auto" w:fill="auto"/>
            <w:noWrap/>
            <w:vAlign w:val="center"/>
          </w:tcPr>
          <w:p>
            <w:pPr>
              <w:pStyle w:val="5"/>
              <w:rPr>
                <w:b/>
              </w:rPr>
            </w:pPr>
            <w:r>
              <w:rPr>
                <w:rFonts w:hint="eastAsia"/>
                <w:b/>
              </w:rPr>
              <w:t>交通运输用地</w:t>
            </w:r>
          </w:p>
        </w:tc>
        <w:tc>
          <w:tcPr>
            <w:tcW w:w="1029" w:type="dxa"/>
            <w:tcBorders>
              <w:top w:val="single" w:sz="4" w:space="0" w:color="auto"/>
              <w:left w:val="nil"/>
              <w:bottom w:val="nil"/>
              <w:right w:val="single" w:sz="4" w:space="0" w:color="auto"/>
            </w:tcBorders>
            <w:shd w:val="clear" w:color="auto" w:fill="auto"/>
            <w:noWrap/>
            <w:vAlign w:val="center"/>
          </w:tcPr>
          <w:p>
            <w:pPr>
              <w:pStyle w:val="5"/>
              <w:rPr>
                <w:b/>
              </w:rPr>
            </w:pPr>
            <w:r>
              <w:rPr>
                <w:rFonts w:hint="eastAsia"/>
                <w:b/>
              </w:rPr>
              <w:t>城镇村</w:t>
            </w:r>
          </w:p>
        </w:tc>
        <w:tc>
          <w:tcPr>
            <w:tcW w:w="897" w:type="dxa"/>
            <w:tcBorders>
              <w:top w:val="single" w:sz="4" w:space="0" w:color="auto"/>
              <w:left w:val="nil"/>
              <w:bottom w:val="nil"/>
              <w:right w:val="single" w:sz="4" w:space="0" w:color="auto"/>
            </w:tcBorders>
            <w:shd w:val="clear" w:color="auto" w:fill="auto"/>
            <w:noWrap/>
            <w:vAlign w:val="center"/>
          </w:tcPr>
          <w:p>
            <w:pPr>
              <w:pStyle w:val="5"/>
              <w:rPr>
                <w:b/>
              </w:rPr>
            </w:pPr>
            <w:r>
              <w:rPr>
                <w:rFonts w:hint="eastAsia"/>
                <w:b/>
              </w:rPr>
              <w:t>其他</w:t>
            </w:r>
          </w:p>
        </w:tc>
        <w:tc>
          <w:tcPr>
            <w:tcW w:w="1161" w:type="dxa"/>
            <w:vMerge w:val="restart"/>
            <w:tcBorders>
              <w:top w:val="single" w:sz="4" w:space="0" w:color="auto"/>
              <w:left w:val="single" w:sz="4" w:space="0" w:color="auto"/>
              <w:bottom w:val="single" w:sz="4" w:space="0" w:color="auto"/>
              <w:right w:val="nil"/>
            </w:tcBorders>
            <w:shd w:val="clear" w:color="auto" w:fill="auto"/>
            <w:noWrap/>
            <w:vAlign w:val="center"/>
          </w:tcPr>
          <w:p>
            <w:pPr>
              <w:pStyle w:val="5"/>
              <w:rPr>
                <w:b/>
              </w:rPr>
            </w:pPr>
            <w:r>
              <w:rPr>
                <w:rFonts w:hint="eastAsia"/>
                <w:b/>
              </w:rPr>
              <w:t>合计</w:t>
            </w:r>
          </w:p>
        </w:tc>
      </w:tr>
      <w:tr>
        <w:tblPrEx>
          <w:tblW w:w="8642" w:type="dxa"/>
          <w:tblInd w:w="93" w:type="dxa"/>
          <w:tblCellMar>
            <w:top w:w="0" w:type="dxa"/>
            <w:left w:w="108" w:type="dxa"/>
            <w:bottom w:w="0" w:type="dxa"/>
            <w:right w:w="108" w:type="dxa"/>
          </w:tblCellMar>
        </w:tblPrEx>
        <w:trPr>
          <w:trHeight w:val="359"/>
        </w:trPr>
        <w:tc>
          <w:tcPr>
            <w:tcW w:w="1262" w:type="dxa"/>
            <w:vMerge/>
            <w:tcBorders>
              <w:top w:val="single" w:sz="4" w:space="0" w:color="auto"/>
              <w:left w:val="nil"/>
              <w:bottom w:val="single" w:sz="4" w:space="0" w:color="auto"/>
              <w:right w:val="single" w:sz="4" w:space="0" w:color="auto"/>
            </w:tcBorders>
            <w:vAlign w:val="center"/>
          </w:tcPr>
          <w:p>
            <w:pPr>
              <w:pStyle w:val="5"/>
            </w:pPr>
          </w:p>
        </w:tc>
        <w:tc>
          <w:tcPr>
            <w:tcW w:w="1206" w:type="dxa"/>
            <w:vMerge/>
            <w:tcBorders>
              <w:top w:val="single" w:sz="4" w:space="0" w:color="auto"/>
              <w:left w:val="single" w:sz="4" w:space="0" w:color="auto"/>
              <w:bottom w:val="single" w:sz="4" w:space="0" w:color="auto"/>
              <w:right w:val="single" w:sz="4" w:space="0" w:color="auto"/>
            </w:tcBorders>
            <w:vAlign w:val="center"/>
          </w:tcPr>
          <w:p>
            <w:pPr>
              <w:pStyle w:val="5"/>
            </w:pPr>
          </w:p>
        </w:tc>
        <w:tc>
          <w:tcPr>
            <w:tcW w:w="1029" w:type="dxa"/>
            <w:vMerge/>
            <w:tcBorders>
              <w:top w:val="single" w:sz="4" w:space="0" w:color="auto"/>
              <w:left w:val="single" w:sz="4" w:space="0" w:color="auto"/>
              <w:bottom w:val="single" w:sz="4" w:space="0" w:color="auto"/>
              <w:right w:val="single" w:sz="4" w:space="0" w:color="auto"/>
            </w:tcBorders>
            <w:vAlign w:val="center"/>
          </w:tcPr>
          <w:p>
            <w:pPr>
              <w:pStyle w:val="5"/>
            </w:pPr>
          </w:p>
        </w:tc>
        <w:tc>
          <w:tcPr>
            <w:tcW w:w="1161" w:type="dxa"/>
            <w:vMerge/>
            <w:tcBorders>
              <w:top w:val="single" w:sz="4" w:space="0" w:color="auto"/>
              <w:left w:val="single" w:sz="4" w:space="0" w:color="auto"/>
              <w:bottom w:val="single" w:sz="4" w:space="0" w:color="auto"/>
              <w:right w:val="single" w:sz="4" w:space="0" w:color="auto"/>
            </w:tcBorders>
            <w:vAlign w:val="center"/>
          </w:tcPr>
          <w:p>
            <w:pPr>
              <w:pStyle w:val="5"/>
            </w:pPr>
          </w:p>
        </w:tc>
        <w:tc>
          <w:tcPr>
            <w:tcW w:w="897" w:type="dxa"/>
            <w:vMerge/>
            <w:tcBorders>
              <w:left w:val="nil"/>
              <w:bottom w:val="single" w:sz="4" w:space="0" w:color="auto"/>
              <w:right w:val="single" w:sz="4" w:space="0" w:color="auto"/>
            </w:tcBorders>
            <w:shd w:val="clear" w:color="auto" w:fill="auto"/>
            <w:noWrap/>
            <w:vAlign w:val="center"/>
          </w:tcPr>
          <w:p>
            <w:pPr>
              <w:pStyle w:val="5"/>
            </w:pPr>
          </w:p>
        </w:tc>
        <w:tc>
          <w:tcPr>
            <w:tcW w:w="1029" w:type="dxa"/>
            <w:tcBorders>
              <w:top w:val="nil"/>
              <w:left w:val="nil"/>
              <w:bottom w:val="single" w:sz="4" w:space="0" w:color="auto"/>
              <w:right w:val="single" w:sz="4" w:space="0" w:color="auto"/>
            </w:tcBorders>
            <w:shd w:val="clear" w:color="auto" w:fill="auto"/>
            <w:noWrap/>
            <w:vAlign w:val="center"/>
          </w:tcPr>
          <w:p>
            <w:pPr>
              <w:pStyle w:val="5"/>
              <w:rPr>
                <w:b/>
              </w:rPr>
            </w:pPr>
            <w:r>
              <w:rPr>
                <w:rFonts w:hint="eastAsia"/>
                <w:b/>
              </w:rPr>
              <w:t>用地</w:t>
            </w:r>
          </w:p>
        </w:tc>
        <w:tc>
          <w:tcPr>
            <w:tcW w:w="897" w:type="dxa"/>
            <w:tcBorders>
              <w:top w:val="nil"/>
              <w:left w:val="nil"/>
              <w:bottom w:val="single" w:sz="4" w:space="0" w:color="auto"/>
              <w:right w:val="single" w:sz="4" w:space="0" w:color="auto"/>
            </w:tcBorders>
            <w:shd w:val="clear" w:color="auto" w:fill="auto"/>
            <w:noWrap/>
            <w:vAlign w:val="center"/>
          </w:tcPr>
          <w:p>
            <w:pPr>
              <w:pStyle w:val="5"/>
              <w:rPr>
                <w:b/>
              </w:rPr>
            </w:pPr>
            <w:r>
              <w:rPr>
                <w:rFonts w:hint="eastAsia"/>
                <w:b/>
              </w:rPr>
              <w:t>用地</w:t>
            </w:r>
          </w:p>
        </w:tc>
        <w:tc>
          <w:tcPr>
            <w:tcW w:w="1161" w:type="dxa"/>
            <w:vMerge/>
            <w:tcBorders>
              <w:top w:val="single" w:sz="4" w:space="0" w:color="auto"/>
              <w:left w:val="single" w:sz="4" w:space="0" w:color="auto"/>
              <w:bottom w:val="single" w:sz="4" w:space="0" w:color="auto"/>
              <w:right w:val="nil"/>
            </w:tcBorders>
            <w:vAlign w:val="center"/>
          </w:tcPr>
          <w:p>
            <w:pPr>
              <w:pStyle w:val="5"/>
              <w:rPr>
                <w:b/>
              </w:rPr>
            </w:pPr>
          </w:p>
        </w:tc>
      </w:tr>
      <w:tr>
        <w:tblPrEx>
          <w:tblW w:w="8642" w:type="dxa"/>
          <w:tblInd w:w="93" w:type="dxa"/>
          <w:tblCellMar>
            <w:top w:w="0" w:type="dxa"/>
            <w:left w:w="108" w:type="dxa"/>
            <w:bottom w:w="0" w:type="dxa"/>
            <w:right w:w="108" w:type="dxa"/>
          </w:tblCellMar>
        </w:tblPrEx>
        <w:trPr>
          <w:trHeight w:val="619"/>
        </w:trPr>
        <w:tc>
          <w:tcPr>
            <w:tcW w:w="1262" w:type="dxa"/>
            <w:tcBorders>
              <w:top w:val="nil"/>
              <w:left w:val="nil"/>
              <w:bottom w:val="single" w:sz="4" w:space="0" w:color="auto"/>
              <w:right w:val="single" w:sz="4" w:space="0" w:color="auto"/>
            </w:tcBorders>
            <w:shd w:val="clear" w:color="auto" w:fill="auto"/>
            <w:noWrap/>
            <w:vAlign w:val="center"/>
          </w:tcPr>
          <w:p>
            <w:pPr>
              <w:pStyle w:val="5"/>
            </w:pPr>
            <w:r>
              <w:rPr>
                <w:rFonts w:hint="eastAsia"/>
              </w:rPr>
              <w:t>面积（hm²）</w:t>
            </w:r>
          </w:p>
        </w:tc>
        <w:tc>
          <w:tcPr>
            <w:tcW w:w="1206" w:type="dxa"/>
            <w:tcBorders>
              <w:top w:val="nil"/>
              <w:left w:val="nil"/>
              <w:bottom w:val="single" w:sz="4" w:space="0" w:color="auto"/>
              <w:right w:val="single" w:sz="4" w:space="0" w:color="auto"/>
            </w:tcBorders>
            <w:shd w:val="clear" w:color="auto" w:fill="auto"/>
            <w:noWrap/>
            <w:vAlign w:val="center"/>
          </w:tcPr>
          <w:p>
            <w:pPr>
              <w:pStyle w:val="5"/>
            </w:pPr>
            <w:r>
              <w:rPr>
                <w:rFonts w:hint="eastAsia"/>
              </w:rPr>
              <w:t xml:space="preserve">3570.00 </w:t>
            </w:r>
          </w:p>
        </w:tc>
        <w:tc>
          <w:tcPr>
            <w:tcW w:w="1029" w:type="dxa"/>
            <w:tcBorders>
              <w:top w:val="nil"/>
              <w:left w:val="nil"/>
              <w:bottom w:val="single" w:sz="4" w:space="0" w:color="auto"/>
              <w:right w:val="single" w:sz="4" w:space="0" w:color="auto"/>
            </w:tcBorders>
            <w:shd w:val="clear" w:color="auto" w:fill="auto"/>
            <w:noWrap/>
            <w:vAlign w:val="center"/>
          </w:tcPr>
          <w:p>
            <w:pPr>
              <w:pStyle w:val="5"/>
            </w:pPr>
            <w:r>
              <w:rPr>
                <w:rFonts w:hint="eastAsia"/>
              </w:rPr>
              <w:t xml:space="preserve">233.70 </w:t>
            </w:r>
          </w:p>
        </w:tc>
        <w:tc>
          <w:tcPr>
            <w:tcW w:w="1161" w:type="dxa"/>
            <w:tcBorders>
              <w:top w:val="nil"/>
              <w:left w:val="nil"/>
              <w:bottom w:val="single" w:sz="4" w:space="0" w:color="auto"/>
              <w:right w:val="single" w:sz="4" w:space="0" w:color="auto"/>
            </w:tcBorders>
            <w:shd w:val="clear" w:color="auto" w:fill="auto"/>
            <w:noWrap/>
            <w:vAlign w:val="center"/>
          </w:tcPr>
          <w:p>
            <w:pPr>
              <w:pStyle w:val="5"/>
            </w:pPr>
            <w:r>
              <w:rPr>
                <w:rFonts w:hint="eastAsia"/>
              </w:rPr>
              <w:t xml:space="preserve">3948.50 </w:t>
            </w:r>
          </w:p>
        </w:tc>
        <w:tc>
          <w:tcPr>
            <w:tcW w:w="897" w:type="dxa"/>
            <w:tcBorders>
              <w:top w:val="nil"/>
              <w:left w:val="nil"/>
              <w:bottom w:val="single" w:sz="4" w:space="0" w:color="auto"/>
              <w:right w:val="single" w:sz="4" w:space="0" w:color="auto"/>
            </w:tcBorders>
            <w:shd w:val="clear" w:color="auto" w:fill="auto"/>
            <w:noWrap/>
            <w:vAlign w:val="center"/>
          </w:tcPr>
          <w:p>
            <w:pPr>
              <w:pStyle w:val="5"/>
            </w:pPr>
            <w:r>
              <w:rPr>
                <w:rFonts w:hint="eastAsia"/>
              </w:rPr>
              <w:t xml:space="preserve">72.00 </w:t>
            </w:r>
          </w:p>
        </w:tc>
        <w:tc>
          <w:tcPr>
            <w:tcW w:w="1029" w:type="dxa"/>
            <w:tcBorders>
              <w:top w:val="nil"/>
              <w:left w:val="nil"/>
              <w:bottom w:val="single" w:sz="4" w:space="0" w:color="auto"/>
              <w:right w:val="single" w:sz="4" w:space="0" w:color="auto"/>
            </w:tcBorders>
            <w:shd w:val="clear" w:color="auto" w:fill="auto"/>
            <w:noWrap/>
            <w:vAlign w:val="center"/>
          </w:tcPr>
          <w:p>
            <w:pPr>
              <w:pStyle w:val="5"/>
            </w:pPr>
            <w:r>
              <w:rPr>
                <w:rFonts w:hint="eastAsia"/>
              </w:rPr>
              <w:t xml:space="preserve">157.00 </w:t>
            </w:r>
          </w:p>
        </w:tc>
        <w:tc>
          <w:tcPr>
            <w:tcW w:w="897" w:type="dxa"/>
            <w:tcBorders>
              <w:top w:val="nil"/>
              <w:left w:val="nil"/>
              <w:bottom w:val="single" w:sz="4" w:space="0" w:color="auto"/>
              <w:right w:val="single" w:sz="4" w:space="0" w:color="auto"/>
            </w:tcBorders>
            <w:shd w:val="clear" w:color="auto" w:fill="auto"/>
            <w:noWrap/>
            <w:vAlign w:val="center"/>
          </w:tcPr>
          <w:p>
            <w:pPr>
              <w:pStyle w:val="5"/>
            </w:pPr>
            <w:r>
              <w:rPr>
                <w:rFonts w:hint="eastAsia"/>
              </w:rPr>
              <w:t xml:space="preserve">18.80 </w:t>
            </w:r>
          </w:p>
        </w:tc>
        <w:tc>
          <w:tcPr>
            <w:tcW w:w="1161" w:type="dxa"/>
            <w:tcBorders>
              <w:top w:val="nil"/>
              <w:left w:val="nil"/>
              <w:bottom w:val="single" w:sz="4" w:space="0" w:color="auto"/>
              <w:right w:val="nil"/>
            </w:tcBorders>
            <w:shd w:val="clear" w:color="auto" w:fill="auto"/>
            <w:noWrap/>
            <w:vAlign w:val="center"/>
          </w:tcPr>
          <w:p>
            <w:pPr>
              <w:pStyle w:val="5"/>
            </w:pPr>
            <w:r>
              <w:rPr>
                <w:rFonts w:hint="eastAsia"/>
              </w:rPr>
              <w:t xml:space="preserve">8000.00 </w:t>
            </w:r>
          </w:p>
        </w:tc>
      </w:tr>
      <w:tr>
        <w:tblPrEx>
          <w:tblW w:w="8642" w:type="dxa"/>
          <w:tblInd w:w="93" w:type="dxa"/>
          <w:tblCellMar>
            <w:top w:w="0" w:type="dxa"/>
            <w:left w:w="108" w:type="dxa"/>
            <w:bottom w:w="0" w:type="dxa"/>
            <w:right w:w="108" w:type="dxa"/>
          </w:tblCellMar>
        </w:tblPrEx>
        <w:trPr>
          <w:trHeight w:val="297"/>
        </w:trPr>
        <w:tc>
          <w:tcPr>
            <w:tcW w:w="1262" w:type="dxa"/>
            <w:tcBorders>
              <w:top w:val="nil"/>
              <w:left w:val="nil"/>
              <w:bottom w:val="nil"/>
              <w:right w:val="single" w:sz="4" w:space="0" w:color="auto"/>
            </w:tcBorders>
            <w:shd w:val="clear" w:color="auto" w:fill="auto"/>
            <w:noWrap/>
            <w:vAlign w:val="center"/>
          </w:tcPr>
          <w:p>
            <w:pPr>
              <w:pStyle w:val="5"/>
            </w:pPr>
            <w:r>
              <w:rPr>
                <w:rFonts w:hint="eastAsia"/>
              </w:rPr>
              <w:t>占总土地</w:t>
            </w:r>
          </w:p>
        </w:tc>
        <w:tc>
          <w:tcPr>
            <w:tcW w:w="1206"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44.63 </w:t>
            </w:r>
          </w:p>
        </w:tc>
        <w:tc>
          <w:tcPr>
            <w:tcW w:w="1029"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2.92 </w:t>
            </w:r>
          </w:p>
        </w:tc>
        <w:tc>
          <w:tcPr>
            <w:tcW w:w="116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49.36 </w:t>
            </w:r>
          </w:p>
        </w:tc>
        <w:tc>
          <w:tcPr>
            <w:tcW w:w="897"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0.90 </w:t>
            </w:r>
          </w:p>
        </w:tc>
        <w:tc>
          <w:tcPr>
            <w:tcW w:w="1029"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1.96 </w:t>
            </w:r>
          </w:p>
        </w:tc>
        <w:tc>
          <w:tcPr>
            <w:tcW w:w="897"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0.24 </w:t>
            </w:r>
          </w:p>
        </w:tc>
        <w:tc>
          <w:tcPr>
            <w:tcW w:w="1161" w:type="dxa"/>
            <w:vMerge w:val="restart"/>
            <w:tcBorders>
              <w:top w:val="nil"/>
              <w:left w:val="single" w:sz="4" w:space="0" w:color="auto"/>
              <w:bottom w:val="single" w:sz="4" w:space="0" w:color="auto"/>
              <w:right w:val="nil"/>
            </w:tcBorders>
            <w:shd w:val="clear" w:color="auto" w:fill="auto"/>
            <w:noWrap/>
            <w:vAlign w:val="center"/>
          </w:tcPr>
          <w:p>
            <w:pPr>
              <w:pStyle w:val="5"/>
            </w:pPr>
            <w:r>
              <w:rPr>
                <w:rFonts w:hint="eastAsia"/>
              </w:rPr>
              <w:t xml:space="preserve">100.00 </w:t>
            </w:r>
          </w:p>
        </w:tc>
      </w:tr>
      <w:tr>
        <w:tblPrEx>
          <w:tblW w:w="8642" w:type="dxa"/>
          <w:tblInd w:w="93" w:type="dxa"/>
          <w:tblCellMar>
            <w:top w:w="0" w:type="dxa"/>
            <w:left w:w="108" w:type="dxa"/>
            <w:bottom w:w="0" w:type="dxa"/>
            <w:right w:w="108" w:type="dxa"/>
          </w:tblCellMar>
        </w:tblPrEx>
        <w:trPr>
          <w:trHeight w:val="297"/>
        </w:trPr>
        <w:tc>
          <w:tcPr>
            <w:tcW w:w="1262" w:type="dxa"/>
            <w:tcBorders>
              <w:top w:val="nil"/>
              <w:left w:val="nil"/>
              <w:bottom w:val="single" w:sz="4" w:space="0" w:color="auto"/>
              <w:right w:val="single" w:sz="4" w:space="0" w:color="auto"/>
            </w:tcBorders>
            <w:shd w:val="clear" w:color="auto" w:fill="auto"/>
            <w:noWrap/>
            <w:vAlign w:val="center"/>
          </w:tcPr>
          <w:p>
            <w:pPr>
              <w:pStyle w:val="5"/>
            </w:pPr>
            <w:r>
              <w:rPr>
                <w:rFonts w:hint="eastAsia"/>
              </w:rPr>
              <w:t>面积比%</w:t>
            </w:r>
          </w:p>
        </w:tc>
        <w:tc>
          <w:tcPr>
            <w:tcW w:w="1206" w:type="dxa"/>
            <w:vMerge/>
            <w:tcBorders>
              <w:top w:val="nil"/>
              <w:left w:val="single" w:sz="4" w:space="0" w:color="auto"/>
              <w:bottom w:val="single" w:sz="4" w:space="0" w:color="auto"/>
              <w:right w:val="single" w:sz="4" w:space="0" w:color="auto"/>
            </w:tcBorders>
            <w:vAlign w:val="center"/>
          </w:tcPr>
          <w:p>
            <w:pPr>
              <w:pStyle w:val="5"/>
            </w:pPr>
          </w:p>
        </w:tc>
        <w:tc>
          <w:tcPr>
            <w:tcW w:w="1029" w:type="dxa"/>
            <w:vMerge/>
            <w:tcBorders>
              <w:top w:val="nil"/>
              <w:left w:val="single" w:sz="4" w:space="0" w:color="auto"/>
              <w:bottom w:val="single" w:sz="4" w:space="0" w:color="auto"/>
              <w:right w:val="single" w:sz="4" w:space="0" w:color="auto"/>
            </w:tcBorders>
            <w:vAlign w:val="center"/>
          </w:tcPr>
          <w:p>
            <w:pPr>
              <w:pStyle w:val="5"/>
            </w:pPr>
          </w:p>
        </w:tc>
        <w:tc>
          <w:tcPr>
            <w:tcW w:w="1161" w:type="dxa"/>
            <w:vMerge/>
            <w:tcBorders>
              <w:top w:val="nil"/>
              <w:left w:val="single" w:sz="4" w:space="0" w:color="auto"/>
              <w:bottom w:val="single" w:sz="4" w:space="0" w:color="auto"/>
              <w:right w:val="single" w:sz="4" w:space="0" w:color="auto"/>
            </w:tcBorders>
            <w:vAlign w:val="center"/>
          </w:tcPr>
          <w:p>
            <w:pPr>
              <w:pStyle w:val="5"/>
            </w:pPr>
          </w:p>
        </w:tc>
        <w:tc>
          <w:tcPr>
            <w:tcW w:w="897" w:type="dxa"/>
            <w:vMerge/>
            <w:tcBorders>
              <w:top w:val="nil"/>
              <w:left w:val="single" w:sz="4" w:space="0" w:color="auto"/>
              <w:bottom w:val="single" w:sz="4" w:space="0" w:color="auto"/>
              <w:right w:val="single" w:sz="4" w:space="0" w:color="auto"/>
            </w:tcBorders>
            <w:vAlign w:val="center"/>
          </w:tcPr>
          <w:p>
            <w:pPr>
              <w:pStyle w:val="5"/>
            </w:pPr>
          </w:p>
        </w:tc>
        <w:tc>
          <w:tcPr>
            <w:tcW w:w="1029" w:type="dxa"/>
            <w:vMerge/>
            <w:tcBorders>
              <w:top w:val="nil"/>
              <w:left w:val="single" w:sz="4" w:space="0" w:color="auto"/>
              <w:bottom w:val="single" w:sz="4" w:space="0" w:color="auto"/>
              <w:right w:val="single" w:sz="4" w:space="0" w:color="auto"/>
            </w:tcBorders>
            <w:vAlign w:val="center"/>
          </w:tcPr>
          <w:p>
            <w:pPr>
              <w:pStyle w:val="5"/>
            </w:pPr>
          </w:p>
        </w:tc>
        <w:tc>
          <w:tcPr>
            <w:tcW w:w="897" w:type="dxa"/>
            <w:vMerge/>
            <w:tcBorders>
              <w:top w:val="nil"/>
              <w:left w:val="single" w:sz="4" w:space="0" w:color="auto"/>
              <w:bottom w:val="single" w:sz="4" w:space="0" w:color="auto"/>
              <w:right w:val="single" w:sz="4" w:space="0" w:color="auto"/>
            </w:tcBorders>
            <w:vAlign w:val="center"/>
          </w:tcPr>
          <w:p>
            <w:pPr>
              <w:pStyle w:val="5"/>
            </w:pPr>
          </w:p>
        </w:tc>
        <w:tc>
          <w:tcPr>
            <w:tcW w:w="1161" w:type="dxa"/>
            <w:vMerge/>
            <w:tcBorders>
              <w:top w:val="nil"/>
              <w:left w:val="single" w:sz="4" w:space="0" w:color="auto"/>
              <w:bottom w:val="single" w:sz="4" w:space="0" w:color="auto"/>
              <w:right w:val="nil"/>
            </w:tcBorders>
            <w:vAlign w:val="center"/>
          </w:tcPr>
          <w:p>
            <w:pPr>
              <w:pStyle w:val="5"/>
            </w:pPr>
          </w:p>
        </w:tc>
      </w:tr>
      <w:tr>
        <w:tblPrEx>
          <w:tblW w:w="8642" w:type="dxa"/>
          <w:tblInd w:w="93" w:type="dxa"/>
          <w:tblCellMar>
            <w:top w:w="0" w:type="dxa"/>
            <w:left w:w="108" w:type="dxa"/>
            <w:bottom w:w="0" w:type="dxa"/>
            <w:right w:w="108" w:type="dxa"/>
          </w:tblCellMar>
        </w:tblPrEx>
        <w:trPr>
          <w:trHeight w:val="297"/>
        </w:trPr>
        <w:tc>
          <w:tcPr>
            <w:tcW w:w="1262" w:type="dxa"/>
            <w:tcBorders>
              <w:top w:val="nil"/>
              <w:left w:val="nil"/>
              <w:bottom w:val="nil"/>
              <w:right w:val="single" w:sz="4" w:space="0" w:color="auto"/>
            </w:tcBorders>
            <w:shd w:val="clear" w:color="auto" w:fill="auto"/>
            <w:noWrap/>
            <w:vAlign w:val="center"/>
          </w:tcPr>
          <w:p>
            <w:pPr>
              <w:pStyle w:val="5"/>
            </w:pPr>
            <w:r>
              <w:rPr>
                <w:rFonts w:hint="eastAsia"/>
              </w:rPr>
              <w:t>人均量</w:t>
            </w:r>
          </w:p>
        </w:tc>
        <w:tc>
          <w:tcPr>
            <w:tcW w:w="1206"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1.09 </w:t>
            </w:r>
          </w:p>
        </w:tc>
        <w:tc>
          <w:tcPr>
            <w:tcW w:w="1029"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0.71 </w:t>
            </w:r>
          </w:p>
        </w:tc>
        <w:tc>
          <w:tcPr>
            <w:tcW w:w="116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1.20 </w:t>
            </w:r>
          </w:p>
        </w:tc>
        <w:tc>
          <w:tcPr>
            <w:tcW w:w="897"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0.02 </w:t>
            </w:r>
          </w:p>
        </w:tc>
        <w:tc>
          <w:tcPr>
            <w:tcW w:w="1029"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0.048 </w:t>
            </w:r>
          </w:p>
        </w:tc>
        <w:tc>
          <w:tcPr>
            <w:tcW w:w="897"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5"/>
            </w:pPr>
            <w:r>
              <w:rPr>
                <w:rFonts w:hint="eastAsia"/>
              </w:rPr>
              <w:t xml:space="preserve">0.006 </w:t>
            </w:r>
          </w:p>
        </w:tc>
        <w:tc>
          <w:tcPr>
            <w:tcW w:w="1161" w:type="dxa"/>
            <w:vMerge w:val="restart"/>
            <w:tcBorders>
              <w:top w:val="nil"/>
              <w:left w:val="single" w:sz="4" w:space="0" w:color="auto"/>
              <w:bottom w:val="single" w:sz="4" w:space="0" w:color="auto"/>
              <w:right w:val="nil"/>
            </w:tcBorders>
            <w:shd w:val="clear" w:color="auto" w:fill="auto"/>
            <w:noWrap/>
            <w:vAlign w:val="center"/>
          </w:tcPr>
          <w:p>
            <w:pPr>
              <w:pStyle w:val="5"/>
            </w:pPr>
            <w:r>
              <w:rPr>
                <w:rFonts w:hint="eastAsia"/>
              </w:rPr>
              <w:t xml:space="preserve">3.07 </w:t>
            </w:r>
          </w:p>
        </w:tc>
      </w:tr>
      <w:tr>
        <w:tblPrEx>
          <w:tblW w:w="8642" w:type="dxa"/>
          <w:tblInd w:w="93" w:type="dxa"/>
          <w:tblCellMar>
            <w:top w:w="0" w:type="dxa"/>
            <w:left w:w="108" w:type="dxa"/>
            <w:bottom w:w="0" w:type="dxa"/>
            <w:right w:w="108" w:type="dxa"/>
          </w:tblCellMar>
        </w:tblPrEx>
        <w:trPr>
          <w:trHeight w:val="297"/>
        </w:trPr>
        <w:tc>
          <w:tcPr>
            <w:tcW w:w="1262" w:type="dxa"/>
            <w:tcBorders>
              <w:top w:val="nil"/>
              <w:left w:val="nil"/>
              <w:bottom w:val="single" w:sz="4" w:space="0" w:color="auto"/>
              <w:right w:val="single" w:sz="4" w:space="0" w:color="auto"/>
            </w:tcBorders>
            <w:shd w:val="clear" w:color="auto" w:fill="auto"/>
            <w:noWrap/>
            <w:vAlign w:val="center"/>
          </w:tcPr>
          <w:p>
            <w:pPr>
              <w:pStyle w:val="5"/>
            </w:pPr>
            <w:r>
              <w:rPr>
                <w:rFonts w:hint="eastAsia"/>
              </w:rPr>
              <w:t>（hm²/人）</w:t>
            </w:r>
          </w:p>
        </w:tc>
        <w:tc>
          <w:tcPr>
            <w:tcW w:w="1206" w:type="dxa"/>
            <w:vMerge/>
            <w:tcBorders>
              <w:top w:val="nil"/>
              <w:left w:val="single" w:sz="4" w:space="0" w:color="auto"/>
              <w:bottom w:val="single" w:sz="4" w:space="0" w:color="auto"/>
              <w:right w:val="single" w:sz="4" w:space="0" w:color="auto"/>
            </w:tcBorders>
            <w:vAlign w:val="center"/>
          </w:tcPr>
          <w:p>
            <w:pPr>
              <w:pStyle w:val="5"/>
            </w:pPr>
          </w:p>
        </w:tc>
        <w:tc>
          <w:tcPr>
            <w:tcW w:w="1029" w:type="dxa"/>
            <w:vMerge/>
            <w:tcBorders>
              <w:top w:val="nil"/>
              <w:left w:val="single" w:sz="4" w:space="0" w:color="auto"/>
              <w:bottom w:val="single" w:sz="4" w:space="0" w:color="auto"/>
              <w:right w:val="single" w:sz="4" w:space="0" w:color="auto"/>
            </w:tcBorders>
            <w:vAlign w:val="center"/>
          </w:tcPr>
          <w:p>
            <w:pPr>
              <w:pStyle w:val="5"/>
            </w:pPr>
          </w:p>
        </w:tc>
        <w:tc>
          <w:tcPr>
            <w:tcW w:w="1161" w:type="dxa"/>
            <w:vMerge/>
            <w:tcBorders>
              <w:top w:val="nil"/>
              <w:left w:val="single" w:sz="4" w:space="0" w:color="auto"/>
              <w:bottom w:val="single" w:sz="4" w:space="0" w:color="auto"/>
              <w:right w:val="single" w:sz="4" w:space="0" w:color="auto"/>
            </w:tcBorders>
            <w:vAlign w:val="center"/>
          </w:tcPr>
          <w:p>
            <w:pPr>
              <w:pStyle w:val="5"/>
            </w:pPr>
          </w:p>
        </w:tc>
        <w:tc>
          <w:tcPr>
            <w:tcW w:w="897" w:type="dxa"/>
            <w:vMerge/>
            <w:tcBorders>
              <w:top w:val="nil"/>
              <w:left w:val="single" w:sz="4" w:space="0" w:color="auto"/>
              <w:bottom w:val="single" w:sz="4" w:space="0" w:color="auto"/>
              <w:right w:val="single" w:sz="4" w:space="0" w:color="auto"/>
            </w:tcBorders>
            <w:vAlign w:val="center"/>
          </w:tcPr>
          <w:p>
            <w:pPr>
              <w:pStyle w:val="5"/>
            </w:pPr>
          </w:p>
        </w:tc>
        <w:tc>
          <w:tcPr>
            <w:tcW w:w="1029" w:type="dxa"/>
            <w:vMerge/>
            <w:tcBorders>
              <w:top w:val="nil"/>
              <w:left w:val="single" w:sz="4" w:space="0" w:color="auto"/>
              <w:bottom w:val="single" w:sz="4" w:space="0" w:color="auto"/>
              <w:right w:val="single" w:sz="4" w:space="0" w:color="auto"/>
            </w:tcBorders>
            <w:vAlign w:val="center"/>
          </w:tcPr>
          <w:p>
            <w:pPr>
              <w:pStyle w:val="5"/>
            </w:pPr>
          </w:p>
        </w:tc>
        <w:tc>
          <w:tcPr>
            <w:tcW w:w="897" w:type="dxa"/>
            <w:vMerge/>
            <w:tcBorders>
              <w:top w:val="nil"/>
              <w:left w:val="single" w:sz="4" w:space="0" w:color="auto"/>
              <w:bottom w:val="single" w:sz="4" w:space="0" w:color="auto"/>
              <w:right w:val="single" w:sz="4" w:space="0" w:color="auto"/>
            </w:tcBorders>
            <w:vAlign w:val="center"/>
          </w:tcPr>
          <w:p>
            <w:pPr>
              <w:pStyle w:val="5"/>
            </w:pPr>
          </w:p>
        </w:tc>
        <w:tc>
          <w:tcPr>
            <w:tcW w:w="1161" w:type="dxa"/>
            <w:vMerge/>
            <w:tcBorders>
              <w:top w:val="nil"/>
              <w:left w:val="single" w:sz="4" w:space="0" w:color="auto"/>
              <w:bottom w:val="single" w:sz="4" w:space="0" w:color="auto"/>
              <w:right w:val="nil"/>
            </w:tcBorders>
            <w:vAlign w:val="center"/>
          </w:tcPr>
          <w:p>
            <w:pPr>
              <w:pStyle w:val="5"/>
            </w:pPr>
          </w:p>
        </w:tc>
      </w:tr>
    </w:tbl>
    <w:p>
      <w:pPr>
        <w:pStyle w:val="Normal0"/>
        <w:ind w:firstLine="549" w:firstLineChars="196"/>
        <w:rPr>
          <w:rFonts w:ascii="宋体" w:hAnsi="宋体"/>
          <w:sz w:val="28"/>
          <w:szCs w:val="28"/>
        </w:rPr>
      </w:pPr>
      <w:r>
        <w:rPr>
          <w:rFonts w:ascii="宋体" w:hAnsi="宋体" w:hint="eastAsia"/>
          <w:sz w:val="28"/>
          <w:szCs w:val="28"/>
        </w:rPr>
        <w:t>（</w:t>
      </w:r>
      <w:r>
        <w:rPr>
          <w:rFonts w:ascii="宋体" w:hAnsi="宋体"/>
          <w:sz w:val="28"/>
          <w:szCs w:val="28"/>
        </w:rPr>
        <w:t>2</w:t>
      </w:r>
      <w:r>
        <w:rPr>
          <w:rFonts w:ascii="宋体" w:hAnsi="宋体" w:hint="eastAsia"/>
          <w:sz w:val="28"/>
          <w:szCs w:val="28"/>
        </w:rPr>
        <w:t>）土地资源评价</w:t>
      </w:r>
    </w:p>
    <w:p>
      <w:pPr>
        <w:pStyle w:val="Normal0"/>
        <w:ind w:firstLine="560" w:firstLineChars="200"/>
        <w:rPr>
          <w:rFonts w:ascii="宋体" w:hAnsi="宋体" w:hint="eastAsia"/>
          <w:sz w:val="28"/>
          <w:szCs w:val="28"/>
        </w:rPr>
        <w:sectPr>
          <w:headerReference w:type="default" r:id="rId25"/>
          <w:footerReference w:type="default" r:id="rId26"/>
          <w:type w:val="nextPage"/>
          <w:pgSz w:w="11907" w:h="16840"/>
          <w:pgMar w:top="1701" w:right="1418" w:bottom="1418" w:left="1418" w:header="1417" w:footer="567" w:gutter="567"/>
          <w:pgNumType w:start="1"/>
          <w:cols w:num="1" w:space="720"/>
          <w:titlePg w:val="0"/>
          <w:docGrid w:type="lines" w:linePitch="312" w:charSpace="0"/>
        </w:sectPr>
      </w:pPr>
    </w:p>
    <w:p>
      <w:pPr>
        <w:pStyle w:val="Normal0"/>
        <w:ind w:firstLine="560" w:firstLineChars="200"/>
        <w:rPr>
          <w:rFonts w:ascii="宋体" w:hAnsi="宋体" w:hint="eastAsia"/>
          <w:sz w:val="28"/>
          <w:szCs w:val="28"/>
        </w:rPr>
      </w:pPr>
      <w:r>
        <w:rPr>
          <w:rFonts w:ascii="宋体" w:hAnsi="宋体" w:hint="eastAsia"/>
          <w:sz w:val="28"/>
          <w:szCs w:val="28"/>
        </w:rPr>
        <w:t>经实地调查，对地形、地貌、土壤特性、侵蚀程度等指标分析，按照《水土保持规划通则》（</w:t>
      </w:r>
      <w:r>
        <w:rPr>
          <w:rFonts w:ascii="宋体" w:hAnsi="宋体"/>
          <w:sz w:val="28"/>
          <w:szCs w:val="28"/>
        </w:rPr>
        <w:t>GB/T15772</w:t>
      </w:r>
      <w:r>
        <w:rPr>
          <w:rFonts w:ascii="宋体" w:hAnsi="宋体" w:hint="eastAsia"/>
          <w:sz w:val="28"/>
          <w:szCs w:val="28"/>
        </w:rPr>
        <w:t>—</w:t>
      </w:r>
      <w:r>
        <w:rPr>
          <w:rFonts w:ascii="宋体" w:hAnsi="宋体"/>
          <w:sz w:val="28"/>
          <w:szCs w:val="28"/>
        </w:rPr>
        <w:t>2008</w:t>
      </w:r>
      <w:r>
        <w:rPr>
          <w:rFonts w:ascii="宋体" w:hAnsi="宋体" w:hint="eastAsia"/>
          <w:sz w:val="28"/>
          <w:szCs w:val="28"/>
        </w:rPr>
        <w:t>），根据各类土地的可利用程度，土壤养分分级标准，结合</w:t>
      </w:r>
      <w:r>
        <w:rPr>
          <w:rFonts w:ascii="宋体" w:hAnsi="宋体" w:hint="eastAsia"/>
          <w:sz w:val="28"/>
          <w:szCs w:val="28"/>
          <w:lang w:eastAsia="zh-CN"/>
        </w:rPr>
        <w:t>相关项目</w:t>
      </w:r>
      <w:r>
        <w:rPr>
          <w:rFonts w:ascii="宋体" w:hAnsi="宋体" w:hint="eastAsia"/>
          <w:sz w:val="28"/>
          <w:szCs w:val="28"/>
        </w:rPr>
        <w:t>区内各土地类型的生产能力，本着充分发挥土地的生产潜力，地尽其用、确定土地等级和对各业用地的适宜性，因地制宜合理的利用途径，提高经济效益。土地适宜性评价详见表</w:t>
      </w:r>
      <w:r>
        <w:rPr>
          <w:rFonts w:ascii="宋体" w:hAnsi="宋体"/>
          <w:sz w:val="28"/>
          <w:szCs w:val="28"/>
        </w:rPr>
        <w:t>5-2</w:t>
      </w:r>
      <w:r>
        <w:rPr>
          <w:rFonts w:ascii="宋体" w:hAnsi="宋体" w:hint="eastAsia"/>
          <w:sz w:val="28"/>
          <w:szCs w:val="28"/>
        </w:rPr>
        <w:t>。</w:t>
      </w:r>
    </w:p>
    <w:p>
      <w:pPr>
        <w:pStyle w:val="a"/>
        <w:rPr>
          <w:rFonts w:hint="eastAsia"/>
        </w:rPr>
      </w:pPr>
      <w:r>
        <w:rPr>
          <w:rFonts w:hint="eastAsia"/>
        </w:rPr>
        <w:t>表</w:t>
      </w:r>
      <w:r>
        <w:t>5-2</w:t>
      </w:r>
      <w:r>
        <w:rPr>
          <w:rFonts w:hint="eastAsia"/>
        </w:rPr>
        <w:t>　　　　　　　　　　土地资源评价等级表</w:t>
      </w:r>
    </w:p>
    <w:tbl>
      <w:tblPr>
        <w:tblStyle w:val="TableNormal"/>
        <w:tblW w:w="8578" w:type="dxa"/>
        <w:tblInd w:w="93" w:type="dxa"/>
        <w:tblCellMar>
          <w:top w:w="0" w:type="dxa"/>
          <w:left w:w="108" w:type="dxa"/>
          <w:bottom w:w="0" w:type="dxa"/>
          <w:right w:w="108" w:type="dxa"/>
        </w:tblCellMar>
      </w:tblPr>
      <w:tblGrid>
        <w:gridCol w:w="1966"/>
        <w:gridCol w:w="1272"/>
        <w:gridCol w:w="1272"/>
        <w:gridCol w:w="1520"/>
        <w:gridCol w:w="1272"/>
        <w:gridCol w:w="1276"/>
      </w:tblGrid>
      <w:tr>
        <w:tblPrEx>
          <w:tblW w:w="8578" w:type="dxa"/>
          <w:tblInd w:w="93" w:type="dxa"/>
          <w:tblCellMar>
            <w:top w:w="0" w:type="dxa"/>
            <w:left w:w="108" w:type="dxa"/>
            <w:bottom w:w="0" w:type="dxa"/>
            <w:right w:w="108" w:type="dxa"/>
          </w:tblCellMar>
        </w:tblPrEx>
        <w:trPr>
          <w:trHeight w:val="392"/>
        </w:trPr>
        <w:tc>
          <w:tcPr>
            <w:tcW w:w="1966" w:type="dxa"/>
            <w:vMerge w:val="restart"/>
            <w:tcBorders>
              <w:top w:val="single" w:sz="4" w:space="0" w:color="auto"/>
              <w:left w:val="nil"/>
              <w:bottom w:val="single" w:sz="4" w:space="0" w:color="auto"/>
              <w:right w:val="single" w:sz="4" w:space="0" w:color="auto"/>
            </w:tcBorders>
            <w:shd w:val="clear" w:color="auto" w:fill="auto"/>
            <w:noWrap/>
            <w:vAlign w:val="center"/>
          </w:tcPr>
          <w:p>
            <w:pPr>
              <w:pStyle w:val="5"/>
              <w:keepLines/>
              <w:rPr>
                <w:b/>
                <w:bCs/>
              </w:rPr>
            </w:pPr>
            <w:r>
              <w:rPr>
                <w:rFonts w:hint="eastAsia"/>
                <w:b/>
                <w:bCs/>
              </w:rPr>
              <w:t>评价指标</w:t>
            </w:r>
          </w:p>
        </w:tc>
        <w:tc>
          <w:tcPr>
            <w:tcW w:w="6612" w:type="dxa"/>
            <w:gridSpan w:val="5"/>
            <w:tcBorders>
              <w:top w:val="single" w:sz="4" w:space="0" w:color="auto"/>
              <w:left w:val="nil"/>
              <w:bottom w:val="single" w:sz="4" w:space="0" w:color="auto"/>
            </w:tcBorders>
            <w:shd w:val="clear" w:color="auto" w:fill="auto"/>
            <w:noWrap/>
            <w:vAlign w:val="center"/>
          </w:tcPr>
          <w:p>
            <w:pPr>
              <w:pStyle w:val="5"/>
              <w:keepLines/>
              <w:rPr>
                <w:b/>
                <w:bCs/>
              </w:rPr>
            </w:pPr>
            <w:r>
              <w:rPr>
                <w:rFonts w:hint="eastAsia"/>
                <w:b/>
                <w:bCs/>
              </w:rPr>
              <w:t>评       价       等       级</w:t>
            </w:r>
          </w:p>
        </w:tc>
      </w:tr>
      <w:tr>
        <w:tblPrEx>
          <w:tblW w:w="8578" w:type="dxa"/>
          <w:tblInd w:w="93" w:type="dxa"/>
          <w:tblCellMar>
            <w:top w:w="0" w:type="dxa"/>
            <w:left w:w="108" w:type="dxa"/>
            <w:bottom w:w="0" w:type="dxa"/>
            <w:right w:w="108" w:type="dxa"/>
          </w:tblCellMar>
        </w:tblPrEx>
        <w:trPr>
          <w:trHeight w:val="392"/>
        </w:trPr>
        <w:tc>
          <w:tcPr>
            <w:tcW w:w="1966" w:type="dxa"/>
            <w:vMerge/>
            <w:tcBorders>
              <w:top w:val="single" w:sz="4" w:space="0" w:color="auto"/>
              <w:left w:val="nil"/>
              <w:bottom w:val="single" w:sz="4" w:space="0" w:color="auto"/>
              <w:right w:val="single" w:sz="4" w:space="0" w:color="auto"/>
            </w:tcBorders>
            <w:vAlign w:val="center"/>
          </w:tcPr>
          <w:p>
            <w:pPr>
              <w:pStyle w:val="5"/>
              <w:keepLines/>
              <w:rPr>
                <w:b/>
                <w:bCs/>
              </w:rPr>
            </w:pPr>
          </w:p>
        </w:tc>
        <w:tc>
          <w:tcPr>
            <w:tcW w:w="1272" w:type="dxa"/>
            <w:tcBorders>
              <w:top w:val="nil"/>
              <w:left w:val="nil"/>
              <w:bottom w:val="single" w:sz="4" w:space="0" w:color="auto"/>
              <w:right w:val="single" w:sz="4" w:space="0" w:color="auto"/>
            </w:tcBorders>
            <w:shd w:val="clear" w:color="auto" w:fill="auto"/>
            <w:noWrap/>
            <w:vAlign w:val="center"/>
          </w:tcPr>
          <w:p>
            <w:pPr>
              <w:pStyle w:val="5"/>
              <w:keepLines/>
              <w:rPr>
                <w:b/>
                <w:bCs/>
              </w:rPr>
            </w:pPr>
            <w:r>
              <w:rPr>
                <w:rFonts w:hint="eastAsia"/>
                <w:b/>
                <w:bCs/>
              </w:rPr>
              <w:t>一</w:t>
            </w:r>
          </w:p>
        </w:tc>
        <w:tc>
          <w:tcPr>
            <w:tcW w:w="1272" w:type="dxa"/>
            <w:tcBorders>
              <w:top w:val="nil"/>
              <w:left w:val="nil"/>
              <w:bottom w:val="single" w:sz="4" w:space="0" w:color="auto"/>
              <w:right w:val="single" w:sz="4" w:space="0" w:color="auto"/>
            </w:tcBorders>
            <w:shd w:val="clear" w:color="auto" w:fill="auto"/>
            <w:noWrap/>
            <w:vAlign w:val="center"/>
          </w:tcPr>
          <w:p>
            <w:pPr>
              <w:pStyle w:val="5"/>
              <w:keepLines/>
              <w:rPr>
                <w:b/>
                <w:bCs/>
              </w:rPr>
            </w:pPr>
            <w:r>
              <w:rPr>
                <w:rFonts w:hint="eastAsia"/>
                <w:b/>
                <w:bCs/>
              </w:rPr>
              <w:t>二</w:t>
            </w:r>
          </w:p>
        </w:tc>
        <w:tc>
          <w:tcPr>
            <w:tcW w:w="1520" w:type="dxa"/>
            <w:tcBorders>
              <w:top w:val="nil"/>
              <w:left w:val="nil"/>
              <w:bottom w:val="single" w:sz="4" w:space="0" w:color="auto"/>
              <w:right w:val="single" w:sz="4" w:space="0" w:color="auto"/>
            </w:tcBorders>
            <w:shd w:val="clear" w:color="auto" w:fill="auto"/>
            <w:noWrap/>
            <w:vAlign w:val="center"/>
          </w:tcPr>
          <w:p>
            <w:pPr>
              <w:pStyle w:val="5"/>
              <w:keepLines/>
              <w:rPr>
                <w:b/>
                <w:bCs/>
              </w:rPr>
            </w:pPr>
            <w:r>
              <w:rPr>
                <w:rFonts w:hint="eastAsia"/>
                <w:b/>
                <w:bCs/>
              </w:rPr>
              <w:t>三</w:t>
            </w:r>
          </w:p>
        </w:tc>
        <w:tc>
          <w:tcPr>
            <w:tcW w:w="1272" w:type="dxa"/>
            <w:tcBorders>
              <w:top w:val="nil"/>
              <w:left w:val="nil"/>
              <w:bottom w:val="single" w:sz="4" w:space="0" w:color="auto"/>
              <w:right w:val="single" w:sz="4" w:space="0" w:color="auto"/>
            </w:tcBorders>
            <w:shd w:val="clear" w:color="auto" w:fill="auto"/>
            <w:noWrap/>
            <w:vAlign w:val="center"/>
          </w:tcPr>
          <w:p>
            <w:pPr>
              <w:pStyle w:val="5"/>
              <w:keepLines/>
              <w:rPr>
                <w:b/>
                <w:bCs/>
              </w:rPr>
            </w:pPr>
            <w:r>
              <w:rPr>
                <w:rFonts w:hint="eastAsia"/>
                <w:b/>
                <w:bCs/>
              </w:rPr>
              <w:t>四</w:t>
            </w:r>
          </w:p>
        </w:tc>
        <w:tc>
          <w:tcPr>
            <w:tcW w:w="1274" w:type="dxa"/>
            <w:tcBorders>
              <w:top w:val="nil"/>
              <w:left w:val="nil"/>
              <w:bottom w:val="single" w:sz="4" w:space="0" w:color="auto"/>
              <w:right w:val="nil"/>
            </w:tcBorders>
            <w:shd w:val="clear" w:color="auto" w:fill="auto"/>
            <w:noWrap/>
            <w:vAlign w:val="center"/>
          </w:tcPr>
          <w:p>
            <w:pPr>
              <w:pStyle w:val="5"/>
              <w:keepLines/>
              <w:rPr>
                <w:b/>
                <w:bCs/>
              </w:rPr>
            </w:pPr>
            <w:r>
              <w:rPr>
                <w:rFonts w:hint="eastAsia"/>
                <w:b/>
                <w:bCs/>
              </w:rPr>
              <w:t>五</w:t>
            </w:r>
          </w:p>
        </w:tc>
      </w:tr>
      <w:tr>
        <w:tblPrEx>
          <w:tblW w:w="8578" w:type="dxa"/>
          <w:tblInd w:w="93" w:type="dxa"/>
          <w:tblCellMar>
            <w:top w:w="0" w:type="dxa"/>
            <w:left w:w="108" w:type="dxa"/>
            <w:bottom w:w="0" w:type="dxa"/>
            <w:right w:w="108" w:type="dxa"/>
          </w:tblCellMar>
        </w:tblPrEx>
        <w:trPr>
          <w:trHeight w:val="392"/>
        </w:trPr>
        <w:tc>
          <w:tcPr>
            <w:tcW w:w="1966" w:type="dxa"/>
            <w:tcBorders>
              <w:top w:val="nil"/>
              <w:left w:val="nil"/>
              <w:bottom w:val="single" w:sz="4" w:space="0" w:color="auto"/>
              <w:right w:val="single" w:sz="4" w:space="0" w:color="auto"/>
            </w:tcBorders>
            <w:shd w:val="clear" w:color="auto" w:fill="auto"/>
            <w:noWrap/>
            <w:vAlign w:val="center"/>
          </w:tcPr>
          <w:p>
            <w:pPr>
              <w:pStyle w:val="5"/>
            </w:pPr>
            <w:r>
              <w:rPr>
                <w:rFonts w:hint="eastAsia"/>
              </w:rPr>
              <w:t>地貌</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&lt;3º</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3º～5º</w:t>
            </w:r>
          </w:p>
        </w:tc>
        <w:tc>
          <w:tcPr>
            <w:tcW w:w="1520" w:type="dxa"/>
            <w:tcBorders>
              <w:top w:val="nil"/>
              <w:left w:val="nil"/>
              <w:bottom w:val="single" w:sz="4" w:space="0" w:color="auto"/>
              <w:right w:val="single" w:sz="4" w:space="0" w:color="auto"/>
            </w:tcBorders>
            <w:shd w:val="clear" w:color="auto" w:fill="auto"/>
            <w:noWrap/>
            <w:vAlign w:val="center"/>
          </w:tcPr>
          <w:p>
            <w:pPr>
              <w:pStyle w:val="5"/>
            </w:pPr>
            <w:r>
              <w:rPr>
                <w:rFonts w:hint="eastAsia"/>
              </w:rPr>
              <w:t>5º～15º</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15º～25º</w:t>
            </w:r>
          </w:p>
        </w:tc>
        <w:tc>
          <w:tcPr>
            <w:tcW w:w="1274" w:type="dxa"/>
            <w:tcBorders>
              <w:top w:val="nil"/>
              <w:left w:val="nil"/>
              <w:bottom w:val="single" w:sz="4" w:space="0" w:color="auto"/>
              <w:right w:val="nil"/>
            </w:tcBorders>
            <w:shd w:val="clear" w:color="auto" w:fill="auto"/>
            <w:noWrap/>
            <w:vAlign w:val="center"/>
          </w:tcPr>
          <w:p>
            <w:pPr>
              <w:pStyle w:val="5"/>
            </w:pPr>
            <w:r>
              <w:rPr>
                <w:rFonts w:hint="eastAsia"/>
              </w:rPr>
              <w:t>25º～35º</w:t>
            </w:r>
          </w:p>
        </w:tc>
      </w:tr>
      <w:tr>
        <w:tblPrEx>
          <w:tblW w:w="8578" w:type="dxa"/>
          <w:tblInd w:w="93" w:type="dxa"/>
          <w:tblCellMar>
            <w:top w:w="0" w:type="dxa"/>
            <w:left w:w="108" w:type="dxa"/>
            <w:bottom w:w="0" w:type="dxa"/>
            <w:right w:w="108" w:type="dxa"/>
          </w:tblCellMar>
        </w:tblPrEx>
        <w:trPr>
          <w:trHeight w:val="392"/>
        </w:trPr>
        <w:tc>
          <w:tcPr>
            <w:tcW w:w="1966" w:type="dxa"/>
            <w:tcBorders>
              <w:top w:val="nil"/>
              <w:left w:val="nil"/>
              <w:bottom w:val="single" w:sz="4" w:space="0" w:color="auto"/>
              <w:right w:val="single" w:sz="4" w:space="0" w:color="auto"/>
            </w:tcBorders>
            <w:shd w:val="clear" w:color="auto" w:fill="auto"/>
            <w:noWrap/>
            <w:vAlign w:val="center"/>
          </w:tcPr>
          <w:p>
            <w:pPr>
              <w:pStyle w:val="5"/>
            </w:pPr>
            <w:r>
              <w:rPr>
                <w:rFonts w:hint="eastAsia"/>
              </w:rPr>
              <w:t>土壤侵蚀程度</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微度</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微度</w:t>
            </w:r>
          </w:p>
        </w:tc>
        <w:tc>
          <w:tcPr>
            <w:tcW w:w="1520" w:type="dxa"/>
            <w:tcBorders>
              <w:top w:val="nil"/>
              <w:left w:val="nil"/>
              <w:bottom w:val="single" w:sz="4" w:space="0" w:color="auto"/>
              <w:right w:val="single" w:sz="4" w:space="0" w:color="auto"/>
            </w:tcBorders>
            <w:shd w:val="clear" w:color="auto" w:fill="auto"/>
            <w:noWrap/>
            <w:vAlign w:val="center"/>
          </w:tcPr>
          <w:p>
            <w:pPr>
              <w:pStyle w:val="5"/>
            </w:pPr>
            <w:r>
              <w:rPr>
                <w:rFonts w:hint="eastAsia"/>
              </w:rPr>
              <w:t>轻度</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中度</w:t>
            </w:r>
          </w:p>
        </w:tc>
        <w:tc>
          <w:tcPr>
            <w:tcW w:w="1274" w:type="dxa"/>
            <w:tcBorders>
              <w:top w:val="nil"/>
              <w:left w:val="nil"/>
              <w:bottom w:val="single" w:sz="4" w:space="0" w:color="auto"/>
              <w:right w:val="nil"/>
            </w:tcBorders>
            <w:shd w:val="clear" w:color="auto" w:fill="auto"/>
            <w:noWrap/>
            <w:vAlign w:val="center"/>
          </w:tcPr>
          <w:p>
            <w:pPr>
              <w:pStyle w:val="5"/>
            </w:pPr>
            <w:r>
              <w:rPr>
                <w:rFonts w:hint="eastAsia"/>
              </w:rPr>
              <w:t>强度</w:t>
            </w:r>
          </w:p>
        </w:tc>
      </w:tr>
      <w:tr>
        <w:tblPrEx>
          <w:tblW w:w="8578" w:type="dxa"/>
          <w:tblInd w:w="93" w:type="dxa"/>
          <w:tblCellMar>
            <w:top w:w="0" w:type="dxa"/>
            <w:left w:w="108" w:type="dxa"/>
            <w:bottom w:w="0" w:type="dxa"/>
            <w:right w:w="108" w:type="dxa"/>
          </w:tblCellMar>
        </w:tblPrEx>
        <w:trPr>
          <w:trHeight w:val="392"/>
        </w:trPr>
        <w:tc>
          <w:tcPr>
            <w:tcW w:w="1966" w:type="dxa"/>
            <w:tcBorders>
              <w:top w:val="nil"/>
              <w:left w:val="nil"/>
              <w:bottom w:val="single" w:sz="4" w:space="0" w:color="auto"/>
              <w:right w:val="single" w:sz="4" w:space="0" w:color="auto"/>
            </w:tcBorders>
            <w:shd w:val="clear" w:color="auto" w:fill="auto"/>
            <w:noWrap/>
            <w:vAlign w:val="center"/>
          </w:tcPr>
          <w:p>
            <w:pPr>
              <w:pStyle w:val="5"/>
            </w:pPr>
            <w:r>
              <w:rPr>
                <w:rFonts w:hint="eastAsia"/>
              </w:rPr>
              <w:t>土壤质地</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轻壤～中壤</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轻壤～中壤</w:t>
            </w:r>
          </w:p>
        </w:tc>
        <w:tc>
          <w:tcPr>
            <w:tcW w:w="1520" w:type="dxa"/>
            <w:tcBorders>
              <w:top w:val="nil"/>
              <w:left w:val="nil"/>
              <w:bottom w:val="single" w:sz="4" w:space="0" w:color="auto"/>
              <w:right w:val="single" w:sz="4" w:space="0" w:color="auto"/>
            </w:tcBorders>
            <w:shd w:val="clear" w:color="auto" w:fill="auto"/>
            <w:noWrap/>
            <w:vAlign w:val="center"/>
          </w:tcPr>
          <w:p>
            <w:pPr>
              <w:pStyle w:val="5"/>
            </w:pPr>
            <w:r>
              <w:rPr>
                <w:rFonts w:hint="eastAsia"/>
              </w:rPr>
              <w:t>轻壤～中壤</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中壤～重壤</w:t>
            </w:r>
          </w:p>
        </w:tc>
        <w:tc>
          <w:tcPr>
            <w:tcW w:w="1274" w:type="dxa"/>
            <w:tcBorders>
              <w:top w:val="nil"/>
              <w:left w:val="nil"/>
              <w:bottom w:val="single" w:sz="4" w:space="0" w:color="auto"/>
              <w:right w:val="nil"/>
            </w:tcBorders>
            <w:shd w:val="clear" w:color="auto" w:fill="auto"/>
            <w:noWrap/>
            <w:vAlign w:val="center"/>
          </w:tcPr>
          <w:p>
            <w:pPr>
              <w:pStyle w:val="5"/>
            </w:pPr>
            <w:r>
              <w:rPr>
                <w:rFonts w:hint="eastAsia"/>
              </w:rPr>
              <w:t>重壤、粗砂</w:t>
            </w:r>
          </w:p>
        </w:tc>
      </w:tr>
      <w:tr>
        <w:tblPrEx>
          <w:tblW w:w="8578" w:type="dxa"/>
          <w:tblInd w:w="93" w:type="dxa"/>
          <w:tblCellMar>
            <w:top w:w="0" w:type="dxa"/>
            <w:left w:w="108" w:type="dxa"/>
            <w:bottom w:w="0" w:type="dxa"/>
            <w:right w:w="108" w:type="dxa"/>
          </w:tblCellMar>
        </w:tblPrEx>
        <w:trPr>
          <w:trHeight w:val="392"/>
        </w:trPr>
        <w:tc>
          <w:tcPr>
            <w:tcW w:w="1966" w:type="dxa"/>
            <w:tcBorders>
              <w:top w:val="nil"/>
              <w:left w:val="nil"/>
              <w:bottom w:val="single" w:sz="4" w:space="0" w:color="auto"/>
              <w:right w:val="single" w:sz="4" w:space="0" w:color="auto"/>
            </w:tcBorders>
            <w:shd w:val="clear" w:color="auto" w:fill="auto"/>
            <w:noWrap/>
            <w:vAlign w:val="center"/>
          </w:tcPr>
          <w:p>
            <w:pPr>
              <w:pStyle w:val="5"/>
            </w:pPr>
            <w:r>
              <w:rPr>
                <w:rFonts w:hint="eastAsia"/>
              </w:rPr>
              <w:t>有机含量（%）</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&gt;1.0</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0.8～1.0</w:t>
            </w:r>
          </w:p>
        </w:tc>
        <w:tc>
          <w:tcPr>
            <w:tcW w:w="1520" w:type="dxa"/>
            <w:tcBorders>
              <w:top w:val="nil"/>
              <w:left w:val="nil"/>
              <w:bottom w:val="single" w:sz="4" w:space="0" w:color="auto"/>
              <w:right w:val="single" w:sz="4" w:space="0" w:color="auto"/>
            </w:tcBorders>
            <w:shd w:val="clear" w:color="auto" w:fill="auto"/>
            <w:noWrap/>
            <w:vAlign w:val="center"/>
          </w:tcPr>
          <w:p>
            <w:pPr>
              <w:pStyle w:val="5"/>
            </w:pPr>
            <w:r>
              <w:rPr>
                <w:rFonts w:hint="eastAsia"/>
              </w:rPr>
              <w:t>0.5～0.8</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0.3～0.5</w:t>
            </w:r>
          </w:p>
        </w:tc>
        <w:tc>
          <w:tcPr>
            <w:tcW w:w="1274" w:type="dxa"/>
            <w:tcBorders>
              <w:top w:val="nil"/>
              <w:left w:val="nil"/>
              <w:bottom w:val="single" w:sz="4" w:space="0" w:color="auto"/>
              <w:right w:val="nil"/>
            </w:tcBorders>
            <w:shd w:val="clear" w:color="auto" w:fill="auto"/>
            <w:noWrap/>
            <w:vAlign w:val="center"/>
          </w:tcPr>
          <w:p>
            <w:pPr>
              <w:pStyle w:val="5"/>
            </w:pPr>
            <w:r>
              <w:rPr>
                <w:rFonts w:hint="eastAsia"/>
              </w:rPr>
              <w:t>0.1～0.3</w:t>
            </w:r>
          </w:p>
        </w:tc>
      </w:tr>
      <w:tr>
        <w:tblPrEx>
          <w:tblW w:w="8578" w:type="dxa"/>
          <w:tblInd w:w="93" w:type="dxa"/>
          <w:tblCellMar>
            <w:top w:w="0" w:type="dxa"/>
            <w:left w:w="108" w:type="dxa"/>
            <w:bottom w:w="0" w:type="dxa"/>
            <w:right w:w="108" w:type="dxa"/>
          </w:tblCellMar>
        </w:tblPrEx>
        <w:trPr>
          <w:trHeight w:val="392"/>
        </w:trPr>
        <w:tc>
          <w:tcPr>
            <w:tcW w:w="1966" w:type="dxa"/>
            <w:tcBorders>
              <w:top w:val="nil"/>
              <w:left w:val="nil"/>
              <w:bottom w:val="single" w:sz="4" w:space="0" w:color="auto"/>
              <w:right w:val="single" w:sz="4" w:space="0" w:color="auto"/>
            </w:tcBorders>
            <w:shd w:val="clear" w:color="auto" w:fill="auto"/>
            <w:noWrap/>
            <w:vAlign w:val="center"/>
          </w:tcPr>
          <w:p>
            <w:pPr>
              <w:pStyle w:val="5"/>
            </w:pPr>
            <w:r>
              <w:rPr>
                <w:rFonts w:hint="eastAsia"/>
              </w:rPr>
              <w:t>砂石含量（%）</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&lt;2</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2～5</w:t>
            </w:r>
          </w:p>
        </w:tc>
        <w:tc>
          <w:tcPr>
            <w:tcW w:w="1520" w:type="dxa"/>
            <w:tcBorders>
              <w:top w:val="nil"/>
              <w:left w:val="nil"/>
              <w:bottom w:val="single" w:sz="4" w:space="0" w:color="auto"/>
              <w:right w:val="single" w:sz="4" w:space="0" w:color="auto"/>
            </w:tcBorders>
            <w:shd w:val="clear" w:color="auto" w:fill="auto"/>
            <w:noWrap/>
            <w:vAlign w:val="center"/>
          </w:tcPr>
          <w:p>
            <w:pPr>
              <w:pStyle w:val="5"/>
            </w:pPr>
            <w:r>
              <w:rPr>
                <w:rFonts w:hint="eastAsia"/>
              </w:rPr>
              <w:t>5～15</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15～30</w:t>
            </w:r>
          </w:p>
        </w:tc>
        <w:tc>
          <w:tcPr>
            <w:tcW w:w="1274" w:type="dxa"/>
            <w:tcBorders>
              <w:top w:val="nil"/>
              <w:left w:val="nil"/>
              <w:bottom w:val="single" w:sz="4" w:space="0" w:color="auto"/>
              <w:right w:val="nil"/>
            </w:tcBorders>
            <w:shd w:val="clear" w:color="auto" w:fill="auto"/>
            <w:noWrap/>
            <w:vAlign w:val="center"/>
          </w:tcPr>
          <w:p>
            <w:pPr>
              <w:pStyle w:val="5"/>
            </w:pPr>
            <w:r>
              <w:rPr>
                <w:rFonts w:hint="eastAsia"/>
              </w:rPr>
              <w:t>30～50</w:t>
            </w:r>
          </w:p>
        </w:tc>
      </w:tr>
      <w:tr>
        <w:tblPrEx>
          <w:tblW w:w="8578" w:type="dxa"/>
          <w:tblInd w:w="93" w:type="dxa"/>
          <w:tblCellMar>
            <w:top w:w="0" w:type="dxa"/>
            <w:left w:w="108" w:type="dxa"/>
            <w:bottom w:w="0" w:type="dxa"/>
            <w:right w:w="108" w:type="dxa"/>
          </w:tblCellMar>
        </w:tblPrEx>
        <w:trPr>
          <w:trHeight w:val="392"/>
        </w:trPr>
        <w:tc>
          <w:tcPr>
            <w:tcW w:w="1966" w:type="dxa"/>
            <w:tcBorders>
              <w:top w:val="nil"/>
              <w:left w:val="nil"/>
              <w:bottom w:val="single" w:sz="4" w:space="0" w:color="auto"/>
              <w:right w:val="single" w:sz="4" w:space="0" w:color="auto"/>
            </w:tcBorders>
            <w:shd w:val="clear" w:color="auto" w:fill="auto"/>
            <w:noWrap/>
            <w:vAlign w:val="center"/>
          </w:tcPr>
          <w:p>
            <w:pPr>
              <w:pStyle w:val="5"/>
            </w:pPr>
            <w:r>
              <w:rPr>
                <w:rFonts w:hint="eastAsia"/>
              </w:rPr>
              <w:t>有无灌溉条件</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有</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无</w:t>
            </w:r>
          </w:p>
        </w:tc>
        <w:tc>
          <w:tcPr>
            <w:tcW w:w="1520" w:type="dxa"/>
            <w:tcBorders>
              <w:top w:val="nil"/>
              <w:left w:val="nil"/>
              <w:bottom w:val="single" w:sz="4" w:space="0" w:color="auto"/>
              <w:right w:val="single" w:sz="4" w:space="0" w:color="auto"/>
            </w:tcBorders>
            <w:shd w:val="clear" w:color="auto" w:fill="auto"/>
            <w:noWrap/>
            <w:vAlign w:val="center"/>
          </w:tcPr>
          <w:p>
            <w:pPr>
              <w:pStyle w:val="5"/>
            </w:pPr>
            <w:r>
              <w:rPr>
                <w:rFonts w:hint="eastAsia"/>
              </w:rPr>
              <w:t>无</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无</w:t>
            </w:r>
          </w:p>
        </w:tc>
        <w:tc>
          <w:tcPr>
            <w:tcW w:w="1274" w:type="dxa"/>
            <w:tcBorders>
              <w:top w:val="nil"/>
              <w:left w:val="nil"/>
              <w:bottom w:val="single" w:sz="4" w:space="0" w:color="auto"/>
              <w:right w:val="nil"/>
            </w:tcBorders>
            <w:shd w:val="clear" w:color="auto" w:fill="auto"/>
            <w:noWrap/>
            <w:vAlign w:val="center"/>
          </w:tcPr>
          <w:p>
            <w:pPr>
              <w:pStyle w:val="5"/>
            </w:pPr>
            <w:r>
              <w:rPr>
                <w:rFonts w:hint="eastAsia"/>
              </w:rPr>
              <w:t>无</w:t>
            </w:r>
          </w:p>
        </w:tc>
      </w:tr>
      <w:tr>
        <w:tblPrEx>
          <w:tblW w:w="8578" w:type="dxa"/>
          <w:tblInd w:w="93" w:type="dxa"/>
          <w:tblCellMar>
            <w:top w:w="0" w:type="dxa"/>
            <w:left w:w="108" w:type="dxa"/>
            <w:bottom w:w="0" w:type="dxa"/>
            <w:right w:w="108" w:type="dxa"/>
          </w:tblCellMar>
        </w:tblPrEx>
        <w:trPr>
          <w:trHeight w:val="392"/>
        </w:trPr>
        <w:tc>
          <w:tcPr>
            <w:tcW w:w="1966" w:type="dxa"/>
            <w:tcBorders>
              <w:top w:val="nil"/>
              <w:left w:val="nil"/>
              <w:bottom w:val="single" w:sz="4" w:space="0" w:color="auto"/>
              <w:right w:val="single" w:sz="4" w:space="0" w:color="auto"/>
            </w:tcBorders>
            <w:shd w:val="clear" w:color="auto" w:fill="auto"/>
            <w:noWrap/>
            <w:vAlign w:val="center"/>
          </w:tcPr>
          <w:p>
            <w:pPr>
              <w:pStyle w:val="5"/>
            </w:pPr>
            <w:r>
              <w:rPr>
                <w:rFonts w:hint="eastAsia"/>
              </w:rPr>
              <w:t>土地适宜性</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宜农</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宜农、果</w:t>
            </w:r>
          </w:p>
        </w:tc>
        <w:tc>
          <w:tcPr>
            <w:tcW w:w="1520" w:type="dxa"/>
            <w:tcBorders>
              <w:top w:val="nil"/>
              <w:left w:val="nil"/>
              <w:bottom w:val="single" w:sz="4" w:space="0" w:color="auto"/>
              <w:right w:val="single" w:sz="4" w:space="0" w:color="auto"/>
            </w:tcBorders>
            <w:shd w:val="clear" w:color="auto" w:fill="auto"/>
            <w:noWrap/>
            <w:vAlign w:val="center"/>
          </w:tcPr>
          <w:p>
            <w:pPr>
              <w:pStyle w:val="5"/>
            </w:pPr>
            <w:r>
              <w:rPr>
                <w:rFonts w:hint="eastAsia"/>
              </w:rPr>
              <w:t>宜农、牧、林</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宜林、牧</w:t>
            </w:r>
          </w:p>
        </w:tc>
        <w:tc>
          <w:tcPr>
            <w:tcW w:w="1274" w:type="dxa"/>
            <w:tcBorders>
              <w:top w:val="nil"/>
              <w:left w:val="nil"/>
              <w:bottom w:val="single" w:sz="4" w:space="0" w:color="auto"/>
              <w:right w:val="nil"/>
            </w:tcBorders>
            <w:shd w:val="clear" w:color="auto" w:fill="auto"/>
            <w:noWrap/>
            <w:vAlign w:val="center"/>
          </w:tcPr>
          <w:p>
            <w:pPr>
              <w:pStyle w:val="5"/>
            </w:pPr>
            <w:r>
              <w:rPr>
                <w:rFonts w:hint="eastAsia"/>
              </w:rPr>
              <w:t>宜林、牧</w:t>
            </w:r>
          </w:p>
        </w:tc>
      </w:tr>
      <w:tr>
        <w:tblPrEx>
          <w:tblW w:w="8578" w:type="dxa"/>
          <w:tblInd w:w="93" w:type="dxa"/>
          <w:tblCellMar>
            <w:top w:w="0" w:type="dxa"/>
            <w:left w:w="108" w:type="dxa"/>
            <w:bottom w:w="0" w:type="dxa"/>
            <w:right w:w="108" w:type="dxa"/>
          </w:tblCellMar>
        </w:tblPrEx>
        <w:trPr>
          <w:trHeight w:val="392"/>
        </w:trPr>
        <w:tc>
          <w:tcPr>
            <w:tcW w:w="1966" w:type="dxa"/>
            <w:tcBorders>
              <w:top w:val="nil"/>
              <w:left w:val="nil"/>
              <w:bottom w:val="single" w:sz="4" w:space="0" w:color="auto"/>
              <w:right w:val="single" w:sz="4" w:space="0" w:color="auto"/>
            </w:tcBorders>
            <w:shd w:val="clear" w:color="auto" w:fill="auto"/>
            <w:noWrap/>
            <w:vAlign w:val="center"/>
          </w:tcPr>
          <w:p>
            <w:pPr>
              <w:pStyle w:val="5"/>
            </w:pPr>
            <w:r>
              <w:rPr>
                <w:rFonts w:hint="eastAsia"/>
              </w:rPr>
              <w:t>面积（hm²）</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613</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1227</w:t>
            </w:r>
          </w:p>
        </w:tc>
        <w:tc>
          <w:tcPr>
            <w:tcW w:w="1520" w:type="dxa"/>
            <w:tcBorders>
              <w:top w:val="nil"/>
              <w:left w:val="nil"/>
              <w:bottom w:val="single" w:sz="4" w:space="0" w:color="auto"/>
              <w:right w:val="single" w:sz="4" w:space="0" w:color="auto"/>
            </w:tcBorders>
            <w:shd w:val="clear" w:color="auto" w:fill="auto"/>
            <w:noWrap/>
            <w:vAlign w:val="center"/>
          </w:tcPr>
          <w:p>
            <w:pPr>
              <w:pStyle w:val="5"/>
            </w:pPr>
            <w:r>
              <w:rPr>
                <w:rFonts w:hint="eastAsia"/>
              </w:rPr>
              <w:t>5600</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400</w:t>
            </w:r>
          </w:p>
        </w:tc>
        <w:tc>
          <w:tcPr>
            <w:tcW w:w="1274" w:type="dxa"/>
            <w:tcBorders>
              <w:top w:val="nil"/>
              <w:left w:val="nil"/>
              <w:bottom w:val="single" w:sz="4" w:space="0" w:color="auto"/>
              <w:right w:val="nil"/>
            </w:tcBorders>
            <w:shd w:val="clear" w:color="auto" w:fill="auto"/>
            <w:noWrap/>
            <w:vAlign w:val="center"/>
          </w:tcPr>
          <w:p>
            <w:pPr>
              <w:pStyle w:val="5"/>
            </w:pPr>
            <w:r>
              <w:rPr>
                <w:rFonts w:hint="eastAsia"/>
              </w:rPr>
              <w:t>160</w:t>
            </w:r>
          </w:p>
        </w:tc>
      </w:tr>
      <w:tr>
        <w:tblPrEx>
          <w:tblW w:w="8578" w:type="dxa"/>
          <w:tblInd w:w="93" w:type="dxa"/>
          <w:tblCellMar>
            <w:top w:w="0" w:type="dxa"/>
            <w:left w:w="108" w:type="dxa"/>
            <w:bottom w:w="0" w:type="dxa"/>
            <w:right w:w="108" w:type="dxa"/>
          </w:tblCellMar>
        </w:tblPrEx>
        <w:trPr>
          <w:trHeight w:val="392"/>
        </w:trPr>
        <w:tc>
          <w:tcPr>
            <w:tcW w:w="1966" w:type="dxa"/>
            <w:tcBorders>
              <w:top w:val="nil"/>
              <w:left w:val="nil"/>
              <w:bottom w:val="single" w:sz="4" w:space="0" w:color="auto"/>
              <w:right w:val="single" w:sz="4" w:space="0" w:color="auto"/>
            </w:tcBorders>
            <w:shd w:val="clear" w:color="auto" w:fill="auto"/>
            <w:noWrap/>
            <w:vAlign w:val="center"/>
          </w:tcPr>
          <w:p>
            <w:pPr>
              <w:pStyle w:val="5"/>
            </w:pPr>
            <w:r>
              <w:rPr>
                <w:rFonts w:hint="eastAsia"/>
              </w:rPr>
              <w:t>占总面积比例（%）</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7.66</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15.34</w:t>
            </w:r>
          </w:p>
        </w:tc>
        <w:tc>
          <w:tcPr>
            <w:tcW w:w="1520" w:type="dxa"/>
            <w:tcBorders>
              <w:top w:val="nil"/>
              <w:left w:val="nil"/>
              <w:bottom w:val="single" w:sz="4" w:space="0" w:color="auto"/>
              <w:right w:val="single" w:sz="4" w:space="0" w:color="auto"/>
            </w:tcBorders>
            <w:shd w:val="clear" w:color="auto" w:fill="auto"/>
            <w:noWrap/>
            <w:vAlign w:val="center"/>
          </w:tcPr>
          <w:p>
            <w:pPr>
              <w:pStyle w:val="5"/>
            </w:pPr>
            <w:r>
              <w:rPr>
                <w:rFonts w:hint="eastAsia"/>
              </w:rPr>
              <w:t xml:space="preserve">70.00 </w:t>
            </w:r>
          </w:p>
        </w:tc>
        <w:tc>
          <w:tcPr>
            <w:tcW w:w="1272" w:type="dxa"/>
            <w:tcBorders>
              <w:top w:val="nil"/>
              <w:left w:val="nil"/>
              <w:bottom w:val="single" w:sz="4" w:space="0" w:color="auto"/>
              <w:right w:val="single" w:sz="4" w:space="0" w:color="auto"/>
            </w:tcBorders>
            <w:shd w:val="clear" w:color="auto" w:fill="auto"/>
            <w:noWrap/>
            <w:vAlign w:val="center"/>
          </w:tcPr>
          <w:p>
            <w:pPr>
              <w:pStyle w:val="5"/>
            </w:pPr>
            <w:r>
              <w:rPr>
                <w:rFonts w:hint="eastAsia"/>
              </w:rPr>
              <w:t xml:space="preserve">5.00 </w:t>
            </w:r>
          </w:p>
        </w:tc>
        <w:tc>
          <w:tcPr>
            <w:tcW w:w="1274" w:type="dxa"/>
            <w:tcBorders>
              <w:top w:val="nil"/>
              <w:left w:val="nil"/>
              <w:bottom w:val="single" w:sz="4" w:space="0" w:color="auto"/>
              <w:right w:val="nil"/>
            </w:tcBorders>
            <w:shd w:val="clear" w:color="auto" w:fill="auto"/>
            <w:noWrap/>
            <w:vAlign w:val="center"/>
          </w:tcPr>
          <w:p>
            <w:pPr>
              <w:pStyle w:val="5"/>
            </w:pPr>
            <w:r>
              <w:rPr>
                <w:rFonts w:hint="eastAsia"/>
              </w:rPr>
              <w:t xml:space="preserve">2.00 </w:t>
            </w:r>
          </w:p>
        </w:tc>
      </w:tr>
    </w:tbl>
    <w:p>
      <w:pPr>
        <w:pStyle w:val="Normal0"/>
        <w:ind w:firstLine="560" w:firstLineChars="200"/>
        <w:rPr>
          <w:rFonts w:ascii="宋体" w:hAnsi="宋体"/>
          <w:sz w:val="28"/>
          <w:szCs w:val="28"/>
        </w:rPr>
        <w:sectPr>
          <w:headerReference w:type="default" r:id="rId27"/>
          <w:footerReference w:type="default" r:id="rId28"/>
          <w:type w:val="nextPage"/>
          <w:pgSz w:w="11907" w:h="16840"/>
          <w:pgMar w:top="1701" w:right="1418" w:bottom="1418" w:left="1418" w:header="1417" w:footer="567" w:gutter="567"/>
          <w:pgNumType w:start="2"/>
          <w:cols w:num="1" w:space="720"/>
          <w:titlePg w:val="0"/>
          <w:docGrid w:type="lines" w:linePitch="312" w:charSpace="0"/>
        </w:sectPr>
      </w:pPr>
      <w:r>
        <w:rPr>
          <w:rFonts w:ascii="宋体" w:hAnsi="宋体" w:hint="eastAsia"/>
          <w:sz w:val="28"/>
          <w:szCs w:val="28"/>
        </w:rPr>
        <w:t>根据各项评价指标，得出以下评价结果：一级地占</w:t>
      </w:r>
      <w:r>
        <w:rPr>
          <w:rFonts w:ascii="宋体" w:hAnsi="宋体" w:hint="eastAsia"/>
          <w:sz w:val="28"/>
          <w:szCs w:val="28"/>
          <w:lang w:eastAsia="zh-CN"/>
        </w:rPr>
        <w:t>相关项目</w:t>
      </w:r>
      <w:r>
        <w:rPr>
          <w:rFonts w:ascii="宋体" w:hAnsi="宋体" w:hint="eastAsia"/>
          <w:sz w:val="28"/>
          <w:szCs w:val="28"/>
        </w:rPr>
        <w:t>区总土地面积仅</w:t>
      </w:r>
      <w:r>
        <w:rPr>
          <w:rFonts w:ascii="宋体" w:hAnsi="宋体"/>
          <w:sz w:val="28"/>
          <w:szCs w:val="28"/>
        </w:rPr>
        <w:t>7.66%</w:t>
      </w:r>
      <w:r>
        <w:rPr>
          <w:rFonts w:ascii="宋体" w:hAnsi="宋体" w:hint="eastAsia"/>
          <w:sz w:val="28"/>
          <w:szCs w:val="28"/>
        </w:rPr>
        <w:t>，位于坡度&lt;3º的平坦地，二级地占</w:t>
      </w:r>
      <w:r>
        <w:rPr>
          <w:rFonts w:ascii="宋体" w:hAnsi="宋体" w:hint="eastAsia"/>
          <w:sz w:val="28"/>
          <w:szCs w:val="28"/>
          <w:lang w:eastAsia="zh-CN"/>
        </w:rPr>
        <w:t>相关项目</w:t>
      </w:r>
      <w:r>
        <w:rPr>
          <w:rFonts w:ascii="宋体" w:hAnsi="宋体" w:hint="eastAsia"/>
          <w:sz w:val="28"/>
          <w:szCs w:val="28"/>
        </w:rPr>
        <w:t>区总土地面积的</w:t>
      </w:r>
      <w:r>
        <w:rPr>
          <w:rFonts w:ascii="宋体" w:hAnsi="宋体"/>
          <w:sz w:val="28"/>
          <w:szCs w:val="28"/>
        </w:rPr>
        <w:t>15.34%</w:t>
      </w:r>
      <w:r>
        <w:rPr>
          <w:rFonts w:ascii="宋体" w:hAnsi="宋体" w:hint="eastAsia"/>
          <w:sz w:val="28"/>
          <w:szCs w:val="28"/>
        </w:rPr>
        <w:t>，位于坡面下方的缓坡地，地形较平缓，土层较厚，可作为农、果地利用；三级地占</w:t>
      </w:r>
      <w:r>
        <w:rPr>
          <w:rFonts w:ascii="宋体" w:hAnsi="宋体" w:hint="eastAsia"/>
          <w:sz w:val="28"/>
          <w:szCs w:val="28"/>
          <w:lang w:eastAsia="zh-CN"/>
        </w:rPr>
        <w:t>相关项目</w:t>
      </w:r>
      <w:r>
        <w:rPr>
          <w:rFonts w:ascii="宋体" w:hAnsi="宋体" w:hint="eastAsia"/>
          <w:sz w:val="28"/>
          <w:szCs w:val="28"/>
        </w:rPr>
        <w:t>区总面积的</w:t>
      </w:r>
      <w:r>
        <w:rPr>
          <w:rFonts w:ascii="宋体" w:hAnsi="宋体"/>
          <w:sz w:val="28"/>
          <w:szCs w:val="28"/>
        </w:rPr>
        <w:t>70%</w:t>
      </w:r>
      <w:r>
        <w:rPr>
          <w:rFonts w:ascii="宋体" w:hAnsi="宋体" w:hint="eastAsia"/>
          <w:sz w:val="28"/>
          <w:szCs w:val="28"/>
        </w:rPr>
        <w:t>，属缓坡地，耕作利用较难，适合用作林、牧用地；四级地占</w:t>
      </w:r>
      <w:r>
        <w:rPr>
          <w:rFonts w:ascii="宋体" w:hAnsi="宋体" w:hint="eastAsia"/>
          <w:sz w:val="28"/>
          <w:szCs w:val="28"/>
          <w:lang w:eastAsia="zh-CN"/>
        </w:rPr>
        <w:t>相关项目</w:t>
      </w:r>
      <w:r>
        <w:rPr>
          <w:rFonts w:ascii="宋体" w:hAnsi="宋体" w:hint="eastAsia"/>
          <w:sz w:val="28"/>
          <w:szCs w:val="28"/>
        </w:rPr>
        <w:t>区总面积的</w:t>
      </w:r>
      <w:r>
        <w:rPr>
          <w:rFonts w:ascii="宋体" w:hAnsi="宋体"/>
          <w:sz w:val="28"/>
          <w:szCs w:val="28"/>
        </w:rPr>
        <w:t>5%</w:t>
      </w:r>
      <w:r>
        <w:rPr>
          <w:rFonts w:ascii="宋体" w:hAnsi="宋体" w:hint="eastAsia"/>
          <w:sz w:val="28"/>
          <w:szCs w:val="28"/>
        </w:rPr>
        <w:t>，该级土地坡度较陡，已不能耕作，只适合作为林、牧用地；五级地占</w:t>
      </w:r>
      <w:r>
        <w:rPr>
          <w:rFonts w:ascii="宋体" w:hAnsi="宋体" w:hint="eastAsia"/>
          <w:sz w:val="28"/>
          <w:szCs w:val="28"/>
          <w:lang w:eastAsia="zh-CN"/>
        </w:rPr>
        <w:t>相关项目</w:t>
      </w:r>
      <w:r>
        <w:rPr>
          <w:rFonts w:ascii="宋体" w:hAnsi="宋体" w:hint="eastAsia"/>
          <w:sz w:val="28"/>
          <w:szCs w:val="28"/>
        </w:rPr>
        <w:t>区总土地面积的</w:t>
      </w:r>
      <w:r>
        <w:rPr>
          <w:rFonts w:ascii="宋体" w:hAnsi="宋体"/>
          <w:sz w:val="28"/>
          <w:szCs w:val="28"/>
        </w:rPr>
        <w:t>2%</w:t>
      </w:r>
      <w:r>
        <w:rPr>
          <w:rFonts w:ascii="宋体" w:hAnsi="宋体" w:hint="eastAsia"/>
          <w:sz w:val="28"/>
          <w:szCs w:val="28"/>
        </w:rPr>
        <w:t>，该级土地坡度较陡，作为林、牧用地必须采取防治水土流失的措施。</w:t>
      </w:r>
    </w:p>
    <w:p>
      <w:pPr>
        <w:pStyle w:val="Heading3"/>
      </w:pPr>
      <w:r>
        <w:rPr>
          <w:rFonts w:hint="eastAsia"/>
        </w:rPr>
        <w:t>土地利用调整原则</w:t>
      </w:r>
    </w:p>
    <w:p>
      <w:pPr>
        <w:pStyle w:val="Normal0"/>
        <w:ind w:firstLine="560" w:firstLineChars="200"/>
        <w:rPr>
          <w:rFonts w:ascii="宋体" w:hAnsi="宋体"/>
          <w:sz w:val="28"/>
          <w:szCs w:val="28"/>
        </w:rPr>
      </w:pPr>
      <w:r>
        <w:rPr>
          <w:rFonts w:ascii="宋体" w:hAnsi="宋体" w:hint="eastAsia"/>
          <w:sz w:val="28"/>
          <w:szCs w:val="28"/>
        </w:rPr>
        <w:t>为改变</w:t>
      </w:r>
      <w:r>
        <w:rPr>
          <w:rFonts w:ascii="宋体" w:hAnsi="宋体" w:hint="eastAsia"/>
          <w:sz w:val="28"/>
          <w:szCs w:val="28"/>
          <w:lang w:eastAsia="zh-CN"/>
        </w:rPr>
        <w:t>相关项目</w:t>
      </w:r>
      <w:r>
        <w:rPr>
          <w:rFonts w:ascii="宋体" w:hAnsi="宋体" w:hint="eastAsia"/>
          <w:sz w:val="28"/>
          <w:szCs w:val="28"/>
        </w:rPr>
        <w:t>区农牧业生产存在的广种薄收，粗放经营，土地退化日趋严重的现实，必须首先调整</w:t>
      </w:r>
      <w:r>
        <w:rPr>
          <w:rFonts w:ascii="宋体" w:hAnsi="宋体" w:hint="eastAsia"/>
          <w:sz w:val="28"/>
          <w:szCs w:val="28"/>
          <w:lang w:eastAsia="zh-CN"/>
        </w:rPr>
        <w:t>相关项目</w:t>
      </w:r>
      <w:r>
        <w:rPr>
          <w:rFonts w:ascii="宋体" w:hAnsi="宋体" w:hint="eastAsia"/>
          <w:sz w:val="28"/>
          <w:szCs w:val="28"/>
        </w:rPr>
        <w:t>区内的土地利用结构。合理利用土地是充分保护、科学利用土地资源、调整产业结构的基础。根据</w:t>
      </w:r>
      <w:r>
        <w:rPr>
          <w:rFonts w:ascii="宋体" w:hAnsi="宋体" w:hint="eastAsia"/>
          <w:sz w:val="28"/>
          <w:szCs w:val="28"/>
          <w:lang w:eastAsia="zh-CN"/>
        </w:rPr>
        <w:t>相关项目</w:t>
      </w:r>
      <w:r>
        <w:rPr>
          <w:rFonts w:ascii="宋体" w:hAnsi="宋体" w:hint="eastAsia"/>
          <w:sz w:val="28"/>
          <w:szCs w:val="28"/>
        </w:rPr>
        <w:t>区土地适宜性评价结果和土地利用及生产力现状，结合</w:t>
      </w:r>
      <w:r>
        <w:rPr>
          <w:rFonts w:ascii="宋体" w:hAnsi="宋体" w:hint="eastAsia"/>
          <w:sz w:val="28"/>
          <w:szCs w:val="28"/>
          <w:lang w:eastAsia="zh-CN"/>
        </w:rPr>
        <w:t>相关项目</w:t>
      </w:r>
      <w:r>
        <w:rPr>
          <w:rFonts w:ascii="宋体" w:hAnsi="宋体" w:hint="eastAsia"/>
          <w:sz w:val="28"/>
          <w:szCs w:val="28"/>
        </w:rPr>
        <w:t>区农牧业经济发展方向，做到宜农则农、宜林则林、宜牧则牧，确定农、林、牧等各业土地使用方向和布局，充分发挥土地的生产潜力。</w:t>
      </w:r>
    </w:p>
    <w:p>
      <w:pPr>
        <w:pStyle w:val="Normal0"/>
        <w:ind w:firstLine="560" w:firstLineChars="200"/>
        <w:rPr>
          <w:rFonts w:ascii="宋体" w:hAnsi="宋体"/>
          <w:sz w:val="28"/>
          <w:szCs w:val="28"/>
        </w:rPr>
      </w:pPr>
      <w:r>
        <w:rPr>
          <w:rFonts w:ascii="宋体" w:hAnsi="宋体" w:hint="eastAsia"/>
          <w:sz w:val="28"/>
          <w:szCs w:val="28"/>
        </w:rPr>
        <w:t>具体为：将坡度小于</w:t>
      </w:r>
      <w:r>
        <w:rPr>
          <w:rFonts w:ascii="宋体" w:hAnsi="宋体"/>
          <w:sz w:val="28"/>
          <w:szCs w:val="28"/>
        </w:rPr>
        <w:t>15</w:t>
      </w:r>
      <w:r>
        <w:rPr>
          <w:rFonts w:ascii="宋体" w:hAnsi="宋体" w:hint="eastAsia"/>
          <w:sz w:val="28"/>
          <w:szCs w:val="28"/>
        </w:rPr>
        <w:t>º以下的坡耕地全部改造成坡式梯田，在水源有保证地区，配套建设相应的节水灌溉工程，并实行山、水、田、林、路综合治理，将坡度大于</w:t>
      </w:r>
      <w:r>
        <w:rPr>
          <w:rFonts w:ascii="宋体" w:hAnsi="宋体"/>
          <w:sz w:val="28"/>
          <w:szCs w:val="28"/>
        </w:rPr>
        <w:t>15</w:t>
      </w:r>
      <w:r>
        <w:rPr>
          <w:rFonts w:ascii="宋体" w:hAnsi="宋体" w:hint="eastAsia"/>
          <w:sz w:val="28"/>
          <w:szCs w:val="28"/>
        </w:rPr>
        <w:t>º的坡耕地退耕还林、还牧，以增加地面植被覆盖，控制水土流失，改善生态环境。</w:t>
      </w:r>
    </w:p>
    <w:p>
      <w:pPr>
        <w:pStyle w:val="Heading3"/>
      </w:pPr>
      <w:r>
        <w:rPr>
          <w:rFonts w:hint="eastAsia"/>
        </w:rPr>
        <w:t>土地利用结构调整前后变化情况</w:t>
      </w:r>
    </w:p>
    <w:p>
      <w:pPr>
        <w:pStyle w:val="Normal0"/>
        <w:ind w:firstLine="560" w:firstLineChars="200"/>
        <w:rPr>
          <w:rFonts w:ascii="宋体" w:hAnsi="宋体"/>
          <w:kern w:val="0"/>
          <w:sz w:val="28"/>
          <w:szCs w:val="28"/>
        </w:rPr>
      </w:pPr>
      <w:r>
        <w:rPr>
          <w:rFonts w:ascii="宋体" w:hAnsi="宋体" w:hint="eastAsia"/>
          <w:kern w:val="0"/>
          <w:sz w:val="28"/>
          <w:szCs w:val="28"/>
        </w:rPr>
        <w:t>（</w:t>
      </w:r>
      <w:r>
        <w:rPr>
          <w:rFonts w:ascii="宋体" w:hAnsi="宋体"/>
          <w:kern w:val="0"/>
          <w:sz w:val="28"/>
          <w:szCs w:val="28"/>
        </w:rPr>
        <w:t>1</w:t>
      </w:r>
      <w:r>
        <w:rPr>
          <w:rFonts w:ascii="宋体" w:hAnsi="宋体" w:hint="eastAsia"/>
          <w:kern w:val="0"/>
          <w:sz w:val="28"/>
          <w:szCs w:val="28"/>
        </w:rPr>
        <w:t>）现状农耕地面积</w:t>
      </w:r>
      <w:r>
        <w:rPr>
          <w:rFonts w:ascii="宋体" w:hAnsi="宋体"/>
          <w:kern w:val="0"/>
          <w:sz w:val="28"/>
          <w:szCs w:val="28"/>
        </w:rPr>
        <w:t>3570</w:t>
      </w:r>
      <w:r>
        <w:rPr>
          <w:rFonts w:ascii="宋体" w:hAnsi="宋体"/>
          <w:kern w:val="0"/>
          <w:sz w:val="28"/>
          <w:szCs w:val="28"/>
        </w:rPr>
        <w:object>
          <v:shape id="_x0000_i1034" type="#_x0000_t75" style="width:24pt;height:15pt" o:ole="" coordsize="21600,21600" o:preferrelative="t" filled="f" stroked="f">
            <v:stroke joinstyle="miter"/>
            <v:imagedata r:id="rId29" o:title=""/>
            <o:lock v:ext="edit" aspectratio="t"/>
            <w10:anchorlock/>
          </v:shape>
          <o:OLEObject Type="Embed" ProgID="Equation.3" ShapeID="_x0000_i1034" DrawAspect="Content" ObjectID="_1468075734" r:id="rId30"/>
        </w:object>
      </w:r>
      <w:r>
        <w:rPr>
          <w:rFonts w:ascii="宋体" w:hAnsi="宋体" w:hint="eastAsia"/>
          <w:kern w:val="0"/>
          <w:sz w:val="28"/>
          <w:szCs w:val="28"/>
        </w:rPr>
        <w:t>，其中旱平地</w:t>
      </w:r>
      <w:r>
        <w:rPr>
          <w:rFonts w:ascii="宋体" w:hAnsi="宋体"/>
          <w:kern w:val="0"/>
          <w:sz w:val="28"/>
          <w:szCs w:val="28"/>
        </w:rPr>
        <w:t>178</w:t>
      </w:r>
      <w:r>
        <w:rPr>
          <w:rFonts w:ascii="宋体" w:hAnsi="宋体"/>
          <w:kern w:val="0"/>
          <w:sz w:val="28"/>
          <w:szCs w:val="28"/>
        </w:rPr>
        <w:object>
          <v:shape id="_x0000_i1035" type="#_x0000_t75" style="width:24pt;height:15pt" o:ole="" coordsize="21600,21600" o:preferrelative="t" filled="f" stroked="f">
            <v:stroke joinstyle="miter"/>
            <v:imagedata r:id="rId31" o:title=""/>
            <o:lock v:ext="edit" aspectratio="t"/>
            <w10:anchorlock/>
          </v:shape>
          <o:OLEObject Type="Embed" ProgID="Equation.3" ShapeID="_x0000_i1035" DrawAspect="Content" ObjectID="_1468075735" r:id="rId32"/>
        </w:object>
      </w:r>
      <w:r>
        <w:rPr>
          <w:rFonts w:ascii="宋体" w:hAnsi="宋体" w:hint="eastAsia"/>
          <w:kern w:val="0"/>
          <w:sz w:val="28"/>
          <w:szCs w:val="28"/>
        </w:rPr>
        <w:t>，坡式梯田</w:t>
      </w:r>
      <w:r>
        <w:rPr>
          <w:rFonts w:ascii="宋体" w:hAnsi="宋体"/>
          <w:kern w:val="0"/>
          <w:sz w:val="28"/>
          <w:szCs w:val="28"/>
        </w:rPr>
        <w:t>230</w:t>
      </w:r>
      <w:r>
        <w:rPr>
          <w:rFonts w:ascii="宋体" w:hAnsi="宋体"/>
          <w:kern w:val="0"/>
          <w:sz w:val="28"/>
          <w:szCs w:val="28"/>
        </w:rPr>
        <w:object>
          <v:shape id="_x0000_i1036" type="#_x0000_t75" style="width:24pt;height:15pt" o:ole="" coordsize="21600,21600" o:preferrelative="t" filled="f" stroked="f">
            <v:stroke joinstyle="miter"/>
            <v:imagedata r:id="rId33" o:title=""/>
            <o:lock v:ext="edit" aspectratio="t"/>
            <w10:anchorlock/>
          </v:shape>
          <o:OLEObject Type="Embed" ProgID="Equation.3" ShapeID="_x0000_i1036" DrawAspect="Content" ObjectID="_1468075736" r:id="rId34"/>
        </w:object>
      </w:r>
      <w:r>
        <w:rPr>
          <w:rFonts w:ascii="宋体" w:hAnsi="宋体" w:hint="eastAsia"/>
          <w:kern w:val="0"/>
          <w:sz w:val="28"/>
          <w:szCs w:val="28"/>
        </w:rPr>
        <w:t>，坡耕地</w:t>
      </w:r>
      <w:r>
        <w:rPr>
          <w:rFonts w:ascii="宋体" w:hAnsi="宋体"/>
          <w:kern w:val="0"/>
          <w:sz w:val="28"/>
          <w:szCs w:val="28"/>
        </w:rPr>
        <w:t>3162</w:t>
      </w:r>
      <w:r>
        <w:rPr>
          <w:rFonts w:ascii="宋体" w:hAnsi="宋体"/>
          <w:kern w:val="0"/>
          <w:sz w:val="28"/>
          <w:szCs w:val="28"/>
        </w:rPr>
        <w:object>
          <v:shape id="_x0000_i1037" type="#_x0000_t75" style="width:24pt;height:15pt" o:ole="" coordsize="21600,21600" o:preferrelative="t" filled="f" stroked="f">
            <v:stroke joinstyle="miter"/>
            <v:imagedata r:id="rId35" o:title=""/>
            <o:lock v:ext="edit" aspectratio="t"/>
            <w10:anchorlock/>
          </v:shape>
          <o:OLEObject Type="Embed" ProgID="Equation.3" ShapeID="_x0000_i1037" DrawAspect="Content" ObjectID="_1468075737" r:id="rId36"/>
        </w:object>
      </w:r>
      <w:r>
        <w:rPr>
          <w:rFonts w:ascii="宋体" w:hAnsi="宋体" w:hint="eastAsia"/>
          <w:kern w:val="0"/>
          <w:sz w:val="28"/>
          <w:szCs w:val="28"/>
        </w:rPr>
        <w:t>。根据</w:t>
      </w:r>
      <w:r>
        <w:rPr>
          <w:rFonts w:ascii="宋体" w:hAnsi="宋体" w:hint="eastAsia"/>
          <w:kern w:val="0"/>
          <w:sz w:val="28"/>
          <w:szCs w:val="28"/>
          <w:lang w:eastAsia="zh-CN"/>
        </w:rPr>
        <w:t>相关项目</w:t>
      </w:r>
      <w:r>
        <w:rPr>
          <w:rFonts w:ascii="宋体" w:hAnsi="宋体" w:hint="eastAsia"/>
          <w:kern w:val="0"/>
          <w:sz w:val="28"/>
          <w:szCs w:val="28"/>
        </w:rPr>
        <w:t>区人均耕地面积、土地生产力等情况，本次规划在现有坡耕地上发展</w:t>
      </w:r>
      <w:r>
        <w:rPr>
          <w:rFonts w:ascii="宋体" w:hAnsi="宋体"/>
          <w:kern w:val="0"/>
          <w:sz w:val="28"/>
          <w:szCs w:val="28"/>
        </w:rPr>
        <w:t>2816</w:t>
      </w:r>
      <w:r>
        <w:rPr>
          <w:rFonts w:ascii="宋体" w:hAnsi="宋体"/>
          <w:kern w:val="0"/>
          <w:sz w:val="28"/>
          <w:szCs w:val="28"/>
        </w:rPr>
        <w:object>
          <v:shape id="_x0000_i1038" type="#_x0000_t75" style="width:24pt;height:15pt" o:ole="" coordsize="21600,21600" o:preferrelative="t" filled="f" stroked="f">
            <v:stroke joinstyle="miter"/>
            <v:imagedata r:id="rId37" o:title=""/>
            <o:lock v:ext="edit" aspectratio="t"/>
            <w10:anchorlock/>
          </v:shape>
          <o:OLEObject Type="Embed" ProgID="Equation.3" ShapeID="_x0000_i1038" DrawAspect="Content" ObjectID="_1468075738" r:id="rId38"/>
        </w:object>
      </w:r>
      <w:r>
        <w:rPr>
          <w:rFonts w:ascii="宋体" w:hAnsi="宋体" w:hint="eastAsia"/>
          <w:kern w:val="0"/>
          <w:sz w:val="28"/>
          <w:szCs w:val="28"/>
        </w:rPr>
        <w:t>坡式梯田，完成节水灌溉农田面积</w:t>
      </w:r>
      <w:r>
        <w:rPr>
          <w:rFonts w:ascii="宋体" w:hAnsi="宋体"/>
          <w:kern w:val="0"/>
          <w:sz w:val="28"/>
          <w:szCs w:val="28"/>
        </w:rPr>
        <w:t>450</w:t>
      </w:r>
      <w:r>
        <w:rPr>
          <w:rFonts w:ascii="宋体" w:hAnsi="宋体"/>
          <w:kern w:val="0"/>
          <w:sz w:val="28"/>
          <w:szCs w:val="28"/>
        </w:rPr>
        <w:object>
          <v:shape id="_x0000_i1039" type="#_x0000_t75" style="width:24pt;height:15pt" o:ole="" coordsize="21600,21600" o:preferrelative="t" filled="f" stroked="f">
            <v:stroke joinstyle="miter"/>
            <v:imagedata r:id="rId39" o:title=""/>
            <o:lock v:ext="edit" aspectratio="t"/>
            <w10:anchorlock/>
          </v:shape>
          <o:OLEObject Type="Embed" ProgID="Equation.3" ShapeID="_x0000_i1039" DrawAspect="Content" ObjectID="_1468075739" r:id="rId40"/>
        </w:object>
      </w:r>
      <w:r>
        <w:rPr>
          <w:rFonts w:ascii="宋体" w:hAnsi="宋体" w:hint="eastAsia"/>
          <w:kern w:val="0"/>
          <w:sz w:val="28"/>
          <w:szCs w:val="28"/>
        </w:rPr>
        <w:t>。将坡度大于</w:t>
      </w:r>
      <w:r>
        <w:rPr>
          <w:rFonts w:ascii="宋体" w:hAnsi="宋体"/>
          <w:kern w:val="0"/>
          <w:sz w:val="28"/>
          <w:szCs w:val="28"/>
        </w:rPr>
        <w:t>1</w:t>
      </w:r>
      <w:r>
        <w:rPr>
          <w:rFonts w:ascii="宋体" w:hAnsi="宋体" w:hint="eastAsia"/>
          <w:kern w:val="0"/>
          <w:sz w:val="28"/>
          <w:szCs w:val="28"/>
        </w:rPr>
        <w:t>5°以上的95</w:t>
      </w:r>
      <w:r>
        <w:rPr>
          <w:rFonts w:ascii="宋体" w:hAnsi="宋体"/>
          <w:kern w:val="0"/>
          <w:sz w:val="28"/>
          <w:szCs w:val="28"/>
        </w:rPr>
        <w:object>
          <v:shape id="_x0000_i1040" type="#_x0000_t75" style="width:24pt;height:15pt" o:ole="" coordsize="21600,21600" o:preferrelative="t" filled="f" stroked="f">
            <v:stroke joinstyle="miter"/>
            <v:imagedata r:id="rId37" o:title=""/>
            <o:lock v:ext="edit" aspectratio="t"/>
            <w10:anchorlock/>
          </v:shape>
          <o:OLEObject Type="Embed" ProgID="Equation.3" ShapeID="_x0000_i1040" DrawAspect="Content" ObjectID="_1468075740" r:id="rId41"/>
        </w:object>
      </w:r>
      <w:r>
        <w:rPr>
          <w:rFonts w:ascii="宋体" w:hAnsi="宋体" w:hint="eastAsia"/>
          <w:kern w:val="0"/>
          <w:sz w:val="28"/>
          <w:szCs w:val="28"/>
        </w:rPr>
        <w:t>坡耕地退耕还草。</w:t>
      </w:r>
    </w:p>
    <w:p>
      <w:pPr>
        <w:pStyle w:val="Normal0"/>
        <w:ind w:firstLine="560" w:firstLineChars="200"/>
        <w:rPr>
          <w:rFonts w:ascii="宋体" w:hAnsi="宋体"/>
          <w:kern w:val="0"/>
          <w:sz w:val="28"/>
          <w:szCs w:val="28"/>
        </w:rPr>
        <w:sectPr>
          <w:headerReference w:type="default" r:id="rId42"/>
          <w:footerReference w:type="default" r:id="rId43"/>
          <w:type w:val="nextPage"/>
          <w:pgSz w:w="11907" w:h="16840"/>
          <w:pgMar w:top="1701" w:right="1418" w:bottom="1418" w:left="1418" w:header="1417" w:footer="567" w:gutter="567"/>
          <w:pgNumType w:start="3"/>
          <w:cols w:num="1" w:space="720"/>
          <w:titlePg w:val="0"/>
          <w:docGrid w:type="lines" w:linePitch="312" w:charSpace="0"/>
        </w:sectPr>
      </w:pPr>
      <w:r>
        <w:rPr>
          <w:rFonts w:ascii="宋体" w:hAnsi="宋体" w:hint="eastAsia"/>
          <w:kern w:val="0"/>
          <w:sz w:val="28"/>
          <w:szCs w:val="28"/>
        </w:rPr>
        <w:t>（</w:t>
      </w:r>
      <w:r>
        <w:rPr>
          <w:rFonts w:ascii="宋体" w:hAnsi="宋体"/>
          <w:kern w:val="0"/>
          <w:sz w:val="28"/>
          <w:szCs w:val="28"/>
        </w:rPr>
        <w:t>2</w:t>
      </w:r>
      <w:r>
        <w:rPr>
          <w:rFonts w:ascii="宋体" w:hAnsi="宋体" w:hint="eastAsia"/>
          <w:kern w:val="0"/>
          <w:sz w:val="28"/>
          <w:szCs w:val="28"/>
        </w:rPr>
        <w:t>）现状林地面积</w:t>
      </w:r>
      <w:r>
        <w:rPr>
          <w:rFonts w:ascii="宋体" w:hAnsi="宋体"/>
          <w:kern w:val="0"/>
          <w:sz w:val="28"/>
          <w:szCs w:val="28"/>
        </w:rPr>
        <w:t>233.7</w:t>
      </w:r>
      <w:r>
        <w:rPr>
          <w:rFonts w:ascii="宋体" w:hAnsi="宋体"/>
          <w:kern w:val="0"/>
          <w:sz w:val="28"/>
          <w:szCs w:val="28"/>
        </w:rPr>
        <w:object>
          <v:shape id="_x0000_i1041" type="#_x0000_t75" style="width:24pt;height:15pt" o:ole="" coordsize="21600,21600" o:preferrelative="t" filled="f" stroked="f">
            <v:stroke joinstyle="miter"/>
            <v:imagedata r:id="rId44" o:title=""/>
            <o:lock v:ext="edit" aspectratio="t"/>
            <w10:anchorlock/>
          </v:shape>
          <o:OLEObject Type="Embed" ProgID="Equation.3" ShapeID="_x0000_i1041" DrawAspect="Content" ObjectID="_1468075741" r:id="rId45"/>
        </w:object>
      </w:r>
      <w:r>
        <w:rPr>
          <w:rFonts w:ascii="宋体" w:hAnsi="宋体" w:hint="eastAsia"/>
          <w:kern w:val="0"/>
          <w:sz w:val="28"/>
          <w:szCs w:val="28"/>
        </w:rPr>
        <w:t>，占总土地面积的</w:t>
      </w:r>
      <w:r>
        <w:rPr>
          <w:rFonts w:ascii="宋体" w:hAnsi="宋体"/>
          <w:kern w:val="0"/>
          <w:sz w:val="28"/>
          <w:szCs w:val="28"/>
        </w:rPr>
        <w:t>2.92%</w:t>
      </w:r>
      <w:r>
        <w:rPr>
          <w:rFonts w:ascii="宋体" w:hAnsi="宋体" w:hint="eastAsia"/>
          <w:kern w:val="0"/>
          <w:sz w:val="28"/>
          <w:szCs w:val="28"/>
        </w:rPr>
        <w:t>，林地面积偏少，且分散，未能起到生态防护效益。所以根据</w:t>
      </w:r>
      <w:r>
        <w:rPr>
          <w:rFonts w:ascii="宋体" w:hAnsi="宋体" w:hint="eastAsia"/>
          <w:kern w:val="0"/>
          <w:sz w:val="28"/>
          <w:szCs w:val="28"/>
          <w:lang w:eastAsia="zh-CN"/>
        </w:rPr>
        <w:t>相关项目</w:t>
      </w:r>
      <w:r>
        <w:rPr>
          <w:rFonts w:ascii="宋体" w:hAnsi="宋体" w:hint="eastAsia"/>
          <w:kern w:val="0"/>
          <w:sz w:val="28"/>
          <w:szCs w:val="28"/>
        </w:rPr>
        <w:t>区生态环境条件、地力分级以及土地生产能力等，通过</w:t>
      </w:r>
      <w:r>
        <w:rPr>
          <w:rFonts w:ascii="宋体" w:hAnsi="宋体" w:hint="eastAsia"/>
          <w:kern w:val="0"/>
          <w:sz w:val="28"/>
          <w:szCs w:val="28"/>
          <w:lang w:eastAsia="zh-CN"/>
        </w:rPr>
        <w:t>相关项目</w:t>
      </w:r>
      <w:r>
        <w:rPr>
          <w:rFonts w:ascii="宋体" w:hAnsi="宋体" w:hint="eastAsia"/>
          <w:kern w:val="0"/>
          <w:sz w:val="28"/>
          <w:szCs w:val="28"/>
        </w:rPr>
        <w:t>实施林地面积增加到</w:t>
      </w:r>
      <w:r>
        <w:rPr>
          <w:rFonts w:ascii="宋体" w:hAnsi="宋体"/>
          <w:kern w:val="0"/>
          <w:sz w:val="28"/>
          <w:szCs w:val="28"/>
        </w:rPr>
        <w:t>1033.7</w:t>
      </w:r>
      <w:r>
        <w:rPr>
          <w:rFonts w:ascii="宋体" w:hAnsi="宋体"/>
          <w:kern w:val="0"/>
          <w:sz w:val="28"/>
          <w:szCs w:val="28"/>
        </w:rPr>
        <w:object>
          <v:shape id="_x0000_i1042" type="#_x0000_t75" style="width:24pt;height:15pt" o:ole="" coordsize="21600,21600" o:preferrelative="t" filled="f" stroked="f">
            <v:stroke joinstyle="miter"/>
            <v:imagedata r:id="rId46" o:title=""/>
            <o:lock v:ext="edit" aspectratio="t"/>
            <w10:anchorlock/>
          </v:shape>
          <o:OLEObject Type="Embed" ProgID="Equation.3" ShapeID="_x0000_i1042" DrawAspect="Content" ObjectID="_1468075742" r:id="rId47"/>
        </w:object>
      </w:r>
      <w:r>
        <w:rPr>
          <w:rFonts w:ascii="宋体" w:hAnsi="宋体" w:hint="eastAsia"/>
          <w:kern w:val="0"/>
          <w:sz w:val="28"/>
          <w:szCs w:val="28"/>
        </w:rPr>
        <w:t>，占总土地面积的</w:t>
      </w:r>
      <w:r>
        <w:rPr>
          <w:rFonts w:ascii="宋体" w:hAnsi="宋体"/>
          <w:kern w:val="0"/>
          <w:sz w:val="28"/>
          <w:szCs w:val="28"/>
        </w:rPr>
        <w:t>12.92%</w:t>
      </w:r>
      <w:r>
        <w:rPr>
          <w:rFonts w:ascii="宋体" w:hAnsi="宋体" w:hint="eastAsia"/>
          <w:kern w:val="0"/>
          <w:sz w:val="28"/>
          <w:szCs w:val="28"/>
        </w:rPr>
        <w:t>，从而有效防止水土流失，改善生态环境。</w:t>
      </w:r>
    </w:p>
    <w:p>
      <w:pPr>
        <w:pStyle w:val="Normal0"/>
        <w:ind w:firstLine="560" w:firstLineChars="200"/>
        <w:rPr>
          <w:rFonts w:ascii="宋体" w:hAnsi="宋体"/>
          <w:kern w:val="0"/>
          <w:sz w:val="28"/>
          <w:szCs w:val="28"/>
        </w:rPr>
      </w:pPr>
      <w:r>
        <w:rPr>
          <w:rFonts w:ascii="宋体" w:hAnsi="宋体" w:hint="eastAsia"/>
          <w:kern w:val="0"/>
          <w:sz w:val="28"/>
          <w:szCs w:val="28"/>
        </w:rPr>
        <w:t>总之，</w:t>
      </w:r>
      <w:r>
        <w:rPr>
          <w:rFonts w:ascii="宋体" w:hAnsi="宋体" w:hint="eastAsia"/>
          <w:kern w:val="0"/>
          <w:sz w:val="28"/>
          <w:szCs w:val="28"/>
          <w:lang w:eastAsia="zh-CN"/>
        </w:rPr>
        <w:t>相关项目</w:t>
      </w:r>
      <w:r>
        <w:rPr>
          <w:rFonts w:ascii="宋体" w:hAnsi="宋体" w:hint="eastAsia"/>
          <w:kern w:val="0"/>
          <w:sz w:val="28"/>
          <w:szCs w:val="28"/>
        </w:rPr>
        <w:t>区土地利用结构农、林、牧和其它各业用地比例的得到合理的调整，有效提高了土地资源利用率，使农、林、牧、副各业协调发展。具体见附表１-土地利用现状及调整表。</w:t>
      </w:r>
    </w:p>
    <w:p>
      <w:pPr>
        <w:pStyle w:val="Heading2"/>
      </w:pPr>
      <w:r>
        <w:rPr>
          <w:rFonts w:hint="eastAsia"/>
        </w:rPr>
        <w:t>工程总体布置</w:t>
      </w:r>
    </w:p>
    <w:p>
      <w:pPr>
        <w:pStyle w:val="Heading3"/>
      </w:pPr>
      <w:r>
        <w:rPr>
          <w:rFonts w:hint="eastAsia"/>
        </w:rPr>
        <w:t>工程治理原则</w:t>
      </w:r>
    </w:p>
    <w:p>
      <w:pPr>
        <w:pStyle w:val="Normal0"/>
        <w:ind w:firstLine="560" w:firstLineChars="200"/>
        <w:rPr>
          <w:rFonts w:ascii="宋体" w:hAnsi="宋体"/>
          <w:kern w:val="0"/>
          <w:sz w:val="28"/>
          <w:szCs w:val="28"/>
        </w:rPr>
      </w:pPr>
      <w:r>
        <w:rPr>
          <w:rFonts w:ascii="宋体" w:hAnsi="宋体" w:hint="eastAsia"/>
          <w:kern w:val="0"/>
          <w:sz w:val="28"/>
          <w:szCs w:val="28"/>
        </w:rPr>
        <w:t>（</w:t>
      </w:r>
      <w:r>
        <w:rPr>
          <w:rFonts w:ascii="宋体" w:hAnsi="宋体"/>
          <w:kern w:val="0"/>
          <w:sz w:val="28"/>
          <w:szCs w:val="28"/>
        </w:rPr>
        <w:t>1</w:t>
      </w:r>
      <w:r>
        <w:rPr>
          <w:rFonts w:ascii="宋体" w:hAnsi="宋体" w:hint="eastAsia"/>
          <w:kern w:val="0"/>
          <w:sz w:val="28"/>
          <w:szCs w:val="28"/>
        </w:rPr>
        <w:t>）坚持集中连片综合治理的原则。</w:t>
      </w:r>
    </w:p>
    <w:p>
      <w:pPr>
        <w:pStyle w:val="Normal0"/>
        <w:ind w:firstLine="560" w:firstLineChars="200"/>
        <w:rPr>
          <w:rFonts w:ascii="宋体" w:hAnsi="宋体"/>
          <w:kern w:val="0"/>
          <w:sz w:val="28"/>
          <w:szCs w:val="28"/>
        </w:rPr>
      </w:pPr>
      <w:r>
        <w:rPr>
          <w:rFonts w:ascii="宋体" w:hAnsi="宋体" w:hint="eastAsia"/>
          <w:kern w:val="0"/>
          <w:sz w:val="28"/>
          <w:szCs w:val="28"/>
        </w:rPr>
        <w:t>（</w:t>
      </w:r>
      <w:r>
        <w:rPr>
          <w:rFonts w:ascii="宋体" w:hAnsi="宋体"/>
          <w:kern w:val="0"/>
          <w:sz w:val="28"/>
          <w:szCs w:val="28"/>
        </w:rPr>
        <w:t>2</w:t>
      </w:r>
      <w:r>
        <w:rPr>
          <w:rFonts w:ascii="宋体" w:hAnsi="宋体" w:hint="eastAsia"/>
          <w:kern w:val="0"/>
          <w:sz w:val="28"/>
          <w:szCs w:val="28"/>
        </w:rPr>
        <w:t>）坚持因地制宜，实事求是的原则。</w:t>
      </w:r>
    </w:p>
    <w:p>
      <w:pPr>
        <w:pStyle w:val="Normal0"/>
        <w:ind w:firstLine="560" w:firstLineChars="200"/>
        <w:rPr>
          <w:rFonts w:ascii="宋体" w:hAnsi="宋体"/>
          <w:kern w:val="0"/>
          <w:sz w:val="28"/>
          <w:szCs w:val="28"/>
        </w:rPr>
      </w:pPr>
      <w:r>
        <w:rPr>
          <w:rFonts w:ascii="宋体" w:hAnsi="宋体" w:hint="eastAsia"/>
          <w:kern w:val="0"/>
          <w:sz w:val="28"/>
          <w:szCs w:val="28"/>
        </w:rPr>
        <w:t>（</w:t>
      </w:r>
      <w:r>
        <w:rPr>
          <w:rFonts w:ascii="宋体" w:hAnsi="宋体"/>
          <w:kern w:val="0"/>
          <w:sz w:val="28"/>
          <w:szCs w:val="28"/>
        </w:rPr>
        <w:t>3</w:t>
      </w:r>
      <w:r>
        <w:rPr>
          <w:rFonts w:ascii="宋体" w:hAnsi="宋体" w:hint="eastAsia"/>
          <w:kern w:val="0"/>
          <w:sz w:val="28"/>
          <w:szCs w:val="28"/>
        </w:rPr>
        <w:t>）坚持生态建设与增加农民收入，尽快脱贫致富，促进经济发展相结合的原则。</w:t>
      </w:r>
    </w:p>
    <w:p>
      <w:pPr>
        <w:pStyle w:val="Normal0"/>
        <w:ind w:firstLine="560" w:firstLineChars="200"/>
        <w:rPr>
          <w:rFonts w:ascii="宋体" w:hAnsi="宋体"/>
          <w:kern w:val="0"/>
          <w:sz w:val="28"/>
          <w:szCs w:val="28"/>
        </w:rPr>
      </w:pPr>
      <w:r>
        <w:rPr>
          <w:rFonts w:ascii="宋体" w:hAnsi="宋体" w:hint="eastAsia"/>
          <w:kern w:val="0"/>
          <w:sz w:val="28"/>
          <w:szCs w:val="28"/>
        </w:rPr>
        <w:t>（</w:t>
      </w:r>
      <w:r>
        <w:rPr>
          <w:rFonts w:ascii="宋体" w:hAnsi="宋体"/>
          <w:kern w:val="0"/>
          <w:sz w:val="28"/>
          <w:szCs w:val="28"/>
        </w:rPr>
        <w:t>4</w:t>
      </w:r>
      <w:r>
        <w:rPr>
          <w:rFonts w:ascii="宋体" w:hAnsi="宋体" w:hint="eastAsia"/>
          <w:kern w:val="0"/>
          <w:sz w:val="28"/>
          <w:szCs w:val="28"/>
        </w:rPr>
        <w:t>）坚持重点</w:t>
      </w:r>
      <w:r>
        <w:rPr>
          <w:rFonts w:ascii="宋体" w:hAnsi="宋体" w:hint="eastAsia"/>
          <w:kern w:val="0"/>
          <w:sz w:val="28"/>
          <w:szCs w:val="28"/>
          <w:lang w:eastAsia="zh-CN"/>
        </w:rPr>
        <w:t>相关项目</w:t>
      </w:r>
      <w:r>
        <w:rPr>
          <w:rFonts w:ascii="宋体" w:hAnsi="宋体" w:hint="eastAsia"/>
          <w:kern w:val="0"/>
          <w:sz w:val="28"/>
          <w:szCs w:val="28"/>
        </w:rPr>
        <w:t>区和面上造林任务相结合。</w:t>
      </w:r>
    </w:p>
    <w:p>
      <w:pPr>
        <w:pStyle w:val="Normal0"/>
        <w:ind w:firstLine="560" w:firstLineChars="200"/>
        <w:rPr>
          <w:rFonts w:ascii="宋体" w:hAnsi="宋体"/>
          <w:kern w:val="0"/>
          <w:sz w:val="28"/>
          <w:szCs w:val="28"/>
        </w:rPr>
      </w:pPr>
      <w:r>
        <w:rPr>
          <w:rFonts w:ascii="宋体" w:hAnsi="宋体" w:hint="eastAsia"/>
          <w:kern w:val="0"/>
          <w:sz w:val="28"/>
          <w:szCs w:val="28"/>
        </w:rPr>
        <w:t>（</w:t>
      </w:r>
      <w:r>
        <w:rPr>
          <w:rFonts w:ascii="宋体" w:hAnsi="宋体"/>
          <w:kern w:val="0"/>
          <w:sz w:val="28"/>
          <w:szCs w:val="28"/>
        </w:rPr>
        <w:t>5</w:t>
      </w:r>
      <w:r>
        <w:rPr>
          <w:rFonts w:ascii="宋体" w:hAnsi="宋体" w:hint="eastAsia"/>
          <w:kern w:val="0"/>
          <w:sz w:val="28"/>
          <w:szCs w:val="28"/>
        </w:rPr>
        <w:t>）坚持保护与建设相结合，开发与治理相结合，国家与地方、集体和个人投资、投劳相结合，生态效益与经济效益、社会效益相结合。</w:t>
      </w:r>
    </w:p>
    <w:p>
      <w:pPr>
        <w:pStyle w:val="Heading3"/>
      </w:pPr>
      <w:r>
        <w:rPr>
          <w:rFonts w:hint="eastAsia"/>
        </w:rPr>
        <w:t>工程措施总体布置</w:t>
      </w:r>
    </w:p>
    <w:p>
      <w:pPr>
        <w:pStyle w:val="Normal0"/>
        <w:ind w:firstLine="560" w:firstLineChars="200"/>
        <w:rPr>
          <w:rFonts w:ascii="宋体" w:hAnsi="宋体" w:hint="eastAsia"/>
          <w:kern w:val="0"/>
          <w:sz w:val="28"/>
          <w:szCs w:val="28"/>
        </w:rPr>
      </w:pPr>
      <w:r>
        <w:rPr>
          <w:rFonts w:ascii="宋体" w:hAnsi="宋体" w:hint="eastAsia"/>
          <w:kern w:val="0"/>
          <w:sz w:val="28"/>
          <w:szCs w:val="28"/>
        </w:rPr>
        <w:t>根据</w:t>
      </w:r>
      <w:r>
        <w:rPr>
          <w:rFonts w:ascii="宋体" w:hAnsi="宋体" w:hint="eastAsia"/>
          <w:kern w:val="0"/>
          <w:sz w:val="28"/>
          <w:szCs w:val="28"/>
          <w:lang w:eastAsia="zh-CN"/>
        </w:rPr>
        <w:t>相关项目</w:t>
      </w:r>
      <w:r>
        <w:rPr>
          <w:rFonts w:ascii="宋体" w:hAnsi="宋体" w:hint="eastAsia"/>
          <w:kern w:val="0"/>
          <w:sz w:val="28"/>
          <w:szCs w:val="28"/>
        </w:rPr>
        <w:t>区地形地貌、土地利用方式和水土流失特点，因地制宜、因害设防，全面统筹、科学地配置各项水土保持措施，采用工程措施和林草措施相结合，治坡和治沟相结合的措施进行布置和治理。</w:t>
      </w:r>
    </w:p>
    <w:p>
      <w:pPr>
        <w:pStyle w:val="Normal0"/>
        <w:ind w:firstLine="560" w:firstLineChars="200"/>
        <w:rPr>
          <w:rFonts w:ascii="宋体" w:hAnsi="宋体" w:hint="eastAsia"/>
          <w:kern w:val="0"/>
          <w:sz w:val="28"/>
          <w:szCs w:val="28"/>
        </w:rPr>
        <w:sectPr>
          <w:headerReference w:type="default" r:id="rId48"/>
          <w:footerReference w:type="default" r:id="rId49"/>
          <w:type w:val="nextPage"/>
          <w:pgSz w:w="11907" w:h="16840"/>
          <w:pgMar w:top="1701" w:right="1418" w:bottom="1418" w:left="1418" w:header="1417" w:footer="567" w:gutter="567"/>
          <w:pgNumType w:start="4"/>
          <w:cols w:num="1" w:space="720"/>
          <w:titlePg w:val="0"/>
          <w:docGrid w:type="lines" w:linePitch="312" w:charSpace="0"/>
        </w:sectPr>
      </w:pPr>
      <w:r>
        <w:rPr>
          <w:rFonts w:ascii="宋体" w:hAnsi="宋体" w:hint="eastAsia"/>
          <w:kern w:val="0"/>
          <w:sz w:val="28"/>
          <w:szCs w:val="28"/>
        </w:rPr>
        <w:t>坡耕地治理措施布置：根据</w:t>
      </w:r>
      <w:r>
        <w:rPr>
          <w:rFonts w:ascii="宋体" w:hAnsi="宋体" w:hint="eastAsia"/>
          <w:kern w:val="0"/>
          <w:sz w:val="28"/>
          <w:szCs w:val="28"/>
          <w:lang w:eastAsia="zh-CN"/>
        </w:rPr>
        <w:t>相关项目</w:t>
      </w:r>
      <w:r>
        <w:rPr>
          <w:rFonts w:ascii="宋体" w:hAnsi="宋体" w:hint="eastAsia"/>
          <w:kern w:val="0"/>
          <w:sz w:val="28"/>
          <w:szCs w:val="28"/>
        </w:rPr>
        <w:t>区多为丘陵地貌，起伏平缓的特点，在坡面坡度较为小、土质肥沃的坡耕地上修筑坡式梯田。坡式梯田的田埂间距按20.6m，田面长按300m布置。在梯田区内布设从坡底到坡顶，从村庄到田间的作业路，路面宽度采用4m。</w:t>
      </w:r>
      <w:r>
        <w:rPr>
          <w:rFonts w:ascii="宋体" w:hAnsi="宋体" w:hint="eastAsia"/>
          <w:color w:val="FF00FF"/>
          <w:kern w:val="0"/>
          <w:sz w:val="28"/>
          <w:szCs w:val="28"/>
        </w:rPr>
        <w:t>防护林</w:t>
      </w:r>
    </w:p>
    <w:p>
      <w:pPr>
        <w:pStyle w:val="Normal0"/>
        <w:ind w:firstLine="560" w:firstLineChars="200"/>
        <w:rPr>
          <w:rFonts w:ascii="宋体" w:hAnsi="宋体" w:hint="eastAsia"/>
          <w:kern w:val="0"/>
          <w:sz w:val="28"/>
          <w:szCs w:val="28"/>
        </w:rPr>
      </w:pPr>
      <w:r>
        <w:rPr>
          <w:rFonts w:ascii="宋体" w:hAnsi="宋体" w:hint="eastAsia"/>
          <w:kern w:val="0"/>
          <w:sz w:val="28"/>
          <w:szCs w:val="28"/>
        </w:rPr>
        <w:t>布置在田间路的两侧，设计田间路两侧各栽植两行青杨。</w:t>
      </w:r>
    </w:p>
    <w:p>
      <w:pPr>
        <w:pStyle w:val="Heading2"/>
      </w:pPr>
      <w:r>
        <w:rPr>
          <w:rFonts w:hint="eastAsia"/>
        </w:rPr>
        <w:t>5.3措施设计</w:t>
      </w:r>
    </w:p>
    <w:p>
      <w:pPr>
        <w:pStyle w:val="Heading3"/>
        <w:numPr>
          <w:ilvl w:val="0"/>
          <w:numId w:val="0"/>
        </w:numPr>
        <w:rPr>
          <w:rFonts w:hint="eastAsia"/>
        </w:rPr>
      </w:pPr>
      <w:r>
        <w:rPr>
          <w:rFonts w:ascii="Times New Roman" w:hAnsi="Times New Roman"/>
        </w:rPr>
        <w:t>5.3.1坡</w:t>
      </w:r>
      <w:r>
        <w:rPr>
          <w:rFonts w:hint="eastAsia"/>
        </w:rPr>
        <w:t>式梯田工程设计</w:t>
      </w:r>
      <w:r>
        <w:t xml:space="preserve">  </w:t>
      </w:r>
    </w:p>
    <w:p>
      <w:pPr>
        <w:pStyle w:val="Normal0"/>
        <w:ind w:firstLine="560" w:firstLineChars="200"/>
        <w:rPr>
          <w:rFonts w:ascii="宋体" w:hAnsi="宋体"/>
          <w:kern w:val="0"/>
          <w:sz w:val="28"/>
          <w:szCs w:val="28"/>
        </w:rPr>
      </w:pPr>
      <w:r>
        <w:rPr>
          <w:rFonts w:ascii="宋体" w:hAnsi="宋体" w:hint="eastAsia"/>
          <w:kern w:val="0"/>
          <w:sz w:val="28"/>
          <w:szCs w:val="28"/>
          <w:lang w:eastAsia="zh-CN"/>
        </w:rPr>
        <w:t>相关项目</w:t>
      </w:r>
      <w:r>
        <w:rPr>
          <w:rFonts w:ascii="宋体" w:hAnsi="宋体" w:hint="eastAsia"/>
          <w:kern w:val="0"/>
          <w:sz w:val="28"/>
          <w:szCs w:val="28"/>
        </w:rPr>
        <w:t>区坡耕地多，将坡耕地改为坡式梯田是</w:t>
      </w:r>
      <w:r>
        <w:rPr>
          <w:rFonts w:ascii="宋体" w:hAnsi="宋体" w:hint="eastAsia"/>
          <w:kern w:val="0"/>
          <w:sz w:val="28"/>
          <w:szCs w:val="28"/>
          <w:lang w:eastAsia="zh-CN"/>
        </w:rPr>
        <w:t>相关项目</w:t>
      </w:r>
      <w:r>
        <w:rPr>
          <w:rFonts w:ascii="宋体" w:hAnsi="宋体" w:hint="eastAsia"/>
          <w:kern w:val="0"/>
          <w:sz w:val="28"/>
          <w:szCs w:val="28"/>
        </w:rPr>
        <w:t>区农耕地改良与保护的主要措施之一。武川县是国家坡改梯</w:t>
      </w:r>
      <w:r>
        <w:rPr>
          <w:rFonts w:ascii="宋体" w:hAnsi="宋体" w:hint="eastAsia"/>
          <w:kern w:val="0"/>
          <w:sz w:val="28"/>
          <w:szCs w:val="28"/>
          <w:lang w:eastAsia="zh-CN"/>
        </w:rPr>
        <w:t>相关项目</w:t>
      </w:r>
      <w:r>
        <w:rPr>
          <w:rFonts w:ascii="宋体" w:hAnsi="宋体" w:hint="eastAsia"/>
          <w:kern w:val="0"/>
          <w:sz w:val="28"/>
          <w:szCs w:val="28"/>
        </w:rPr>
        <w:t>建设的重点县，该措施是当地群众在长期的生产实践中积累的成功经验，农民已掌握了修筑技术，其投入少，见效好，适于推广。</w:t>
      </w:r>
      <w:r>
        <w:rPr>
          <w:rFonts w:ascii="宋体" w:hAnsi="宋体" w:hint="eastAsia"/>
          <w:kern w:val="0"/>
          <w:sz w:val="28"/>
          <w:szCs w:val="28"/>
          <w:lang w:eastAsia="zh-CN"/>
        </w:rPr>
        <w:t>相关项目</w:t>
      </w:r>
      <w:r>
        <w:rPr>
          <w:rFonts w:ascii="宋体" w:hAnsi="宋体" w:hint="eastAsia"/>
          <w:kern w:val="0"/>
          <w:sz w:val="28"/>
          <w:szCs w:val="28"/>
        </w:rPr>
        <w:t>区坡式梯田实施面积</w:t>
      </w:r>
      <w:r>
        <w:rPr>
          <w:rFonts w:ascii="宋体" w:hAnsi="宋体"/>
          <w:kern w:val="0"/>
          <w:sz w:val="28"/>
          <w:szCs w:val="28"/>
        </w:rPr>
        <w:t>2816</w:t>
      </w:r>
      <w:r>
        <w:rPr>
          <w:rFonts w:ascii="宋体" w:hAnsi="宋体"/>
          <w:kern w:val="0"/>
          <w:position w:val="-4"/>
          <w:sz w:val="28"/>
          <w:szCs w:val="28"/>
        </w:rPr>
        <w:object>
          <v:shape id="_x0000_i1043" type="#_x0000_t75" style="width:24pt;height:15pt" o:ole="" coordsize="21600,21600" o:preferrelative="t" filled="f" stroked="f">
            <v:stroke joinstyle="miter"/>
            <v:imagedata r:id="rId50" o:title=""/>
            <o:lock v:ext="edit" aspectratio="t"/>
            <w10:anchorlock/>
          </v:shape>
          <o:OLEObject Type="Embed" ProgID="Equation.3" ShapeID="_x0000_i1043" DrawAspect="Content" ObjectID="_1468075743" r:id="rId51"/>
        </w:object>
      </w:r>
      <w:r>
        <w:rPr>
          <w:rFonts w:ascii="宋体" w:hAnsi="宋体" w:hint="eastAsia"/>
          <w:kern w:val="0"/>
          <w:sz w:val="28"/>
          <w:szCs w:val="28"/>
        </w:rPr>
        <w:t>。</w:t>
      </w:r>
      <w:r>
        <w:rPr>
          <w:rFonts w:ascii="宋体" w:hAnsi="宋体"/>
          <w:kern w:val="0"/>
          <w:sz w:val="28"/>
          <w:szCs w:val="28"/>
        </w:rPr>
        <w:t xml:space="preserve">  </w:t>
      </w:r>
    </w:p>
    <w:p>
      <w:pPr>
        <w:pStyle w:val="Normal0"/>
        <w:rPr>
          <w:rFonts w:ascii="宋体" w:hAnsi="宋体"/>
          <w:kern w:val="0"/>
          <w:sz w:val="28"/>
          <w:szCs w:val="28"/>
        </w:rPr>
      </w:pPr>
      <w:r>
        <w:rPr>
          <w:rFonts w:ascii="宋体" w:hAnsi="宋体" w:hint="eastAsia"/>
          <w:kern w:val="0"/>
          <w:sz w:val="28"/>
          <w:szCs w:val="28"/>
        </w:rPr>
        <w:t xml:space="preserve">   （</w:t>
      </w:r>
      <w:r>
        <w:rPr>
          <w:rFonts w:ascii="宋体" w:hAnsi="宋体"/>
          <w:kern w:val="0"/>
          <w:sz w:val="28"/>
          <w:szCs w:val="28"/>
        </w:rPr>
        <w:t>1</w:t>
      </w:r>
      <w:r>
        <w:rPr>
          <w:rFonts w:ascii="宋体" w:hAnsi="宋体" w:hint="eastAsia"/>
          <w:kern w:val="0"/>
          <w:sz w:val="28"/>
          <w:szCs w:val="28"/>
        </w:rPr>
        <w:t>）坡式梯田设计依据于标准</w:t>
      </w:r>
    </w:p>
    <w:p>
      <w:pPr>
        <w:pStyle w:val="Normal0"/>
        <w:ind w:firstLine="560" w:firstLineChars="200"/>
        <w:rPr>
          <w:rFonts w:ascii="宋体" w:hAnsi="宋体"/>
          <w:kern w:val="0"/>
          <w:sz w:val="28"/>
          <w:szCs w:val="28"/>
        </w:rPr>
      </w:pPr>
      <w:r>
        <w:rPr>
          <w:rFonts w:ascii="宋体" w:hAnsi="宋体" w:hint="eastAsia"/>
          <w:kern w:val="0"/>
          <w:sz w:val="28"/>
          <w:szCs w:val="28"/>
        </w:rPr>
        <w:t>①依据国家标准《水土保持综合治理规范》</w:t>
      </w:r>
      <w:r>
        <w:rPr>
          <w:rFonts w:ascii="宋体" w:hAnsi="宋体"/>
          <w:kern w:val="0"/>
          <w:sz w:val="28"/>
          <w:szCs w:val="28"/>
        </w:rPr>
        <w:t>GB/T16453.1</w:t>
      </w:r>
      <w:r>
        <w:rPr>
          <w:rFonts w:ascii="宋体" w:hAnsi="宋体" w:hint="eastAsia"/>
          <w:kern w:val="0"/>
          <w:sz w:val="28"/>
          <w:szCs w:val="28"/>
        </w:rPr>
        <w:t>—</w:t>
      </w:r>
      <w:r>
        <w:rPr>
          <w:rFonts w:ascii="宋体" w:hAnsi="宋体"/>
          <w:kern w:val="0"/>
          <w:sz w:val="28"/>
          <w:szCs w:val="28"/>
        </w:rPr>
        <w:t>2008</w:t>
      </w:r>
      <w:r>
        <w:rPr>
          <w:rFonts w:ascii="宋体" w:hAnsi="宋体" w:hint="eastAsia"/>
          <w:kern w:val="0"/>
          <w:sz w:val="28"/>
          <w:szCs w:val="28"/>
        </w:rPr>
        <w:t>。</w:t>
      </w:r>
    </w:p>
    <w:p>
      <w:pPr>
        <w:pStyle w:val="Normal0"/>
        <w:ind w:firstLine="560" w:firstLineChars="200"/>
        <w:rPr>
          <w:rFonts w:ascii="宋体" w:hAnsi="宋体"/>
          <w:kern w:val="0"/>
          <w:sz w:val="28"/>
          <w:szCs w:val="28"/>
        </w:rPr>
      </w:pPr>
      <w:r>
        <w:rPr>
          <w:rFonts w:ascii="宋体" w:hAnsi="宋体" w:hint="eastAsia"/>
          <w:kern w:val="0"/>
          <w:sz w:val="28"/>
          <w:szCs w:val="28"/>
        </w:rPr>
        <w:t>②坡式梯田必须保证拦蓄两埂间</w:t>
      </w:r>
      <w:r>
        <w:rPr>
          <w:rFonts w:ascii="宋体" w:hAnsi="宋体"/>
          <w:color w:val="FF00FF"/>
          <w:kern w:val="0"/>
          <w:sz w:val="28"/>
          <w:szCs w:val="28"/>
        </w:rPr>
        <w:t>10</w:t>
      </w:r>
      <w:r>
        <w:rPr>
          <w:rFonts w:ascii="宋体" w:hAnsi="宋体" w:hint="eastAsia"/>
          <w:color w:val="FF00FF"/>
          <w:kern w:val="0"/>
          <w:sz w:val="28"/>
          <w:szCs w:val="28"/>
        </w:rPr>
        <w:t>年一遇</w:t>
      </w:r>
      <w:r>
        <w:rPr>
          <w:rFonts w:ascii="宋体" w:hAnsi="宋体"/>
          <w:color w:val="FF00FF"/>
          <w:kern w:val="0"/>
          <w:sz w:val="28"/>
          <w:szCs w:val="28"/>
        </w:rPr>
        <w:t>24h</w:t>
      </w:r>
      <w:r>
        <w:rPr>
          <w:rFonts w:ascii="宋体" w:hAnsi="宋体" w:hint="eastAsia"/>
          <w:kern w:val="0"/>
          <w:sz w:val="28"/>
          <w:szCs w:val="28"/>
        </w:rPr>
        <w:t>最大降雨所产生的径流与泥沙。</w:t>
      </w:r>
    </w:p>
    <w:p>
      <w:pPr>
        <w:pStyle w:val="Normal0"/>
        <w:ind w:firstLine="560" w:firstLineChars="200"/>
        <w:rPr>
          <w:rFonts w:ascii="宋体" w:hAnsi="宋体"/>
          <w:kern w:val="0"/>
          <w:sz w:val="28"/>
          <w:szCs w:val="28"/>
        </w:rPr>
      </w:pPr>
      <w:r>
        <w:rPr>
          <w:rFonts w:ascii="宋体" w:hAnsi="宋体" w:hint="eastAsia"/>
          <w:kern w:val="0"/>
          <w:sz w:val="28"/>
          <w:szCs w:val="28"/>
        </w:rPr>
        <w:t>③田埂断面的标准：埂高</w:t>
      </w:r>
      <w:r>
        <w:rPr>
          <w:rFonts w:ascii="宋体" w:hAnsi="宋体"/>
          <w:kern w:val="0"/>
          <w:sz w:val="28"/>
          <w:szCs w:val="28"/>
        </w:rPr>
        <w:t>50</w:t>
      </w:r>
      <w:r>
        <w:rPr>
          <w:rFonts w:ascii="宋体" w:hAnsi="宋体" w:hint="eastAsia"/>
          <w:kern w:val="0"/>
          <w:sz w:val="28"/>
          <w:szCs w:val="28"/>
        </w:rPr>
        <w:t>～</w:t>
      </w:r>
      <w:r>
        <w:rPr>
          <w:rFonts w:ascii="宋体" w:hAnsi="宋体"/>
          <w:kern w:val="0"/>
          <w:sz w:val="28"/>
          <w:szCs w:val="28"/>
        </w:rPr>
        <w:t>60cm</w:t>
      </w:r>
      <w:r>
        <w:rPr>
          <w:rFonts w:ascii="宋体" w:hAnsi="宋体" w:hint="eastAsia"/>
          <w:kern w:val="0"/>
          <w:sz w:val="28"/>
          <w:szCs w:val="28"/>
        </w:rPr>
        <w:t>，埂顶宽</w:t>
      </w:r>
      <w:r>
        <w:rPr>
          <w:rFonts w:ascii="宋体" w:hAnsi="宋体"/>
          <w:kern w:val="0"/>
          <w:sz w:val="28"/>
          <w:szCs w:val="28"/>
        </w:rPr>
        <w:t>30</w:t>
      </w:r>
      <w:r>
        <w:rPr>
          <w:rFonts w:ascii="宋体" w:hAnsi="宋体" w:hint="eastAsia"/>
          <w:kern w:val="0"/>
          <w:sz w:val="28"/>
          <w:szCs w:val="28"/>
        </w:rPr>
        <w:t>～</w:t>
      </w:r>
      <w:r>
        <w:rPr>
          <w:rFonts w:ascii="宋体" w:hAnsi="宋体"/>
          <w:kern w:val="0"/>
          <w:sz w:val="28"/>
          <w:szCs w:val="28"/>
        </w:rPr>
        <w:t>40cm</w:t>
      </w:r>
      <w:r>
        <w:rPr>
          <w:rFonts w:ascii="宋体" w:hAnsi="宋体" w:hint="eastAsia"/>
          <w:kern w:val="0"/>
          <w:sz w:val="28"/>
          <w:szCs w:val="28"/>
        </w:rPr>
        <w:t>，外坡</w:t>
      </w:r>
      <w:r>
        <w:rPr>
          <w:rFonts w:ascii="宋体" w:hAnsi="宋体"/>
          <w:kern w:val="0"/>
          <w:sz w:val="28"/>
          <w:szCs w:val="28"/>
        </w:rPr>
        <w:t>1</w:t>
      </w:r>
      <w:r>
        <w:rPr>
          <w:rFonts w:ascii="宋体" w:hAnsi="宋体" w:hint="eastAsia"/>
          <w:kern w:val="0"/>
          <w:sz w:val="28"/>
          <w:szCs w:val="28"/>
        </w:rPr>
        <w:t>：</w:t>
      </w:r>
      <w:r>
        <w:rPr>
          <w:rFonts w:ascii="宋体" w:hAnsi="宋体"/>
          <w:kern w:val="0"/>
          <w:sz w:val="28"/>
          <w:szCs w:val="28"/>
        </w:rPr>
        <w:t>0.5</w:t>
      </w:r>
      <w:r>
        <w:rPr>
          <w:rFonts w:ascii="宋体" w:hAnsi="宋体" w:hint="eastAsia"/>
          <w:kern w:val="0"/>
          <w:sz w:val="28"/>
          <w:szCs w:val="28"/>
        </w:rPr>
        <w:t>，内坡</w:t>
      </w:r>
      <w:r>
        <w:rPr>
          <w:rFonts w:ascii="宋体" w:hAnsi="宋体"/>
          <w:kern w:val="0"/>
          <w:sz w:val="28"/>
          <w:szCs w:val="28"/>
        </w:rPr>
        <w:t>1:1</w:t>
      </w:r>
      <w:r>
        <w:rPr>
          <w:rFonts w:ascii="宋体" w:hAnsi="宋体" w:hint="eastAsia"/>
          <w:kern w:val="0"/>
          <w:sz w:val="28"/>
          <w:szCs w:val="28"/>
        </w:rPr>
        <w:t>。</w:t>
      </w:r>
    </w:p>
    <w:p>
      <w:pPr>
        <w:pStyle w:val="Normal0"/>
        <w:ind w:firstLine="560" w:firstLineChars="200"/>
        <w:rPr>
          <w:rFonts w:ascii="宋体" w:hAnsi="宋体"/>
          <w:kern w:val="0"/>
          <w:sz w:val="28"/>
          <w:szCs w:val="28"/>
        </w:rPr>
      </w:pPr>
      <w:r>
        <w:rPr>
          <w:rFonts w:ascii="宋体" w:hAnsi="宋体" w:hint="eastAsia"/>
          <w:kern w:val="0"/>
          <w:sz w:val="28"/>
          <w:szCs w:val="28"/>
        </w:rPr>
        <w:t>（</w:t>
      </w:r>
      <w:r>
        <w:rPr>
          <w:rFonts w:ascii="宋体" w:hAnsi="宋体"/>
          <w:kern w:val="0"/>
          <w:sz w:val="28"/>
          <w:szCs w:val="28"/>
        </w:rPr>
        <w:t>2</w:t>
      </w:r>
      <w:r>
        <w:rPr>
          <w:rFonts w:ascii="宋体" w:hAnsi="宋体" w:hint="eastAsia"/>
          <w:kern w:val="0"/>
          <w:sz w:val="28"/>
          <w:szCs w:val="28"/>
        </w:rPr>
        <w:t>）坡式梯田的断面设计</w:t>
      </w:r>
    </w:p>
    <w:p>
      <w:pPr>
        <w:pStyle w:val="Normal0"/>
        <w:ind w:firstLine="560" w:firstLineChars="200"/>
        <w:rPr>
          <w:rFonts w:ascii="宋体" w:hAnsi="宋体"/>
          <w:kern w:val="0"/>
          <w:sz w:val="28"/>
          <w:szCs w:val="28"/>
        </w:rPr>
      </w:pPr>
      <w:r>
        <w:rPr>
          <w:rFonts w:ascii="宋体" w:hAnsi="宋体" w:hint="eastAsia"/>
          <w:kern w:val="0"/>
          <w:sz w:val="28"/>
          <w:szCs w:val="28"/>
        </w:rPr>
        <w:t>所谓坡式梯田就是在缓坡耕地上，根据坡度大小、土层厚薄和机械作业的要求，在坡面上相隔一定距离沿等高线作埂，修成坡式梯田，而后用定向翻转犁逐年向下坡方向耕翻，使田面逐渐达到水平梯田。</w:t>
      </w:r>
    </w:p>
    <w:p>
      <w:pPr>
        <w:pStyle w:val="Normal0"/>
        <w:ind w:firstLine="560" w:firstLineChars="200"/>
        <w:rPr>
          <w:rFonts w:ascii="宋体" w:hAnsi="宋体"/>
          <w:kern w:val="0"/>
          <w:sz w:val="28"/>
          <w:szCs w:val="28"/>
        </w:rPr>
      </w:pPr>
      <w:r>
        <w:rPr>
          <w:rFonts w:ascii="宋体" w:hAnsi="宋体" w:hint="eastAsia"/>
          <w:kern w:val="0"/>
          <w:sz w:val="28"/>
          <w:szCs w:val="28"/>
        </w:rPr>
        <w:t>①等高埂间距的确定</w:t>
      </w:r>
    </w:p>
    <w:p>
      <w:pPr>
        <w:pStyle w:val="Normal0"/>
        <w:ind w:firstLine="560" w:firstLineChars="200"/>
        <w:rPr>
          <w:rFonts w:ascii="宋体" w:hAnsi="宋体"/>
          <w:kern w:val="0"/>
          <w:sz w:val="28"/>
          <w:szCs w:val="28"/>
        </w:rPr>
        <w:sectPr>
          <w:headerReference w:type="default" r:id="rId52"/>
          <w:footerReference w:type="default" r:id="rId53"/>
          <w:type w:val="nextPage"/>
          <w:pgSz w:w="11907" w:h="16840"/>
          <w:pgMar w:top="1701" w:right="1418" w:bottom="1418" w:left="1418" w:header="1417" w:footer="567" w:gutter="567"/>
          <w:pgNumType w:start="5"/>
          <w:cols w:num="1" w:space="720"/>
          <w:titlePg w:val="0"/>
          <w:docGrid w:type="lines" w:linePitch="312" w:charSpace="0"/>
        </w:sectPr>
      </w:pPr>
    </w:p>
    <w:p>
      <w:pPr>
        <w:pStyle w:val="Normal0"/>
        <w:ind w:firstLine="560" w:firstLineChars="200"/>
        <w:rPr>
          <w:rFonts w:ascii="宋体" w:hAnsi="宋体"/>
          <w:kern w:val="0"/>
          <w:sz w:val="28"/>
          <w:szCs w:val="28"/>
        </w:rPr>
      </w:pPr>
      <w:r>
        <w:rPr>
          <w:rFonts w:ascii="宋体" w:hAnsi="宋体" w:hint="eastAsia"/>
          <w:kern w:val="0"/>
          <w:sz w:val="28"/>
          <w:szCs w:val="28"/>
        </w:rPr>
        <w:t>主要根据地面坡度、土层厚度和机械作业要求而定。地面坡度小、土层厚，田面可宽些；地面坡度大、土层较薄则窄些。其要领是坡式梯田达到水平后，挖方部位田面以下要保留</w:t>
      </w:r>
      <w:r>
        <w:rPr>
          <w:rFonts w:ascii="宋体" w:hAnsi="宋体"/>
          <w:kern w:val="0"/>
          <w:sz w:val="28"/>
          <w:szCs w:val="28"/>
        </w:rPr>
        <w:t>0.4~0.5m</w:t>
      </w:r>
      <w:r>
        <w:rPr>
          <w:rFonts w:ascii="宋体" w:hAnsi="宋体" w:hint="eastAsia"/>
          <w:kern w:val="0"/>
          <w:sz w:val="28"/>
          <w:szCs w:val="28"/>
        </w:rPr>
        <w:t>厚的土层。据中国农业大学多年在武川县原大豆铺乡的试验观测，导出埂高、埂距与降水、径流及坡度的关系式，根据下式可确定不同条件下的适宜埂距：</w:t>
      </w:r>
    </w:p>
    <w:p>
      <w:pPr>
        <w:pStyle w:val="Normal0"/>
        <w:ind w:firstLine="2660" w:firstLineChars="950"/>
        <w:rPr>
          <w:rFonts w:ascii="宋体" w:hAnsi="宋体"/>
          <w:color w:val="FF00FF"/>
          <w:sz w:val="28"/>
          <w:szCs w:val="28"/>
        </w:rPr>
      </w:pPr>
      <w:r>
        <w:rPr>
          <w:color w:val="FF00FF"/>
          <w:sz w:val="28"/>
          <w:szCs w:val="28"/>
        </w:rPr>
        <w:t>D=500</w:t>
      </w:r>
      <w:r>
        <w:rPr>
          <w:color w:val="FF00FF"/>
          <w:position w:val="-4"/>
          <w:sz w:val="28"/>
          <w:szCs w:val="28"/>
        </w:rPr>
        <w:object>
          <v:shape id="_x0000_i1044" type="#_x0000_t75" style="width:17.25pt;height:15pt" o:ole="" coordsize="21600,21600" o:preferrelative="t" filled="f" stroked="f">
            <v:stroke joinstyle="miter"/>
            <v:imagedata r:id="rId54" o:title=""/>
            <o:lock v:ext="edit" aspectratio="t"/>
            <w10:anchorlock/>
          </v:shape>
          <o:OLEObject Type="Embed" ProgID="Equation.3" ShapeID="_x0000_i1044" DrawAspect="Content" ObjectID="_1468075744" r:id="rId55"/>
        </w:object>
      </w:r>
      <w:r>
        <w:rPr>
          <w:color w:val="FF00FF"/>
          <w:sz w:val="28"/>
          <w:szCs w:val="28"/>
        </w:rPr>
        <w:t>/</w:t>
      </w:r>
      <w:r>
        <w:rPr>
          <w:rFonts w:ascii="宋体" w:hAnsi="宋体" w:hint="eastAsia"/>
          <w:color w:val="FF00FF"/>
          <w:sz w:val="28"/>
          <w:szCs w:val="28"/>
        </w:rPr>
        <w:t>R·B·tg</w:t>
      </w:r>
      <w:r>
        <w:rPr>
          <w:rFonts w:ascii="宋体" w:hAnsi="宋体" w:hint="eastAsia"/>
          <w:color w:val="FF00FF"/>
          <w:position w:val="-6"/>
          <w:sz w:val="28"/>
          <w:szCs w:val="28"/>
        </w:rPr>
        <w:object>
          <v:shape id="_x0000_i1045" type="#_x0000_t75" style="width:12pt;height:11.25pt" o:ole="" coordsize="21600,21600" o:preferrelative="t" filled="f" stroked="f">
            <v:stroke joinstyle="miter"/>
            <v:imagedata r:id="rId56" o:title=""/>
            <o:lock v:ext="edit" aspectratio="t"/>
            <w10:anchorlock/>
          </v:shape>
          <o:OLEObject Type="Embed" ProgID="Equation.3" ShapeID="_x0000_i1045" DrawAspect="Content" ObjectID="_1468075745" r:id="rId57"/>
        </w:object>
      </w:r>
    </w:p>
    <w:p>
      <w:pPr>
        <w:pStyle w:val="Normal0"/>
        <w:rPr>
          <w:rFonts w:hint="eastAsia"/>
          <w:sz w:val="28"/>
          <w:szCs w:val="28"/>
        </w:rPr>
      </w:pPr>
      <w:r>
        <w:rPr>
          <w:rFonts w:ascii="宋体" w:hAnsi="宋体" w:hint="eastAsia"/>
          <w:sz w:val="28"/>
          <w:szCs w:val="28"/>
        </w:rPr>
        <w:t xml:space="preserve"> 式中：</w:t>
      </w:r>
      <w:r>
        <w:rPr>
          <w:sz w:val="28"/>
          <w:szCs w:val="28"/>
        </w:rPr>
        <w:t>D</w:t>
      </w:r>
      <w:r>
        <w:rPr>
          <w:rFonts w:hint="eastAsia"/>
          <w:sz w:val="28"/>
          <w:szCs w:val="28"/>
        </w:rPr>
        <w:t>—为埂距（</w:t>
      </w:r>
      <w:r>
        <w:rPr>
          <w:sz w:val="28"/>
          <w:szCs w:val="28"/>
        </w:rPr>
        <w:t>m</w:t>
      </w:r>
      <w:r>
        <w:rPr>
          <w:rFonts w:hint="eastAsia"/>
          <w:sz w:val="28"/>
          <w:szCs w:val="28"/>
        </w:rPr>
        <w:t>）</w:t>
      </w:r>
    </w:p>
    <w:p>
      <w:pPr>
        <w:pStyle w:val="Normal0"/>
        <w:rPr>
          <w:sz w:val="28"/>
          <w:szCs w:val="28"/>
        </w:rPr>
      </w:pPr>
      <w:r>
        <w:rPr>
          <w:sz w:val="28"/>
          <w:szCs w:val="28"/>
        </w:rPr>
        <w:t xml:space="preserve">       H</w:t>
      </w:r>
      <w:r>
        <w:rPr>
          <w:rFonts w:hint="eastAsia"/>
          <w:sz w:val="28"/>
          <w:szCs w:val="28"/>
        </w:rPr>
        <w:t>—为埂高；</w:t>
      </w:r>
    </w:p>
    <w:p>
      <w:pPr>
        <w:pStyle w:val="Normal0"/>
        <w:rPr>
          <w:sz w:val="28"/>
          <w:szCs w:val="28"/>
        </w:rPr>
      </w:pPr>
      <w:r>
        <w:rPr>
          <w:sz w:val="28"/>
          <w:szCs w:val="28"/>
        </w:rPr>
        <w:t xml:space="preserve">       R</w:t>
      </w:r>
      <w:r>
        <w:rPr>
          <w:rFonts w:hint="eastAsia"/>
          <w:sz w:val="28"/>
          <w:szCs w:val="28"/>
        </w:rPr>
        <w:t>—为</w:t>
      </w:r>
      <w:r>
        <w:rPr>
          <w:sz w:val="28"/>
          <w:szCs w:val="28"/>
        </w:rPr>
        <w:t>10</w:t>
      </w:r>
      <w:r>
        <w:rPr>
          <w:rFonts w:hint="eastAsia"/>
          <w:sz w:val="28"/>
          <w:szCs w:val="28"/>
        </w:rPr>
        <w:t>年一遇</w:t>
      </w:r>
      <w:r>
        <w:rPr>
          <w:sz w:val="28"/>
          <w:szCs w:val="28"/>
        </w:rPr>
        <w:t>24h</w:t>
      </w:r>
      <w:r>
        <w:rPr>
          <w:rFonts w:hint="eastAsia"/>
          <w:sz w:val="28"/>
          <w:szCs w:val="28"/>
        </w:rPr>
        <w:t>最大降雨量（</w:t>
      </w:r>
      <w:r>
        <w:rPr>
          <w:sz w:val="28"/>
          <w:szCs w:val="28"/>
        </w:rPr>
        <w:t>mm</w:t>
      </w:r>
      <w:r>
        <w:rPr>
          <w:rFonts w:hint="eastAsia"/>
          <w:sz w:val="28"/>
          <w:szCs w:val="28"/>
        </w:rPr>
        <w:t>）；</w:t>
      </w:r>
    </w:p>
    <w:p>
      <w:pPr>
        <w:pStyle w:val="Normal0"/>
        <w:rPr>
          <w:sz w:val="28"/>
          <w:szCs w:val="28"/>
        </w:rPr>
      </w:pPr>
      <w:r>
        <w:rPr>
          <w:sz w:val="28"/>
          <w:szCs w:val="28"/>
        </w:rPr>
        <w:t xml:space="preserve">       B</w:t>
      </w:r>
      <w:r>
        <w:rPr>
          <w:rFonts w:hint="eastAsia"/>
          <w:sz w:val="28"/>
          <w:szCs w:val="28"/>
        </w:rPr>
        <w:t>—为径流系数取</w:t>
      </w:r>
      <w:r>
        <w:rPr>
          <w:color w:val="FF00FF"/>
          <w:sz w:val="28"/>
          <w:szCs w:val="28"/>
        </w:rPr>
        <w:t>0.15</w:t>
      </w:r>
      <w:r>
        <w:rPr>
          <w:rFonts w:hint="eastAsia"/>
          <w:sz w:val="28"/>
          <w:szCs w:val="28"/>
        </w:rPr>
        <w:t>；</w:t>
      </w:r>
    </w:p>
    <w:p>
      <w:pPr>
        <w:pStyle w:val="Normal0"/>
        <w:rPr>
          <w:rFonts w:ascii="宋体" w:hAnsi="宋体"/>
          <w:sz w:val="28"/>
          <w:szCs w:val="28"/>
        </w:rPr>
      </w:pPr>
      <w:r>
        <w:rPr>
          <w:sz w:val="28"/>
          <w:szCs w:val="28"/>
        </w:rPr>
        <w:t xml:space="preserve">       </w:t>
      </w:r>
      <w:r>
        <w:rPr>
          <w:position w:val="-6"/>
          <w:sz w:val="28"/>
          <w:szCs w:val="28"/>
        </w:rPr>
        <w:object>
          <v:shape id="_x0000_i1046" type="#_x0000_t75" style="width:12pt;height:11.25pt" o:ole="" coordsize="21600,21600" o:preferrelative="t" filled="f" stroked="f">
            <v:stroke joinstyle="miter"/>
            <v:imagedata r:id="rId58" o:title=""/>
            <o:lock v:ext="edit" aspectratio="t"/>
            <w10:anchorlock/>
          </v:shape>
          <o:OLEObject Type="Embed" ProgID="Equation.3" ShapeID="_x0000_i1046" DrawAspect="Content" ObjectID="_1468075746" r:id="rId59"/>
        </w:object>
      </w:r>
      <w:r>
        <w:rPr>
          <w:rFonts w:ascii="宋体" w:hAnsi="宋体" w:hint="eastAsia"/>
          <w:sz w:val="28"/>
          <w:szCs w:val="28"/>
        </w:rPr>
        <w:t>—为坡度。</w:t>
      </w:r>
    </w:p>
    <w:p>
      <w:pPr>
        <w:pStyle w:val="Normal0"/>
        <w:ind w:firstLine="560" w:firstLineChars="200"/>
        <w:rPr>
          <w:rFonts w:ascii="宋体" w:hAnsi="宋体" w:hint="eastAsia"/>
          <w:kern w:val="0"/>
          <w:sz w:val="28"/>
          <w:szCs w:val="28"/>
        </w:rPr>
      </w:pPr>
      <w:r>
        <w:rPr>
          <w:rFonts w:ascii="宋体" w:hAnsi="宋体" w:hint="eastAsia"/>
          <w:kern w:val="0"/>
          <w:sz w:val="28"/>
          <w:szCs w:val="28"/>
        </w:rPr>
        <w:t>②坡式梯田地埂（田坎）的设计</w:t>
      </w:r>
    </w:p>
    <w:p>
      <w:pPr>
        <w:pStyle w:val="Normal0"/>
        <w:ind w:firstLine="560" w:firstLineChars="200"/>
        <w:rPr>
          <w:rFonts w:ascii="宋体" w:hAnsi="宋体" w:hint="eastAsia"/>
          <w:kern w:val="0"/>
          <w:sz w:val="28"/>
          <w:szCs w:val="28"/>
        </w:rPr>
      </w:pPr>
      <w:r>
        <w:rPr>
          <w:rFonts w:ascii="宋体" w:hAnsi="宋体" w:hint="eastAsia"/>
          <w:kern w:val="0"/>
          <w:sz w:val="28"/>
          <w:szCs w:val="28"/>
        </w:rPr>
        <w:t>地埂设计包括埂高、埂底宽、埂顶宽（上宽）、边坡系数。</w:t>
      </w:r>
    </w:p>
    <w:p>
      <w:pPr>
        <w:pStyle w:val="Normal0"/>
        <w:ind w:firstLine="560" w:firstLineChars="200"/>
        <w:rPr>
          <w:rFonts w:ascii="宋体" w:hAnsi="宋体" w:hint="eastAsia"/>
          <w:kern w:val="0"/>
          <w:sz w:val="28"/>
          <w:szCs w:val="28"/>
        </w:rPr>
      </w:pPr>
      <w:r>
        <w:rPr>
          <w:rFonts w:ascii="宋体" w:hAnsi="宋体" w:hint="eastAsia"/>
          <w:kern w:val="0"/>
          <w:sz w:val="28"/>
          <w:szCs w:val="28"/>
        </w:rPr>
        <w:t>埂高：主要根据田面宽度、土质而定，田面宽、土质粘重，埂则高些；田面窄，土质较沙，埂则低些。根据</w:t>
      </w:r>
      <w:r>
        <w:rPr>
          <w:rFonts w:ascii="宋体" w:hAnsi="宋体" w:hint="eastAsia"/>
          <w:kern w:val="0"/>
          <w:sz w:val="28"/>
          <w:szCs w:val="28"/>
          <w:lang w:eastAsia="zh-CN"/>
        </w:rPr>
        <w:t>相关项目</w:t>
      </w:r>
      <w:r>
        <w:rPr>
          <w:rFonts w:ascii="宋体" w:hAnsi="宋体" w:hint="eastAsia"/>
          <w:kern w:val="0"/>
          <w:sz w:val="28"/>
          <w:szCs w:val="28"/>
        </w:rPr>
        <w:t>区的多年实践，埂高以超过60cm为宜，田面达到水平后，田坝高度以不超过100cm为宜，否则易塌陷。</w:t>
      </w:r>
    </w:p>
    <w:p>
      <w:pPr>
        <w:pStyle w:val="Normal0"/>
        <w:ind w:firstLine="560" w:firstLineChars="200"/>
        <w:rPr>
          <w:rFonts w:ascii="宋体" w:hAnsi="宋体" w:hint="eastAsia"/>
          <w:kern w:val="0"/>
          <w:sz w:val="28"/>
          <w:szCs w:val="28"/>
        </w:rPr>
      </w:pPr>
      <w:r>
        <w:rPr>
          <w:rFonts w:ascii="宋体" w:hAnsi="宋体" w:hint="eastAsia"/>
          <w:kern w:val="0"/>
          <w:sz w:val="28"/>
          <w:szCs w:val="28"/>
        </w:rPr>
        <w:t>埂宽：取决于埂宽、田埂边坡系数，田埂高、边坡系数大，则埂宽些。</w:t>
      </w:r>
    </w:p>
    <w:p>
      <w:pPr>
        <w:pStyle w:val="Normal0"/>
        <w:ind w:firstLine="560" w:firstLineChars="200"/>
        <w:rPr>
          <w:rFonts w:ascii="宋体" w:hAnsi="宋体" w:hint="eastAsia"/>
          <w:kern w:val="0"/>
          <w:sz w:val="28"/>
          <w:szCs w:val="28"/>
        </w:rPr>
      </w:pPr>
      <w:r>
        <w:rPr>
          <w:rFonts w:ascii="宋体" w:hAnsi="宋体" w:hint="eastAsia"/>
          <w:kern w:val="0"/>
          <w:sz w:val="28"/>
          <w:szCs w:val="28"/>
        </w:rPr>
        <w:t>边坡系数：为防止田埂塌陷，横断面应有一定的边坡。边坡系数主要取决于土质。一般粘质土为0.5左右，沙质土为0.7左右。</w:t>
      </w:r>
    </w:p>
    <w:p>
      <w:pPr>
        <w:pStyle w:val="Normal0"/>
        <w:ind w:firstLine="560" w:firstLineChars="200"/>
        <w:rPr>
          <w:rFonts w:ascii="宋体" w:hAnsi="宋体" w:hint="eastAsia"/>
          <w:kern w:val="0"/>
          <w:sz w:val="28"/>
          <w:szCs w:val="28"/>
        </w:rPr>
        <w:sectPr>
          <w:headerReference w:type="default" r:id="rId60"/>
          <w:footerReference w:type="default" r:id="rId61"/>
          <w:type w:val="nextPage"/>
          <w:pgSz w:w="11907" w:h="16840"/>
          <w:pgMar w:top="1701" w:right="1418" w:bottom="1418" w:left="1418" w:header="1417" w:footer="567" w:gutter="567"/>
          <w:pgNumType w:start="6"/>
          <w:cols w:num="1" w:space="720"/>
          <w:titlePg w:val="0"/>
          <w:docGrid w:type="lines" w:linePitch="312" w:charSpace="0"/>
        </w:sectPr>
      </w:pPr>
      <w:r>
        <w:rPr>
          <w:rFonts w:ascii="宋体" w:hAnsi="宋体" w:hint="eastAsia"/>
          <w:kern w:val="0"/>
          <w:sz w:val="28"/>
          <w:szCs w:val="28"/>
        </w:rPr>
        <w:t>按照上述原则和</w:t>
      </w:r>
      <w:r>
        <w:rPr>
          <w:rFonts w:ascii="宋体" w:hAnsi="宋体" w:hint="eastAsia"/>
          <w:color w:val="FF00FF"/>
          <w:kern w:val="0"/>
          <w:sz w:val="28"/>
          <w:szCs w:val="28"/>
        </w:rPr>
        <w:t>中国农业大学在原大豆铺乡的多年实践</w:t>
      </w:r>
    </w:p>
    <w:p>
      <w:pPr>
        <w:pStyle w:val="Normal0"/>
        <w:ind w:firstLine="560" w:firstLineChars="200"/>
        <w:rPr>
          <w:rFonts w:ascii="宋体" w:hAnsi="宋体" w:hint="eastAsia"/>
          <w:kern w:val="0"/>
          <w:sz w:val="28"/>
          <w:szCs w:val="28"/>
        </w:rPr>
      </w:pPr>
      <w:r>
        <w:rPr>
          <w:rFonts w:ascii="宋体" w:hAnsi="宋体" w:hint="eastAsia"/>
          <w:kern w:val="0"/>
          <w:sz w:val="28"/>
          <w:szCs w:val="28"/>
        </w:rPr>
        <w:t>，坡式梯田的设计以下列标准为宜：即坡式梯田达到水平后，田坎高100cm（包括安全超高20cm），边坡系数外坡0.5，内坡1，埂顶宽40cm。施工标准：埂高60cm，埂底宽90～100cm，埂顶宽40cm。其纵横断面见设计图。</w:t>
      </w:r>
    </w:p>
    <w:p>
      <w:pPr>
        <w:pStyle w:val="Normal0"/>
        <w:ind w:firstLine="560" w:firstLineChars="200"/>
        <w:rPr>
          <w:rFonts w:ascii="宋体" w:hAnsi="宋体" w:hint="eastAsia"/>
          <w:kern w:val="0"/>
          <w:sz w:val="28"/>
          <w:szCs w:val="28"/>
        </w:rPr>
      </w:pPr>
      <w:r>
        <w:rPr>
          <w:rFonts w:ascii="宋体" w:hAnsi="宋体" w:hint="eastAsia"/>
          <w:kern w:val="0"/>
          <w:sz w:val="28"/>
          <w:szCs w:val="28"/>
        </w:rPr>
        <w:t>③田面宽度设计</w:t>
      </w:r>
    </w:p>
    <w:p>
      <w:pPr>
        <w:pStyle w:val="Normal0"/>
        <w:ind w:firstLine="560" w:firstLineChars="200"/>
        <w:rPr>
          <w:rFonts w:ascii="宋体" w:hAnsi="宋体" w:hint="eastAsia"/>
          <w:kern w:val="0"/>
          <w:sz w:val="28"/>
          <w:szCs w:val="28"/>
        </w:rPr>
      </w:pPr>
      <w:r>
        <w:rPr>
          <w:rFonts w:ascii="宋体" w:hAnsi="宋体" w:hint="eastAsia"/>
          <w:kern w:val="0"/>
          <w:sz w:val="28"/>
          <w:szCs w:val="28"/>
        </w:rPr>
        <w:t>由于埂高已选定为60cm，因此，田面宽度主要取决于地面坡度和机械作业要求。在施工中可按下列规范化设计进行，详见表6-1。</w:t>
      </w:r>
    </w:p>
    <w:p>
      <w:pPr>
        <w:pStyle w:val="a"/>
        <w:rPr>
          <w:rFonts w:hint="eastAsia"/>
        </w:rPr>
      </w:pPr>
      <w:r>
        <w:rPr>
          <w:rFonts w:hint="eastAsia"/>
        </w:rPr>
        <w:t>表6-1                  坡式梯田断面尺寸表</w:t>
      </w:r>
    </w:p>
    <w:tbl>
      <w:tblPr>
        <w:tblStyle w:val="TableNormal"/>
        <w:tblW w:w="8628" w:type="dxa"/>
        <w:tblInd w:w="93"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537"/>
        <w:gridCol w:w="1686"/>
        <w:gridCol w:w="1636"/>
        <w:gridCol w:w="1463"/>
        <w:gridCol w:w="2306"/>
      </w:tblGrid>
      <w:tr>
        <w:tblPrEx>
          <w:tblW w:w="8628" w:type="dxa"/>
          <w:tblInd w:w="93"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513"/>
        </w:trPr>
        <w:tc>
          <w:tcPr>
            <w:tcW w:w="1537" w:type="dxa"/>
            <w:vMerge w:val="restart"/>
            <w:shd w:val="clear" w:color="auto" w:fill="auto"/>
            <w:noWrap/>
            <w:vAlign w:val="center"/>
          </w:tcPr>
          <w:p>
            <w:pPr>
              <w:pStyle w:val="5"/>
              <w:rPr>
                <w:b/>
                <w:bCs/>
              </w:rPr>
            </w:pPr>
            <w:r>
              <w:rPr>
                <w:rFonts w:hint="eastAsia"/>
                <w:b/>
                <w:bCs/>
              </w:rPr>
              <w:t>坡面坡度</w:t>
            </w:r>
          </w:p>
        </w:tc>
        <w:tc>
          <w:tcPr>
            <w:tcW w:w="1686" w:type="dxa"/>
            <w:tcBorders>
              <w:bottom w:val="nil"/>
            </w:tcBorders>
            <w:shd w:val="clear" w:color="auto" w:fill="auto"/>
            <w:noWrap/>
            <w:vAlign w:val="center"/>
          </w:tcPr>
          <w:p>
            <w:pPr>
              <w:pStyle w:val="5"/>
              <w:rPr>
                <w:b/>
                <w:bCs/>
              </w:rPr>
            </w:pPr>
            <w:r>
              <w:rPr>
                <w:rFonts w:hint="eastAsia"/>
                <w:b/>
                <w:bCs/>
              </w:rPr>
              <w:t>田面净宽</w:t>
            </w:r>
          </w:p>
        </w:tc>
        <w:tc>
          <w:tcPr>
            <w:tcW w:w="1636" w:type="dxa"/>
            <w:tcBorders>
              <w:bottom w:val="nil"/>
            </w:tcBorders>
            <w:shd w:val="clear" w:color="auto" w:fill="auto"/>
            <w:noWrap/>
            <w:vAlign w:val="center"/>
          </w:tcPr>
          <w:p>
            <w:pPr>
              <w:pStyle w:val="5"/>
              <w:rPr>
                <w:b/>
                <w:bCs/>
              </w:rPr>
            </w:pPr>
            <w:r>
              <w:rPr>
                <w:rFonts w:hint="eastAsia"/>
                <w:b/>
                <w:bCs/>
              </w:rPr>
              <w:t>埂高</w:t>
            </w:r>
          </w:p>
        </w:tc>
        <w:tc>
          <w:tcPr>
            <w:tcW w:w="1463" w:type="dxa"/>
            <w:tcBorders>
              <w:bottom w:val="nil"/>
            </w:tcBorders>
            <w:shd w:val="clear" w:color="auto" w:fill="auto"/>
            <w:noWrap/>
            <w:vAlign w:val="center"/>
          </w:tcPr>
          <w:p>
            <w:pPr>
              <w:pStyle w:val="5"/>
              <w:rPr>
                <w:b/>
                <w:bCs/>
              </w:rPr>
            </w:pPr>
            <w:r>
              <w:rPr>
                <w:rFonts w:hint="eastAsia"/>
                <w:b/>
                <w:bCs/>
              </w:rPr>
              <w:t>埂顶宽</w:t>
            </w:r>
          </w:p>
        </w:tc>
        <w:tc>
          <w:tcPr>
            <w:tcW w:w="2306" w:type="dxa"/>
            <w:vMerge w:val="restart"/>
            <w:shd w:val="clear" w:color="auto" w:fill="auto"/>
            <w:noWrap/>
            <w:vAlign w:val="center"/>
          </w:tcPr>
          <w:p>
            <w:pPr>
              <w:pStyle w:val="5"/>
              <w:rPr>
                <w:b/>
                <w:bCs/>
              </w:rPr>
            </w:pPr>
            <w:r>
              <w:rPr>
                <w:rFonts w:hint="eastAsia"/>
                <w:b/>
                <w:bCs/>
              </w:rPr>
              <w:t>田埂边坡系数</w:t>
            </w:r>
          </w:p>
        </w:tc>
      </w:tr>
      <w:tr>
        <w:tblPrEx>
          <w:tblW w:w="8628" w:type="dxa"/>
          <w:tblInd w:w="93" w:type="dxa"/>
          <w:tblCellMar>
            <w:top w:w="0" w:type="dxa"/>
            <w:left w:w="108" w:type="dxa"/>
            <w:bottom w:w="0" w:type="dxa"/>
            <w:right w:w="108" w:type="dxa"/>
          </w:tblCellMar>
        </w:tblPrEx>
        <w:trPr>
          <w:trHeight w:val="183"/>
        </w:trPr>
        <w:tc>
          <w:tcPr>
            <w:tcW w:w="1537" w:type="dxa"/>
            <w:vMerge/>
            <w:vAlign w:val="center"/>
          </w:tcPr>
          <w:p>
            <w:pPr>
              <w:pStyle w:val="5"/>
            </w:pPr>
          </w:p>
        </w:tc>
        <w:tc>
          <w:tcPr>
            <w:tcW w:w="1686" w:type="dxa"/>
            <w:tcBorders>
              <w:top w:val="nil"/>
            </w:tcBorders>
            <w:shd w:val="clear" w:color="auto" w:fill="auto"/>
            <w:noWrap/>
            <w:vAlign w:val="center"/>
          </w:tcPr>
          <w:p>
            <w:pPr>
              <w:pStyle w:val="5"/>
              <w:rPr>
                <w:b/>
              </w:rPr>
            </w:pPr>
            <w:r>
              <w:rPr>
                <w:rFonts w:hint="eastAsia"/>
                <w:b/>
              </w:rPr>
              <w:t>（m）</w:t>
            </w:r>
          </w:p>
        </w:tc>
        <w:tc>
          <w:tcPr>
            <w:tcW w:w="1636" w:type="dxa"/>
            <w:tcBorders>
              <w:top w:val="nil"/>
            </w:tcBorders>
            <w:shd w:val="clear" w:color="auto" w:fill="auto"/>
            <w:noWrap/>
            <w:vAlign w:val="center"/>
          </w:tcPr>
          <w:p>
            <w:pPr>
              <w:pStyle w:val="5"/>
              <w:rPr>
                <w:b/>
              </w:rPr>
            </w:pPr>
            <w:r>
              <w:rPr>
                <w:rFonts w:hint="eastAsia"/>
                <w:b/>
              </w:rPr>
              <w:t>（m）</w:t>
            </w:r>
          </w:p>
        </w:tc>
        <w:tc>
          <w:tcPr>
            <w:tcW w:w="1463" w:type="dxa"/>
            <w:tcBorders>
              <w:top w:val="nil"/>
            </w:tcBorders>
            <w:shd w:val="clear" w:color="auto" w:fill="auto"/>
            <w:noWrap/>
            <w:vAlign w:val="center"/>
          </w:tcPr>
          <w:p>
            <w:pPr>
              <w:pStyle w:val="5"/>
              <w:rPr>
                <w:b/>
              </w:rPr>
            </w:pPr>
            <w:r>
              <w:rPr>
                <w:rFonts w:hint="eastAsia"/>
                <w:b/>
              </w:rPr>
              <w:t>（m）</w:t>
            </w:r>
          </w:p>
        </w:tc>
        <w:tc>
          <w:tcPr>
            <w:tcW w:w="2306" w:type="dxa"/>
            <w:vMerge/>
            <w:vAlign w:val="center"/>
          </w:tcPr>
          <w:p>
            <w:pPr>
              <w:pStyle w:val="5"/>
            </w:pPr>
          </w:p>
        </w:tc>
      </w:tr>
      <w:tr>
        <w:tblPrEx>
          <w:tblW w:w="8628" w:type="dxa"/>
          <w:tblInd w:w="93" w:type="dxa"/>
          <w:tblCellMar>
            <w:top w:w="0" w:type="dxa"/>
            <w:left w:w="108" w:type="dxa"/>
            <w:bottom w:w="0" w:type="dxa"/>
            <w:right w:w="108" w:type="dxa"/>
          </w:tblCellMar>
        </w:tblPrEx>
        <w:trPr>
          <w:trHeight w:val="513"/>
        </w:trPr>
        <w:tc>
          <w:tcPr>
            <w:tcW w:w="1537" w:type="dxa"/>
            <w:shd w:val="clear" w:color="auto" w:fill="auto"/>
            <w:noWrap/>
            <w:vAlign w:val="center"/>
          </w:tcPr>
          <w:p>
            <w:pPr>
              <w:pStyle w:val="5"/>
            </w:pPr>
            <w:r>
              <w:rPr>
                <w:rFonts w:hint="eastAsia"/>
              </w:rPr>
              <w:t>5º</w:t>
            </w:r>
          </w:p>
        </w:tc>
        <w:tc>
          <w:tcPr>
            <w:tcW w:w="1686" w:type="dxa"/>
            <w:shd w:val="clear" w:color="auto" w:fill="auto"/>
            <w:noWrap/>
            <w:vAlign w:val="center"/>
          </w:tcPr>
          <w:p>
            <w:pPr>
              <w:pStyle w:val="5"/>
            </w:pPr>
            <w:r>
              <w:rPr>
                <w:rFonts w:hint="eastAsia"/>
              </w:rPr>
              <w:t>22</w:t>
            </w:r>
          </w:p>
        </w:tc>
        <w:tc>
          <w:tcPr>
            <w:tcW w:w="1636" w:type="dxa"/>
            <w:shd w:val="clear" w:color="auto" w:fill="auto"/>
            <w:noWrap/>
            <w:vAlign w:val="center"/>
          </w:tcPr>
          <w:p>
            <w:pPr>
              <w:pStyle w:val="5"/>
            </w:pPr>
            <w:r>
              <w:rPr>
                <w:rFonts w:hint="eastAsia"/>
              </w:rPr>
              <w:t>0.6</w:t>
            </w:r>
          </w:p>
        </w:tc>
        <w:tc>
          <w:tcPr>
            <w:tcW w:w="1463" w:type="dxa"/>
            <w:shd w:val="clear" w:color="auto" w:fill="auto"/>
            <w:noWrap/>
            <w:vAlign w:val="center"/>
          </w:tcPr>
          <w:p>
            <w:pPr>
              <w:pStyle w:val="5"/>
            </w:pPr>
            <w:r>
              <w:rPr>
                <w:rFonts w:hint="eastAsia"/>
              </w:rPr>
              <w:t>0.4</w:t>
            </w:r>
          </w:p>
        </w:tc>
        <w:tc>
          <w:tcPr>
            <w:tcW w:w="2306" w:type="dxa"/>
            <w:shd w:val="clear" w:color="auto" w:fill="auto"/>
            <w:noWrap/>
            <w:vAlign w:val="center"/>
          </w:tcPr>
          <w:p>
            <w:pPr>
              <w:pStyle w:val="5"/>
            </w:pPr>
            <w:r>
              <w:rPr>
                <w:rFonts w:hint="eastAsia"/>
              </w:rPr>
              <w:t>外坡0.5，内坡1</w:t>
            </w:r>
          </w:p>
        </w:tc>
      </w:tr>
      <w:tr>
        <w:tblPrEx>
          <w:tblW w:w="8628" w:type="dxa"/>
          <w:tblInd w:w="93" w:type="dxa"/>
          <w:tblCellMar>
            <w:top w:w="0" w:type="dxa"/>
            <w:left w:w="108" w:type="dxa"/>
            <w:bottom w:w="0" w:type="dxa"/>
            <w:right w:w="108" w:type="dxa"/>
          </w:tblCellMar>
        </w:tblPrEx>
        <w:trPr>
          <w:trHeight w:val="513"/>
        </w:trPr>
        <w:tc>
          <w:tcPr>
            <w:tcW w:w="1537" w:type="dxa"/>
            <w:shd w:val="clear" w:color="auto" w:fill="auto"/>
            <w:noWrap/>
            <w:vAlign w:val="center"/>
          </w:tcPr>
          <w:p>
            <w:pPr>
              <w:pStyle w:val="5"/>
            </w:pPr>
            <w:r>
              <w:rPr>
                <w:rFonts w:hint="eastAsia"/>
              </w:rPr>
              <w:t>8º</w:t>
            </w:r>
          </w:p>
        </w:tc>
        <w:tc>
          <w:tcPr>
            <w:tcW w:w="1686" w:type="dxa"/>
            <w:shd w:val="clear" w:color="auto" w:fill="auto"/>
            <w:noWrap/>
            <w:vAlign w:val="center"/>
          </w:tcPr>
          <w:p>
            <w:pPr>
              <w:pStyle w:val="5"/>
            </w:pPr>
            <w:r>
              <w:rPr>
                <w:rFonts w:hint="eastAsia"/>
              </w:rPr>
              <w:t>20</w:t>
            </w:r>
          </w:p>
        </w:tc>
        <w:tc>
          <w:tcPr>
            <w:tcW w:w="1636" w:type="dxa"/>
            <w:shd w:val="clear" w:color="auto" w:fill="auto"/>
            <w:noWrap/>
            <w:vAlign w:val="center"/>
          </w:tcPr>
          <w:p>
            <w:pPr>
              <w:pStyle w:val="5"/>
            </w:pPr>
            <w:r>
              <w:rPr>
                <w:rFonts w:hint="eastAsia"/>
              </w:rPr>
              <w:t>0.6</w:t>
            </w:r>
          </w:p>
        </w:tc>
        <w:tc>
          <w:tcPr>
            <w:tcW w:w="1463" w:type="dxa"/>
            <w:shd w:val="clear" w:color="auto" w:fill="auto"/>
            <w:noWrap/>
            <w:vAlign w:val="center"/>
          </w:tcPr>
          <w:p>
            <w:pPr>
              <w:pStyle w:val="5"/>
            </w:pPr>
            <w:r>
              <w:rPr>
                <w:rFonts w:hint="eastAsia"/>
              </w:rPr>
              <w:t>0.4</w:t>
            </w:r>
          </w:p>
        </w:tc>
        <w:tc>
          <w:tcPr>
            <w:tcW w:w="2306" w:type="dxa"/>
            <w:shd w:val="clear" w:color="auto" w:fill="auto"/>
            <w:noWrap/>
            <w:vAlign w:val="center"/>
          </w:tcPr>
          <w:p>
            <w:pPr>
              <w:pStyle w:val="5"/>
            </w:pPr>
            <w:r>
              <w:rPr>
                <w:rFonts w:hint="eastAsia"/>
              </w:rPr>
              <w:t>外坡0.5，内坡1</w:t>
            </w:r>
          </w:p>
        </w:tc>
      </w:tr>
      <w:tr>
        <w:tblPrEx>
          <w:tblW w:w="8628" w:type="dxa"/>
          <w:tblInd w:w="93" w:type="dxa"/>
          <w:tblCellMar>
            <w:top w:w="0" w:type="dxa"/>
            <w:left w:w="108" w:type="dxa"/>
            <w:bottom w:w="0" w:type="dxa"/>
            <w:right w:w="108" w:type="dxa"/>
          </w:tblCellMar>
        </w:tblPrEx>
        <w:trPr>
          <w:trHeight w:val="513"/>
        </w:trPr>
        <w:tc>
          <w:tcPr>
            <w:tcW w:w="1537" w:type="dxa"/>
            <w:shd w:val="clear" w:color="auto" w:fill="auto"/>
            <w:noWrap/>
            <w:vAlign w:val="center"/>
          </w:tcPr>
          <w:p>
            <w:pPr>
              <w:pStyle w:val="5"/>
            </w:pPr>
            <w:r>
              <w:rPr>
                <w:rFonts w:hint="eastAsia"/>
              </w:rPr>
              <w:t>10º</w:t>
            </w:r>
          </w:p>
        </w:tc>
        <w:tc>
          <w:tcPr>
            <w:tcW w:w="1686" w:type="dxa"/>
            <w:shd w:val="clear" w:color="auto" w:fill="auto"/>
            <w:noWrap/>
            <w:vAlign w:val="center"/>
          </w:tcPr>
          <w:p>
            <w:pPr>
              <w:pStyle w:val="5"/>
            </w:pPr>
            <w:r>
              <w:rPr>
                <w:rFonts w:hint="eastAsia"/>
              </w:rPr>
              <w:t>18</w:t>
            </w:r>
          </w:p>
        </w:tc>
        <w:tc>
          <w:tcPr>
            <w:tcW w:w="1636" w:type="dxa"/>
            <w:shd w:val="clear" w:color="auto" w:fill="auto"/>
            <w:noWrap/>
            <w:vAlign w:val="center"/>
          </w:tcPr>
          <w:p>
            <w:pPr>
              <w:pStyle w:val="5"/>
            </w:pPr>
            <w:r>
              <w:rPr>
                <w:rFonts w:hint="eastAsia"/>
              </w:rPr>
              <w:t>0.6</w:t>
            </w:r>
          </w:p>
        </w:tc>
        <w:tc>
          <w:tcPr>
            <w:tcW w:w="1463" w:type="dxa"/>
            <w:shd w:val="clear" w:color="auto" w:fill="auto"/>
            <w:noWrap/>
            <w:vAlign w:val="center"/>
          </w:tcPr>
          <w:p>
            <w:pPr>
              <w:pStyle w:val="5"/>
            </w:pPr>
            <w:r>
              <w:rPr>
                <w:rFonts w:hint="eastAsia"/>
              </w:rPr>
              <w:t>0.4</w:t>
            </w:r>
          </w:p>
        </w:tc>
        <w:tc>
          <w:tcPr>
            <w:tcW w:w="2306" w:type="dxa"/>
            <w:shd w:val="clear" w:color="auto" w:fill="auto"/>
            <w:noWrap/>
            <w:vAlign w:val="center"/>
          </w:tcPr>
          <w:p>
            <w:pPr>
              <w:pStyle w:val="5"/>
            </w:pPr>
            <w:r>
              <w:rPr>
                <w:rFonts w:hint="eastAsia"/>
              </w:rPr>
              <w:t>外坡0.5，内坡1</w:t>
            </w:r>
          </w:p>
        </w:tc>
      </w:tr>
    </w:tbl>
    <w:p>
      <w:pPr>
        <w:pStyle w:val="Normal0"/>
        <w:ind w:firstLine="560" w:firstLineChars="200"/>
        <w:rPr>
          <w:rFonts w:ascii="宋体" w:hAnsi="宋体" w:hint="eastAsia"/>
          <w:kern w:val="0"/>
          <w:sz w:val="28"/>
          <w:szCs w:val="28"/>
        </w:rPr>
      </w:pPr>
      <w:r>
        <w:rPr>
          <w:rFonts w:ascii="宋体" w:hAnsi="宋体" w:hint="eastAsia"/>
          <w:kern w:val="0"/>
          <w:sz w:val="28"/>
          <w:szCs w:val="28"/>
        </w:rPr>
        <w:t>坡式梯田断面形式详见设计图及附表7坡式梯田小班设计表。</w:t>
      </w:r>
    </w:p>
    <w:p>
      <w:pPr>
        <w:pStyle w:val="Normal0"/>
        <w:ind w:firstLine="560" w:firstLineChars="200"/>
        <w:rPr>
          <w:rFonts w:ascii="宋体" w:hAnsi="宋体" w:hint="eastAsia"/>
          <w:kern w:val="0"/>
          <w:sz w:val="28"/>
          <w:szCs w:val="28"/>
        </w:rPr>
      </w:pPr>
      <w:r>
        <w:rPr>
          <w:rFonts w:ascii="宋体" w:hAnsi="宋体" w:hint="eastAsia"/>
          <w:kern w:val="0"/>
          <w:sz w:val="28"/>
          <w:szCs w:val="28"/>
        </w:rPr>
        <w:t>（3）坡式梯田的施工</w:t>
      </w:r>
    </w:p>
    <w:p>
      <w:pPr>
        <w:pStyle w:val="Normal0"/>
        <w:ind w:firstLine="560" w:firstLineChars="200"/>
        <w:rPr>
          <w:rFonts w:ascii="宋体" w:hAnsi="宋体" w:hint="eastAsia"/>
          <w:kern w:val="0"/>
          <w:sz w:val="28"/>
          <w:szCs w:val="28"/>
        </w:rPr>
      </w:pPr>
      <w:r>
        <w:rPr>
          <w:rFonts w:ascii="宋体" w:hAnsi="宋体" w:hint="eastAsia"/>
          <w:kern w:val="0"/>
          <w:sz w:val="28"/>
          <w:szCs w:val="28"/>
        </w:rPr>
        <w:t>坡式梯田采用人工进行施工，施工包括定线、清基、筑埂保留表土等程序。筑埂应在埂线下方取土，采用下切上垫的方法。沿等高线布设定线过程中，遇局部地形复杂处，应根据大弯就势、小弯取直的原则处理，有的为保持田面等宽，需适当调整埂线位置。</w:t>
      </w:r>
    </w:p>
    <w:p>
      <w:pPr>
        <w:pStyle w:val="Normal0"/>
        <w:ind w:firstLine="560" w:firstLineChars="200"/>
        <w:rPr>
          <w:rFonts w:ascii="宋体" w:hAnsi="宋体" w:hint="eastAsia"/>
          <w:kern w:val="0"/>
          <w:sz w:val="28"/>
          <w:szCs w:val="28"/>
        </w:rPr>
      </w:pPr>
      <w:r>
        <w:rPr>
          <w:rFonts w:ascii="宋体" w:hAnsi="宋体" w:hint="eastAsia"/>
          <w:kern w:val="0"/>
          <w:sz w:val="28"/>
          <w:szCs w:val="28"/>
        </w:rPr>
        <w:t>田埂必须用生土填筑，土中不能夹有石砾、树根、草皮等杂物。修筑时应分层夯实，每层虑土厚约20cm,夯实厚约15cm。</w:t>
      </w:r>
    </w:p>
    <w:p>
      <w:pPr>
        <w:pStyle w:val="Normal0"/>
        <w:ind w:firstLine="560" w:firstLineChars="200"/>
        <w:rPr>
          <w:rFonts w:ascii="宋体" w:hAnsi="宋体" w:hint="eastAsia"/>
          <w:kern w:val="0"/>
          <w:sz w:val="28"/>
          <w:szCs w:val="28"/>
        </w:rPr>
      </w:pPr>
      <w:r>
        <w:rPr>
          <w:rFonts w:ascii="宋体" w:hAnsi="宋体" w:hint="eastAsia"/>
          <w:kern w:val="0"/>
          <w:sz w:val="28"/>
          <w:szCs w:val="28"/>
        </w:rPr>
        <w:t>修筑中每道埂应全面均匀同时升高，不应出现各段参差不齐，影响接茬处质量，田埂升高过程中根据设计田埂坡度，逐层向内收缩，并将坎面拍光。</w:t>
      </w:r>
    </w:p>
    <w:p>
      <w:pPr>
        <w:pStyle w:val="Normal0"/>
        <w:ind w:firstLine="560" w:firstLineChars="200"/>
        <w:rPr>
          <w:rFonts w:ascii="宋体" w:hAnsi="宋体" w:hint="eastAsia"/>
          <w:kern w:val="0"/>
          <w:sz w:val="28"/>
          <w:szCs w:val="28"/>
        </w:rPr>
        <w:sectPr>
          <w:headerReference w:type="default" r:id="rId62"/>
          <w:footerReference w:type="default" r:id="rId63"/>
          <w:type w:val="nextPage"/>
          <w:pgSz w:w="11907" w:h="16840"/>
          <w:pgMar w:top="1701" w:right="1418" w:bottom="1418" w:left="1418" w:header="1417" w:footer="567" w:gutter="567"/>
          <w:pgNumType w:start="7"/>
          <w:cols w:num="1" w:space="720"/>
          <w:titlePg w:val="0"/>
          <w:docGrid w:type="lines" w:linePitch="312" w:charSpace="0"/>
        </w:sectPr>
      </w:pPr>
    </w:p>
    <w:p>
      <w:pPr>
        <w:pStyle w:val="Normal0"/>
        <w:ind w:firstLine="560" w:firstLineChars="200"/>
        <w:rPr>
          <w:rFonts w:ascii="宋体" w:hAnsi="宋体" w:hint="eastAsia"/>
          <w:kern w:val="0"/>
          <w:sz w:val="28"/>
          <w:szCs w:val="28"/>
        </w:rPr>
      </w:pPr>
      <w:r>
        <w:rPr>
          <w:rFonts w:ascii="宋体" w:hAnsi="宋体" w:hint="eastAsia"/>
          <w:kern w:val="0"/>
          <w:sz w:val="28"/>
          <w:szCs w:val="28"/>
        </w:rPr>
        <w:t>坡式梯田要加强水土保持耕作措施和田间蓄水工程建设，通过耕作，使田面逐年减缓坡度，最终演变为水平梯田。</w:t>
      </w:r>
    </w:p>
    <w:p>
      <w:pPr>
        <w:pStyle w:val="Heading3"/>
        <w:numPr>
          <w:ilvl w:val="0"/>
          <w:numId w:val="0"/>
        </w:numPr>
        <w:rPr>
          <w:rFonts w:ascii="Times New Roman" w:hAnsi="Times New Roman" w:hint="eastAsia"/>
        </w:rPr>
      </w:pPr>
      <w:r>
        <w:rPr>
          <w:rFonts w:ascii="Times New Roman" w:hAnsi="Times New Roman" w:hint="eastAsia"/>
        </w:rPr>
        <w:t>5.3.2土地平整工程设计</w:t>
      </w:r>
    </w:p>
    <w:p>
      <w:pPr>
        <w:pStyle w:val="NormalIndent"/>
        <w:numPr>
          <w:ilvl w:val="1"/>
          <w:numId w:val="10"/>
        </w:numPr>
        <w:tabs>
          <w:tab w:val="left" w:pos="0"/>
          <w:tab w:val="clear" w:pos="1575"/>
        </w:tabs>
        <w:spacing w:line="240" w:lineRule="auto"/>
        <w:ind w:left="0" w:firstLine="540" w:firstLineChars="0"/>
        <w:rPr>
          <w:sz w:val="28"/>
          <w:szCs w:val="28"/>
        </w:rPr>
      </w:pPr>
      <w:r>
        <w:rPr>
          <w:rFonts w:ascii="宋体" w:hAnsi="宋体" w:hint="eastAsia"/>
          <w:sz w:val="28"/>
          <w:szCs w:val="28"/>
        </w:rPr>
        <w:t>梯田设计的洪水标准</w:t>
      </w:r>
      <w:r>
        <w:rPr>
          <w:rFonts w:hAnsi="宋体"/>
          <w:sz w:val="28"/>
          <w:szCs w:val="28"/>
        </w:rPr>
        <w:t>为</w:t>
      </w:r>
      <w:r>
        <w:rPr>
          <w:sz w:val="28"/>
          <w:szCs w:val="28"/>
        </w:rPr>
        <w:t>20</w:t>
      </w:r>
      <w:r>
        <w:rPr>
          <w:rFonts w:hAnsi="宋体"/>
          <w:sz w:val="28"/>
          <w:szCs w:val="28"/>
        </w:rPr>
        <w:t>年一遇</w:t>
      </w:r>
      <w:r>
        <w:rPr>
          <w:sz w:val="28"/>
          <w:szCs w:val="28"/>
        </w:rPr>
        <w:t>24</w:t>
      </w:r>
      <w:r>
        <w:rPr>
          <w:rFonts w:hAnsi="宋体"/>
          <w:sz w:val="28"/>
          <w:szCs w:val="28"/>
        </w:rPr>
        <w:t>小时暴雨降雨量，参照《黄土高原水土保持世行贷款</w:t>
      </w:r>
      <w:r>
        <w:rPr>
          <w:rFonts w:hAnsi="宋体" w:hint="eastAsia"/>
          <w:sz w:val="28"/>
          <w:szCs w:val="28"/>
          <w:lang w:eastAsia="zh-CN"/>
        </w:rPr>
        <w:t>相关项目</w:t>
      </w:r>
      <w:r>
        <w:rPr>
          <w:rFonts w:hAnsi="宋体"/>
          <w:sz w:val="28"/>
          <w:szCs w:val="28"/>
        </w:rPr>
        <w:t>》中的梯田设计标准。</w:t>
      </w:r>
    </w:p>
    <w:p>
      <w:pPr>
        <w:pStyle w:val="NormalIndent"/>
        <w:numPr>
          <w:ilvl w:val="1"/>
          <w:numId w:val="10"/>
        </w:numPr>
        <w:tabs>
          <w:tab w:val="left" w:pos="0"/>
          <w:tab w:val="clear" w:pos="1575"/>
        </w:tabs>
        <w:spacing w:line="240" w:lineRule="auto"/>
        <w:ind w:left="0" w:firstLine="540" w:firstLineChars="0"/>
        <w:rPr>
          <w:rFonts w:ascii="宋体" w:hAnsi="宋体" w:hint="eastAsia"/>
          <w:sz w:val="28"/>
          <w:szCs w:val="28"/>
        </w:rPr>
      </w:pPr>
      <w:r>
        <w:rPr>
          <w:rFonts w:ascii="宋体" w:hAnsi="宋体" w:hint="eastAsia"/>
          <w:sz w:val="28"/>
          <w:szCs w:val="28"/>
        </w:rPr>
        <w:t>梯田设计主要是田块设计，即确定田面宽度、田坎高度和田坎侧坡的规格，三者互相关联，均依据地面坡度、土质情况、施工方式而定，并同时考虑省工和机耕的要求。</w:t>
      </w:r>
    </w:p>
    <w:p>
      <w:pPr>
        <w:pStyle w:val="NormalIndent"/>
        <w:ind w:firstLine="750" w:firstLineChars="268"/>
        <w:rPr>
          <w:rFonts w:ascii="宋体" w:hAnsi="宋体" w:hint="eastAsia"/>
          <w:sz w:val="28"/>
          <w:szCs w:val="28"/>
        </w:rPr>
      </w:pPr>
      <w:r>
        <w:rPr>
          <w:rFonts w:ascii="宋体" w:hAnsi="宋体" w:hint="eastAsia"/>
          <w:sz w:val="28"/>
          <w:szCs w:val="28"/>
        </w:rPr>
        <w:t>（3）</w:t>
      </w:r>
      <w:r>
        <w:rPr>
          <w:rFonts w:ascii="宋体" w:hAnsi="宋体" w:hint="eastAsia"/>
          <w:sz w:val="28"/>
          <w:szCs w:val="28"/>
          <w:lang w:eastAsia="zh-CN"/>
        </w:rPr>
        <w:t>相关项目</w:t>
      </w:r>
      <w:r>
        <w:rPr>
          <w:rFonts w:ascii="宋体" w:hAnsi="宋体" w:hint="eastAsia"/>
          <w:sz w:val="28"/>
          <w:szCs w:val="28"/>
        </w:rPr>
        <w:t>区坡耕地地面坡度均匀，梯田设计时地面坡度统一按5°进行。</w:t>
      </w:r>
    </w:p>
    <w:p>
      <w:pPr>
        <w:pStyle w:val="NormalIndent"/>
        <w:ind w:left="540" w:firstLine="280" w:leftChars="257" w:firstLineChars="100"/>
        <w:rPr>
          <w:rFonts w:ascii="宋体" w:hAnsi="宋体" w:hint="eastAsia"/>
          <w:sz w:val="28"/>
          <w:szCs w:val="28"/>
        </w:rPr>
      </w:pPr>
      <w:r>
        <w:rPr>
          <w:rFonts w:ascii="宋体" w:hAnsi="宋体" w:hint="eastAsia"/>
          <w:sz w:val="28"/>
          <w:szCs w:val="28"/>
        </w:rPr>
        <w:t>梯田的断面各要素设计及规格如下：</w:t>
      </w:r>
    </w:p>
    <w:p>
      <w:pPr>
        <w:pStyle w:val="NormalIndent"/>
        <w:numPr>
          <w:ilvl w:val="0"/>
          <w:numId w:val="3"/>
        </w:numPr>
        <w:spacing w:line="240" w:lineRule="auto"/>
        <w:ind w:hanging="60" w:firstLineChars="0"/>
        <w:rPr>
          <w:rFonts w:ascii="宋体" w:hAnsi="宋体" w:hint="eastAsia"/>
          <w:sz w:val="28"/>
          <w:szCs w:val="28"/>
        </w:rPr>
      </w:pPr>
      <w:r>
        <w:rPr>
          <w:rFonts w:ascii="宋体" w:hAnsi="宋体" w:hint="eastAsia"/>
          <w:sz w:val="28"/>
          <w:szCs w:val="28"/>
        </w:rPr>
        <w:t>断面要素设计</w:t>
      </w:r>
    </w:p>
    <w:p>
      <w:pPr>
        <w:pStyle w:val="NormalIndent"/>
        <w:ind w:left="420" w:firstLine="280" w:leftChars="200" w:firstLineChars="100"/>
        <w:rPr>
          <w:rFonts w:ascii="宋体" w:hAnsi="宋体"/>
          <w:sz w:val="28"/>
          <w:szCs w:val="28"/>
        </w:rPr>
      </w:pPr>
      <w:r>
        <w:rPr>
          <w:rFonts w:ascii="宋体" w:hAnsi="宋体" w:hint="eastAsia"/>
          <w:sz w:val="28"/>
          <w:szCs w:val="28"/>
        </w:rPr>
        <w:t>田面宽B=</w:t>
      </w:r>
      <w:r>
        <w:rPr>
          <w:rFonts w:ascii="宋体" w:hAnsi="宋体" w:hint="eastAsia"/>
          <w:spacing w:val="-20"/>
          <w:sz w:val="28"/>
          <w:szCs w:val="28"/>
        </w:rPr>
        <w:t>H</w:t>
      </w:r>
      <w:r>
        <w:rPr>
          <w:rFonts w:ascii="宋体" w:hAnsi="宋体"/>
          <w:spacing w:val="-20"/>
          <w:sz w:val="28"/>
          <w:szCs w:val="28"/>
        </w:rPr>
        <w:t>(cota-cot</w:t>
      </w:r>
      <w:r>
        <w:rPr>
          <w:rFonts w:ascii="宋体" w:hAnsi="宋体" w:hint="eastAsia"/>
          <w:spacing w:val="-20"/>
          <w:sz w:val="28"/>
          <w:szCs w:val="28"/>
        </w:rPr>
        <w:t>β</w:t>
      </w:r>
      <w:r>
        <w:rPr>
          <w:rFonts w:ascii="宋体" w:hAnsi="宋体"/>
          <w:spacing w:val="-20"/>
          <w:sz w:val="28"/>
          <w:szCs w:val="28"/>
        </w:rPr>
        <w:t>)</w:t>
      </w:r>
    </w:p>
    <w:p>
      <w:pPr>
        <w:pStyle w:val="NormalIndent"/>
        <w:ind w:left="420" w:firstLine="280" w:leftChars="200" w:firstLineChars="100"/>
        <w:rPr>
          <w:rFonts w:ascii="宋体" w:hAnsi="宋体"/>
          <w:sz w:val="28"/>
          <w:szCs w:val="28"/>
        </w:rPr>
      </w:pPr>
      <w:r>
        <w:rPr>
          <w:rFonts w:ascii="宋体" w:hAnsi="宋体" w:hint="eastAsia"/>
          <w:sz w:val="28"/>
          <w:szCs w:val="28"/>
        </w:rPr>
        <w:t>田坎高H=</w:t>
      </w:r>
      <w:r>
        <w:rPr>
          <w:rFonts w:ascii="宋体" w:hAnsi="宋体"/>
          <w:sz w:val="28"/>
          <w:szCs w:val="28"/>
        </w:rPr>
        <w:t>Lsina</w:t>
      </w:r>
    </w:p>
    <w:p>
      <w:pPr>
        <w:pStyle w:val="NormalIndent"/>
        <w:ind w:left="420" w:firstLine="280" w:leftChars="200" w:firstLineChars="100"/>
        <w:rPr>
          <w:rFonts w:ascii="宋体" w:hAnsi="宋体"/>
          <w:sz w:val="28"/>
          <w:szCs w:val="28"/>
        </w:rPr>
      </w:pPr>
      <w:r>
        <w:rPr>
          <w:rFonts w:ascii="宋体" w:hAnsi="宋体" w:hint="eastAsia"/>
          <w:sz w:val="28"/>
          <w:szCs w:val="28"/>
        </w:rPr>
        <w:t>田坎占地宽2</w:t>
      </w:r>
      <w:r>
        <w:rPr>
          <w:rFonts w:ascii="宋体" w:hAnsi="宋体"/>
          <w:sz w:val="28"/>
          <w:szCs w:val="28"/>
        </w:rPr>
        <w:t>b=Hcot</w:t>
      </w:r>
      <w:r>
        <w:rPr>
          <w:rFonts w:ascii="宋体" w:hAnsi="宋体" w:hint="eastAsia"/>
          <w:sz w:val="28"/>
          <w:szCs w:val="28"/>
        </w:rPr>
        <w:t>β</w:t>
      </w:r>
    </w:p>
    <w:p>
      <w:pPr>
        <w:pStyle w:val="NormalIndent"/>
        <w:ind w:left="420" w:firstLine="280" w:leftChars="200" w:firstLineChars="100"/>
        <w:rPr>
          <w:rFonts w:ascii="宋体" w:hAnsi="宋体" w:hint="eastAsia"/>
          <w:sz w:val="28"/>
          <w:szCs w:val="28"/>
        </w:rPr>
      </w:pPr>
      <w:r>
        <w:rPr>
          <w:rFonts w:ascii="宋体" w:hAnsi="宋体" w:hint="eastAsia"/>
          <w:sz w:val="28"/>
          <w:szCs w:val="28"/>
        </w:rPr>
        <w:t>田坎占地百分数：</w:t>
      </w:r>
      <w:r>
        <w:rPr>
          <w:rFonts w:ascii="宋体" w:hAnsi="宋体"/>
          <w:sz w:val="28"/>
          <w:szCs w:val="28"/>
        </w:rPr>
        <w:t>c%=2b/(</w:t>
      </w:r>
      <w:r>
        <w:rPr>
          <w:rFonts w:ascii="宋体" w:hAnsi="宋体" w:hint="eastAsia"/>
          <w:sz w:val="28"/>
          <w:szCs w:val="28"/>
        </w:rPr>
        <w:t>B</w:t>
      </w:r>
      <w:r>
        <w:rPr>
          <w:rFonts w:ascii="宋体" w:hAnsi="宋体"/>
          <w:sz w:val="28"/>
          <w:szCs w:val="28"/>
        </w:rPr>
        <w:t>+2b)</w:t>
      </w:r>
      <w:r>
        <w:rPr>
          <w:rFonts w:ascii="宋体" w:hAnsi="宋体" w:hint="eastAsia"/>
          <w:sz w:val="28"/>
          <w:szCs w:val="28"/>
        </w:rPr>
        <w:t>×100%</w:t>
      </w:r>
    </w:p>
    <w:p>
      <w:pPr>
        <w:pStyle w:val="NormalIndent"/>
        <w:ind w:firstLine="0" w:firstLineChars="0"/>
        <w:rPr>
          <w:rFonts w:ascii="宋体" w:hAnsi="宋体" w:hint="eastAsia"/>
          <w:sz w:val="28"/>
          <w:szCs w:val="28"/>
        </w:rPr>
        <w:sectPr>
          <w:headerReference w:type="default" r:id="rId64"/>
          <w:footerReference w:type="default" r:id="rId65"/>
          <w:type w:val="nextPage"/>
          <w:pgSz w:w="11907" w:h="16840"/>
          <w:pgMar w:top="1701" w:right="1418" w:bottom="1418" w:left="1418" w:header="1417" w:footer="567" w:gutter="567"/>
          <w:pgNumType w:start="8"/>
          <w:cols w:num="1" w:space="720"/>
          <w:titlePg w:val="0"/>
          <w:docGrid w:type="lines" w:linePitch="312" w:charSpace="0"/>
        </w:sectPr>
      </w:pPr>
      <w:r>
        <w:rPr>
          <w:rFonts w:ascii="宋体" w:hAnsi="宋体"/>
          <w:sz w:val="28"/>
          <w:szCs w:val="28"/>
        </w:rPr>
        <w:object>
          <v:shape id="_x0000_i1047" type="#_x0000_t75" style="width:415.3pt;height:199.2pt" o:ole="" coordsize="21600,21600" o:preferrelative="t" filled="f" stroked="f">
            <v:stroke joinstyle="miter"/>
            <v:imagedata r:id="rId66" o:title="" croptop="838f" cropbottom="4695f"/>
            <o:lock v:ext="edit" aspectratio="t"/>
            <w10:anchorlock/>
          </v:shape>
          <o:OLEObject Type="Embed" ProgID="AutoCAD.Drawing.16" ShapeID="_x0000_i1047" DrawAspect="Content" ObjectID="_1468075747" r:id="rId67"/>
        </w:object>
      </w:r>
      <w:r>
        <w:rPr>
          <w:rFonts w:ascii="宋体" w:hAnsi="宋体" w:hint="eastAsia"/>
          <w:sz w:val="28"/>
          <w:szCs w:val="28"/>
        </w:rPr>
        <w:t xml:space="preserve">                     </w:t>
      </w:r>
    </w:p>
    <w:p>
      <w:pPr>
        <w:pStyle w:val="NormalIndent"/>
        <w:ind w:firstLine="0" w:firstLineChars="0"/>
        <w:rPr>
          <w:rFonts w:ascii="宋体" w:hAnsi="宋体" w:hint="eastAsia"/>
          <w:sz w:val="28"/>
          <w:szCs w:val="28"/>
        </w:rPr>
      </w:pPr>
      <w:r>
        <w:rPr>
          <w:rFonts w:ascii="宋体" w:hAnsi="宋体" w:hint="eastAsia"/>
          <w:b/>
          <w:sz w:val="24"/>
        </w:rPr>
        <w:t>梯田断面要素图</w:t>
      </w:r>
    </w:p>
    <w:p>
      <w:pPr>
        <w:pStyle w:val="NormalIndent"/>
        <w:ind w:firstLine="315" w:firstLineChars="150"/>
        <w:rPr>
          <w:rFonts w:ascii="宋体" w:hAnsi="宋体" w:hint="eastAsia"/>
          <w:szCs w:val="21"/>
        </w:rPr>
      </w:pPr>
      <w:r>
        <w:rPr>
          <w:rFonts w:ascii="宋体" w:hAnsi="宋体" w:hint="eastAsia"/>
          <w:szCs w:val="21"/>
        </w:rPr>
        <w:t>式中  L</w:t>
      </w:r>
      <w:r>
        <w:rPr>
          <w:rFonts w:ascii="宋体" w:hAnsi="宋体"/>
          <w:szCs w:val="21"/>
        </w:rPr>
        <w:t>—</w:t>
      </w:r>
      <w:r>
        <w:rPr>
          <w:rFonts w:ascii="宋体" w:hAnsi="宋体" w:hint="eastAsia"/>
          <w:szCs w:val="21"/>
        </w:rPr>
        <w:t>斜坡距离    B</w:t>
      </w:r>
      <w:r>
        <w:rPr>
          <w:rFonts w:ascii="宋体" w:hAnsi="宋体"/>
          <w:szCs w:val="21"/>
        </w:rPr>
        <w:t>—</w:t>
      </w:r>
      <w:r>
        <w:rPr>
          <w:rFonts w:ascii="宋体" w:hAnsi="宋体" w:hint="eastAsia"/>
          <w:szCs w:val="21"/>
        </w:rPr>
        <w:t>田面宽     b</w:t>
      </w:r>
      <w:r>
        <w:rPr>
          <w:rFonts w:ascii="宋体" w:hAnsi="宋体"/>
          <w:szCs w:val="21"/>
        </w:rPr>
        <w:t>—</w:t>
      </w:r>
      <w:r>
        <w:rPr>
          <w:rFonts w:ascii="宋体" w:hAnsi="宋体" w:hint="eastAsia"/>
          <w:szCs w:val="21"/>
        </w:rPr>
        <w:t xml:space="preserve">田宽占地宽的1/2 </w:t>
      </w:r>
    </w:p>
    <w:p>
      <w:pPr>
        <w:pStyle w:val="NormalIndent"/>
        <w:ind w:firstLine="315" w:firstLineChars="150"/>
        <w:rPr>
          <w:rFonts w:ascii="宋体" w:hAnsi="宋体" w:hint="eastAsia"/>
          <w:szCs w:val="21"/>
        </w:rPr>
      </w:pPr>
      <w:r>
        <w:rPr>
          <w:rFonts w:ascii="宋体" w:hAnsi="宋体" w:hint="eastAsia"/>
          <w:szCs w:val="21"/>
        </w:rPr>
        <w:t xml:space="preserve">      D</w:t>
      </w:r>
      <w:r>
        <w:rPr>
          <w:rFonts w:ascii="宋体" w:hAnsi="宋体"/>
          <w:szCs w:val="21"/>
        </w:rPr>
        <w:t>—</w:t>
      </w:r>
      <w:r>
        <w:rPr>
          <w:rFonts w:ascii="宋体" w:hAnsi="宋体" w:hint="eastAsia"/>
          <w:szCs w:val="21"/>
        </w:rPr>
        <w:t>地埂底宽    b</w:t>
      </w:r>
      <w:r>
        <w:rPr>
          <w:rFonts w:ascii="宋体" w:hAnsi="宋体"/>
          <w:szCs w:val="21"/>
        </w:rPr>
        <w:t>—</w:t>
      </w:r>
      <w:r>
        <w:rPr>
          <w:rFonts w:ascii="宋体" w:hAnsi="宋体" w:hint="eastAsia"/>
          <w:szCs w:val="21"/>
        </w:rPr>
        <w:t>地埂顶宽   H --田坎高</w:t>
      </w:r>
    </w:p>
    <w:p>
      <w:pPr>
        <w:pStyle w:val="NormalIndent"/>
        <w:ind w:firstLine="315" w:firstLineChars="150"/>
        <w:rPr>
          <w:rFonts w:ascii="宋体" w:hAnsi="宋体" w:hint="eastAsia"/>
          <w:szCs w:val="21"/>
        </w:rPr>
      </w:pPr>
      <w:r>
        <w:rPr>
          <w:rFonts w:ascii="宋体" w:hAnsi="宋体" w:hint="eastAsia"/>
          <w:szCs w:val="21"/>
        </w:rPr>
        <w:t xml:space="preserve">      h </w:t>
      </w:r>
      <w:r>
        <w:rPr>
          <w:rFonts w:ascii="宋体" w:hAnsi="宋体"/>
          <w:szCs w:val="21"/>
        </w:rPr>
        <w:t>–</w:t>
      </w:r>
      <w:r>
        <w:rPr>
          <w:rFonts w:ascii="宋体" w:hAnsi="宋体" w:hint="eastAsia"/>
          <w:szCs w:val="21"/>
        </w:rPr>
        <w:t>地埂高     α-</w:t>
      </w:r>
      <w:r>
        <w:rPr>
          <w:rFonts w:ascii="宋体" w:hAnsi="宋体"/>
          <w:szCs w:val="21"/>
        </w:rPr>
        <w:t>–</w:t>
      </w:r>
      <w:r>
        <w:rPr>
          <w:rFonts w:ascii="宋体" w:hAnsi="宋体" w:hint="eastAsia"/>
          <w:szCs w:val="21"/>
        </w:rPr>
        <w:t>地面坡度（度）  β</w:t>
      </w:r>
      <w:r>
        <w:rPr>
          <w:rFonts w:ascii="宋体" w:hAnsi="宋体"/>
          <w:szCs w:val="21"/>
        </w:rPr>
        <w:t>—</w:t>
      </w:r>
      <w:r>
        <w:rPr>
          <w:rFonts w:ascii="宋体" w:hAnsi="宋体" w:hint="eastAsia"/>
          <w:szCs w:val="21"/>
        </w:rPr>
        <w:t>田坎侧坡（度）</w:t>
      </w:r>
    </w:p>
    <w:p>
      <w:pPr>
        <w:pStyle w:val="NormalIndent"/>
        <w:ind w:firstLine="0" w:firstLineChars="0"/>
        <w:rPr>
          <w:rFonts w:ascii="宋体" w:hAnsi="宋体" w:hint="eastAsia"/>
          <w:sz w:val="28"/>
          <w:szCs w:val="28"/>
        </w:rPr>
      </w:pPr>
      <w:r>
        <w:rPr>
          <w:rFonts w:ascii="宋体" w:hAnsi="宋体" w:hint="eastAsia"/>
          <w:sz w:val="28"/>
          <w:szCs w:val="28"/>
        </w:rPr>
        <w:t>b.梯田规格参考数</w:t>
      </w:r>
    </w:p>
    <w:tbl>
      <w:tblPr>
        <w:tblStyle w:val="TableNormal"/>
        <w:tblW w:w="467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87"/>
        <w:gridCol w:w="1031"/>
        <w:gridCol w:w="1291"/>
        <w:gridCol w:w="1088"/>
        <w:gridCol w:w="1352"/>
        <w:gridCol w:w="1195"/>
        <w:gridCol w:w="1107"/>
      </w:tblGrid>
      <w:tr>
        <w:tblPrEx>
          <w:tblW w:w="467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667"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地面坡度</w:t>
            </w:r>
          </w:p>
          <w:p>
            <w:pPr>
              <w:pStyle w:val="NormalIndent"/>
              <w:spacing w:line="340" w:lineRule="exact"/>
              <w:ind w:firstLine="0" w:firstLineChars="0"/>
              <w:jc w:val="center"/>
              <w:rPr>
                <w:rFonts w:ascii="宋体" w:hAnsi="宋体" w:hint="eastAsia"/>
                <w:szCs w:val="21"/>
              </w:rPr>
            </w:pPr>
            <w:r>
              <w:rPr>
                <w:rFonts w:ascii="宋体" w:hAnsi="宋体" w:hint="eastAsia"/>
                <w:szCs w:val="21"/>
              </w:rPr>
              <w:t>（°）</w:t>
            </w:r>
          </w:p>
        </w:tc>
        <w:tc>
          <w:tcPr>
            <w:tcW w:w="632"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田面宽度</w:t>
            </w:r>
          </w:p>
          <w:p>
            <w:pPr>
              <w:pStyle w:val="NormalIndent"/>
              <w:spacing w:line="340" w:lineRule="exact"/>
              <w:ind w:firstLine="0" w:firstLineChars="0"/>
              <w:jc w:val="center"/>
              <w:rPr>
                <w:rFonts w:ascii="宋体" w:hAnsi="宋体"/>
                <w:szCs w:val="21"/>
              </w:rPr>
            </w:pPr>
            <w:r>
              <w:rPr>
                <w:rFonts w:ascii="宋体" w:hAnsi="宋体" w:hint="eastAsia"/>
                <w:szCs w:val="21"/>
              </w:rPr>
              <w:t>（</w:t>
            </w:r>
            <w:r>
              <w:rPr>
                <w:rFonts w:ascii="宋体" w:hAnsi="宋体"/>
                <w:szCs w:val="21"/>
              </w:rPr>
              <w:t>m</w:t>
            </w:r>
            <w:r>
              <w:rPr>
                <w:rFonts w:ascii="宋体" w:hAnsi="宋体" w:hint="eastAsia"/>
                <w:szCs w:val="21"/>
              </w:rPr>
              <w:t>）</w:t>
            </w:r>
          </w:p>
        </w:tc>
        <w:tc>
          <w:tcPr>
            <w:tcW w:w="792"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田坎外侧坡</w:t>
            </w:r>
          </w:p>
          <w:p>
            <w:pPr>
              <w:pStyle w:val="NormalIndent"/>
              <w:spacing w:line="340" w:lineRule="exact"/>
              <w:ind w:firstLine="0" w:firstLineChars="0"/>
              <w:jc w:val="center"/>
              <w:rPr>
                <w:rFonts w:ascii="宋体" w:hAnsi="宋体" w:hint="eastAsia"/>
                <w:szCs w:val="21"/>
              </w:rPr>
            </w:pPr>
            <w:r>
              <w:rPr>
                <w:rFonts w:ascii="宋体" w:hAnsi="宋体" w:hint="eastAsia"/>
                <w:szCs w:val="21"/>
              </w:rPr>
              <w:t>（°）</w:t>
            </w:r>
          </w:p>
        </w:tc>
        <w:tc>
          <w:tcPr>
            <w:tcW w:w="667"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田坎高度</w:t>
            </w:r>
          </w:p>
          <w:p>
            <w:pPr>
              <w:pStyle w:val="NormalIndent"/>
              <w:spacing w:line="340" w:lineRule="exact"/>
              <w:ind w:firstLine="0" w:firstLineChars="0"/>
              <w:jc w:val="center"/>
              <w:rPr>
                <w:rFonts w:ascii="宋体" w:hAnsi="宋体"/>
                <w:szCs w:val="21"/>
              </w:rPr>
            </w:pPr>
            <w:r>
              <w:rPr>
                <w:rFonts w:ascii="宋体" w:hAnsi="宋体"/>
                <w:szCs w:val="21"/>
              </w:rPr>
              <w:t>(m)</w:t>
            </w:r>
          </w:p>
        </w:tc>
        <w:tc>
          <w:tcPr>
            <w:tcW w:w="829"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土方量</w:t>
            </w:r>
          </w:p>
          <w:p>
            <w:pPr>
              <w:pStyle w:val="NormalIndent"/>
              <w:spacing w:line="340" w:lineRule="exact"/>
              <w:ind w:firstLine="0" w:firstLineChars="0"/>
              <w:jc w:val="center"/>
              <w:rPr>
                <w:rFonts w:ascii="宋体" w:hAnsi="宋体"/>
                <w:szCs w:val="21"/>
              </w:rPr>
            </w:pPr>
            <w:r>
              <w:rPr>
                <w:rFonts w:ascii="宋体" w:hAnsi="宋体"/>
                <w:szCs w:val="21"/>
              </w:rPr>
              <w:t>(m</w:t>
            </w:r>
            <w:r>
              <w:rPr>
                <w:rFonts w:ascii="宋体" w:hAnsi="宋体"/>
                <w:szCs w:val="21"/>
                <w:vertAlign w:val="superscript"/>
              </w:rPr>
              <w:t>3</w:t>
            </w:r>
            <w:r>
              <w:rPr>
                <w:rFonts w:ascii="宋体" w:hAnsi="宋体"/>
                <w:szCs w:val="21"/>
              </w:rPr>
              <w:t>/hm</w:t>
            </w:r>
            <w:r>
              <w:rPr>
                <w:rFonts w:ascii="宋体" w:hAnsi="宋体"/>
                <w:szCs w:val="21"/>
                <w:vertAlign w:val="superscript"/>
              </w:rPr>
              <w:t>2</w:t>
            </w:r>
            <w:r>
              <w:rPr>
                <w:rFonts w:ascii="宋体" w:hAnsi="宋体"/>
                <w:szCs w:val="21"/>
              </w:rPr>
              <w:t>)</w:t>
            </w:r>
          </w:p>
        </w:tc>
        <w:tc>
          <w:tcPr>
            <w:tcW w:w="733"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运输量</w:t>
            </w:r>
          </w:p>
          <w:p>
            <w:pPr>
              <w:pStyle w:val="NormalIndent"/>
              <w:spacing w:line="340" w:lineRule="exact"/>
              <w:ind w:firstLine="0" w:firstLineChars="0"/>
              <w:jc w:val="center"/>
              <w:rPr>
                <w:rFonts w:ascii="宋体" w:hAnsi="宋体"/>
                <w:szCs w:val="21"/>
              </w:rPr>
            </w:pPr>
            <w:r>
              <w:rPr>
                <w:rFonts w:ascii="宋体" w:hAnsi="宋体"/>
                <w:szCs w:val="21"/>
              </w:rPr>
              <w:t>(m</w:t>
            </w:r>
            <w:r>
              <w:rPr>
                <w:rFonts w:ascii="宋体" w:hAnsi="宋体"/>
                <w:szCs w:val="21"/>
                <w:vertAlign w:val="superscript"/>
              </w:rPr>
              <w:t>3</w:t>
            </w:r>
            <w:r>
              <w:rPr>
                <w:rFonts w:ascii="宋体" w:hAnsi="宋体"/>
                <w:szCs w:val="21"/>
              </w:rPr>
              <w:t>-m/hm</w:t>
            </w:r>
            <w:r>
              <w:rPr>
                <w:rFonts w:ascii="宋体" w:hAnsi="宋体"/>
                <w:szCs w:val="21"/>
                <w:vertAlign w:val="superscript"/>
              </w:rPr>
              <w:t>2</w:t>
            </w:r>
            <w:r>
              <w:rPr>
                <w:rFonts w:ascii="宋体" w:hAnsi="宋体"/>
                <w:szCs w:val="21"/>
              </w:rPr>
              <w:t>)</w:t>
            </w:r>
          </w:p>
        </w:tc>
        <w:tc>
          <w:tcPr>
            <w:tcW w:w="679"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田坎占地</w:t>
            </w:r>
          </w:p>
          <w:p>
            <w:pPr>
              <w:pStyle w:val="NormalIndent"/>
              <w:spacing w:line="340" w:lineRule="exact"/>
              <w:ind w:firstLine="0" w:firstLineChars="0"/>
              <w:jc w:val="center"/>
              <w:rPr>
                <w:rFonts w:ascii="宋体" w:hAnsi="宋体" w:hint="eastAsia"/>
                <w:szCs w:val="21"/>
              </w:rPr>
            </w:pPr>
            <w:r>
              <w:rPr>
                <w:rFonts w:ascii="宋体" w:hAnsi="宋体" w:hint="eastAsia"/>
                <w:szCs w:val="21"/>
              </w:rPr>
              <w:t>（%）</w:t>
            </w:r>
          </w:p>
        </w:tc>
      </w:tr>
      <w:tr>
        <w:tblPrEx>
          <w:tblW w:w="4674" w:type="pct"/>
          <w:tblInd w:w="108" w:type="dxa"/>
          <w:tblCellMar>
            <w:top w:w="0" w:type="dxa"/>
            <w:left w:w="108" w:type="dxa"/>
            <w:bottom w:w="0" w:type="dxa"/>
            <w:right w:w="108" w:type="dxa"/>
          </w:tblCellMar>
        </w:tblPrEx>
        <w:tc>
          <w:tcPr>
            <w:tcW w:w="667"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5</w:t>
            </w:r>
          </w:p>
        </w:tc>
        <w:tc>
          <w:tcPr>
            <w:tcW w:w="632"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20</w:t>
            </w:r>
          </w:p>
        </w:tc>
        <w:tc>
          <w:tcPr>
            <w:tcW w:w="792" w:type="pct"/>
            <w:vAlign w:val="center"/>
          </w:tcPr>
          <w:p>
            <w:pPr>
              <w:pStyle w:val="NormalIndent"/>
              <w:spacing w:line="340" w:lineRule="exact"/>
              <w:ind w:firstLine="0" w:firstLineChars="0"/>
              <w:jc w:val="center"/>
              <w:rPr>
                <w:rFonts w:ascii="宋体" w:hAnsi="宋体" w:hint="eastAsia"/>
                <w:szCs w:val="21"/>
              </w:rPr>
            </w:pPr>
            <w:r>
              <w:rPr>
                <w:rFonts w:ascii="宋体" w:hAnsi="宋体" w:hint="eastAsia"/>
                <w:szCs w:val="21"/>
              </w:rPr>
              <w:t>75</w:t>
            </w:r>
          </w:p>
        </w:tc>
        <w:tc>
          <w:tcPr>
            <w:tcW w:w="667" w:type="pct"/>
            <w:vAlign w:val="center"/>
          </w:tcPr>
          <w:p>
            <w:pPr>
              <w:pStyle w:val="NormalIndent"/>
              <w:spacing w:line="340" w:lineRule="exact"/>
              <w:ind w:firstLine="0" w:firstLineChars="0"/>
              <w:jc w:val="center"/>
              <w:rPr>
                <w:rFonts w:ascii="宋体" w:hAnsi="宋体"/>
                <w:szCs w:val="21"/>
              </w:rPr>
            </w:pPr>
            <w:r>
              <w:rPr>
                <w:rFonts w:ascii="宋体" w:hAnsi="宋体"/>
                <w:szCs w:val="21"/>
              </w:rPr>
              <w:t>1.79</w:t>
            </w:r>
          </w:p>
        </w:tc>
        <w:tc>
          <w:tcPr>
            <w:tcW w:w="829" w:type="pct"/>
            <w:vAlign w:val="center"/>
          </w:tcPr>
          <w:p>
            <w:pPr>
              <w:pStyle w:val="NormalIndent"/>
              <w:spacing w:line="340" w:lineRule="exact"/>
              <w:ind w:firstLine="0" w:firstLineChars="0"/>
              <w:jc w:val="center"/>
              <w:rPr>
                <w:rFonts w:ascii="宋体" w:hAnsi="宋体"/>
                <w:szCs w:val="21"/>
              </w:rPr>
            </w:pPr>
            <w:r>
              <w:rPr>
                <w:rFonts w:ascii="宋体" w:hAnsi="宋体"/>
                <w:szCs w:val="21"/>
              </w:rPr>
              <w:t>2236</w:t>
            </w:r>
          </w:p>
        </w:tc>
        <w:tc>
          <w:tcPr>
            <w:tcW w:w="733" w:type="pct"/>
            <w:vAlign w:val="center"/>
          </w:tcPr>
          <w:p>
            <w:pPr>
              <w:pStyle w:val="NormalIndent"/>
              <w:spacing w:line="340" w:lineRule="exact"/>
              <w:ind w:firstLine="0" w:firstLineChars="0"/>
              <w:jc w:val="center"/>
              <w:rPr>
                <w:rFonts w:ascii="宋体" w:hAnsi="宋体"/>
                <w:szCs w:val="21"/>
              </w:rPr>
            </w:pPr>
            <w:r>
              <w:rPr>
                <w:rFonts w:ascii="宋体" w:hAnsi="宋体"/>
                <w:szCs w:val="21"/>
              </w:rPr>
              <w:t>32790</w:t>
            </w:r>
          </w:p>
        </w:tc>
        <w:tc>
          <w:tcPr>
            <w:tcW w:w="679" w:type="pct"/>
            <w:vAlign w:val="center"/>
          </w:tcPr>
          <w:p>
            <w:pPr>
              <w:pStyle w:val="NormalIndent"/>
              <w:spacing w:line="340" w:lineRule="exact"/>
              <w:ind w:firstLine="0" w:firstLineChars="0"/>
              <w:jc w:val="center"/>
              <w:rPr>
                <w:rFonts w:ascii="宋体" w:hAnsi="宋体"/>
                <w:szCs w:val="21"/>
              </w:rPr>
            </w:pPr>
            <w:r>
              <w:rPr>
                <w:rFonts w:ascii="宋体" w:hAnsi="宋体"/>
                <w:szCs w:val="21"/>
              </w:rPr>
              <w:t>3.2</w:t>
            </w:r>
          </w:p>
        </w:tc>
      </w:tr>
    </w:tbl>
    <w:p>
      <w:pPr>
        <w:pStyle w:val="NormalIndent"/>
        <w:ind w:firstLine="658" w:firstLineChars="235"/>
        <w:rPr>
          <w:rFonts w:ascii="宋体" w:hAnsi="宋体" w:hint="eastAsia"/>
          <w:sz w:val="28"/>
          <w:szCs w:val="28"/>
        </w:rPr>
      </w:pPr>
      <w:r>
        <w:rPr>
          <w:rFonts w:ascii="宋体" w:hAnsi="宋体" w:hint="eastAsia"/>
          <w:sz w:val="28"/>
          <w:szCs w:val="28"/>
        </w:rPr>
        <w:t>根据发展梯田面积计算工程量：</w:t>
      </w:r>
    </w:p>
    <w:tbl>
      <w:tblPr>
        <w:tblStyle w:val="TableNormal"/>
        <w:tblW w:w="480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88"/>
        <w:gridCol w:w="1124"/>
        <w:gridCol w:w="1396"/>
        <w:gridCol w:w="1157"/>
        <w:gridCol w:w="1354"/>
        <w:gridCol w:w="1342"/>
        <w:gridCol w:w="924"/>
      </w:tblGrid>
      <w:tr>
        <w:tblPrEx>
          <w:tblW w:w="480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649"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地面坡度</w:t>
            </w:r>
          </w:p>
          <w:p>
            <w:pPr>
              <w:pStyle w:val="NormalIndent"/>
              <w:spacing w:line="360" w:lineRule="exact"/>
              <w:ind w:firstLine="0" w:firstLineChars="0"/>
              <w:jc w:val="center"/>
              <w:rPr>
                <w:rFonts w:ascii="宋体" w:hAnsi="宋体" w:hint="eastAsia"/>
                <w:szCs w:val="21"/>
              </w:rPr>
            </w:pPr>
            <w:r>
              <w:rPr>
                <w:rFonts w:ascii="宋体" w:hAnsi="宋体" w:hint="eastAsia"/>
                <w:szCs w:val="21"/>
              </w:rPr>
              <w:t>（°）</w:t>
            </w:r>
          </w:p>
        </w:tc>
        <w:tc>
          <w:tcPr>
            <w:tcW w:w="670"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田面宽度</w:t>
            </w:r>
          </w:p>
          <w:p>
            <w:pPr>
              <w:pStyle w:val="NormalIndent"/>
              <w:spacing w:line="360" w:lineRule="exact"/>
              <w:ind w:firstLine="0" w:firstLineChars="0"/>
              <w:jc w:val="center"/>
              <w:rPr>
                <w:rFonts w:ascii="宋体" w:hAnsi="宋体"/>
                <w:szCs w:val="21"/>
              </w:rPr>
            </w:pPr>
            <w:r>
              <w:rPr>
                <w:rFonts w:ascii="宋体" w:hAnsi="宋体" w:hint="eastAsia"/>
                <w:szCs w:val="21"/>
              </w:rPr>
              <w:t>（</w:t>
            </w:r>
            <w:r>
              <w:rPr>
                <w:rFonts w:ascii="宋体" w:hAnsi="宋体"/>
                <w:szCs w:val="21"/>
              </w:rPr>
              <w:t>m</w:t>
            </w:r>
            <w:r>
              <w:rPr>
                <w:rFonts w:ascii="宋体" w:hAnsi="宋体" w:hint="eastAsia"/>
                <w:szCs w:val="21"/>
              </w:rPr>
              <w:t>）</w:t>
            </w:r>
          </w:p>
        </w:tc>
        <w:tc>
          <w:tcPr>
            <w:tcW w:w="832"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田坎外侧坡</w:t>
            </w:r>
          </w:p>
          <w:p>
            <w:pPr>
              <w:pStyle w:val="NormalIndent"/>
              <w:spacing w:line="360" w:lineRule="exact"/>
              <w:ind w:firstLine="0" w:firstLineChars="0"/>
              <w:jc w:val="center"/>
              <w:rPr>
                <w:rFonts w:ascii="宋体" w:hAnsi="宋体" w:hint="eastAsia"/>
                <w:szCs w:val="21"/>
              </w:rPr>
            </w:pPr>
            <w:r>
              <w:rPr>
                <w:rFonts w:ascii="宋体" w:hAnsi="宋体" w:hint="eastAsia"/>
                <w:szCs w:val="21"/>
              </w:rPr>
              <w:t>（°）</w:t>
            </w:r>
          </w:p>
        </w:tc>
        <w:tc>
          <w:tcPr>
            <w:tcW w:w="690"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田坎高度</w:t>
            </w:r>
          </w:p>
          <w:p>
            <w:pPr>
              <w:pStyle w:val="NormalIndent"/>
              <w:spacing w:line="360" w:lineRule="exact"/>
              <w:ind w:firstLine="0" w:firstLineChars="0"/>
              <w:jc w:val="center"/>
              <w:rPr>
                <w:rFonts w:ascii="宋体" w:hAnsi="宋体"/>
                <w:szCs w:val="21"/>
              </w:rPr>
            </w:pPr>
            <w:r>
              <w:rPr>
                <w:rFonts w:ascii="宋体" w:hAnsi="宋体"/>
                <w:szCs w:val="21"/>
              </w:rPr>
              <w:t>(m)</w:t>
            </w:r>
          </w:p>
        </w:tc>
        <w:tc>
          <w:tcPr>
            <w:tcW w:w="807"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土方量</w:t>
            </w:r>
          </w:p>
          <w:p>
            <w:pPr>
              <w:pStyle w:val="NormalIndent"/>
              <w:spacing w:line="360" w:lineRule="exact"/>
              <w:ind w:firstLine="0" w:firstLineChars="0"/>
              <w:jc w:val="center"/>
              <w:rPr>
                <w:rFonts w:ascii="宋体" w:hAnsi="宋体"/>
                <w:szCs w:val="21"/>
              </w:rPr>
            </w:pPr>
            <w:r>
              <w:rPr>
                <w:rFonts w:ascii="宋体" w:hAnsi="宋体"/>
                <w:szCs w:val="21"/>
              </w:rPr>
              <w:t>(m</w:t>
            </w:r>
            <w:r>
              <w:rPr>
                <w:rFonts w:ascii="宋体" w:hAnsi="宋体"/>
                <w:szCs w:val="21"/>
                <w:vertAlign w:val="superscript"/>
              </w:rPr>
              <w:t>3</w:t>
            </w:r>
            <w:r>
              <w:rPr>
                <w:rFonts w:ascii="宋体" w:hAnsi="宋体"/>
                <w:szCs w:val="21"/>
              </w:rPr>
              <w:t>/hm</w:t>
            </w:r>
            <w:r>
              <w:rPr>
                <w:rFonts w:ascii="宋体" w:hAnsi="宋体"/>
                <w:szCs w:val="21"/>
                <w:vertAlign w:val="superscript"/>
              </w:rPr>
              <w:t>2</w:t>
            </w:r>
            <w:r>
              <w:rPr>
                <w:rFonts w:ascii="宋体" w:hAnsi="宋体"/>
                <w:szCs w:val="21"/>
              </w:rPr>
              <w:t>)</w:t>
            </w:r>
          </w:p>
        </w:tc>
        <w:tc>
          <w:tcPr>
            <w:tcW w:w="800"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面积</w:t>
            </w:r>
          </w:p>
          <w:p>
            <w:pPr>
              <w:pStyle w:val="NormalIndent"/>
              <w:spacing w:line="360" w:lineRule="exact"/>
              <w:ind w:firstLine="0" w:firstLineChars="0"/>
              <w:jc w:val="center"/>
              <w:rPr>
                <w:rFonts w:ascii="宋体" w:hAnsi="宋体"/>
                <w:szCs w:val="21"/>
              </w:rPr>
            </w:pPr>
            <w:r>
              <w:rPr>
                <w:rFonts w:ascii="宋体" w:hAnsi="宋体"/>
                <w:szCs w:val="21"/>
              </w:rPr>
              <w:t>(hm</w:t>
            </w:r>
            <w:r>
              <w:rPr>
                <w:rFonts w:ascii="宋体" w:hAnsi="宋体"/>
                <w:szCs w:val="21"/>
                <w:vertAlign w:val="superscript"/>
              </w:rPr>
              <w:t>2</w:t>
            </w:r>
            <w:r>
              <w:rPr>
                <w:rFonts w:ascii="宋体" w:hAnsi="宋体"/>
                <w:szCs w:val="21"/>
              </w:rPr>
              <w:t>)</w:t>
            </w:r>
          </w:p>
        </w:tc>
        <w:tc>
          <w:tcPr>
            <w:tcW w:w="551"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土方量</w:t>
            </w:r>
          </w:p>
          <w:p>
            <w:pPr>
              <w:pStyle w:val="NormalIndent"/>
              <w:spacing w:line="360" w:lineRule="exact"/>
              <w:ind w:firstLine="0" w:firstLineChars="0"/>
              <w:jc w:val="center"/>
              <w:rPr>
                <w:rFonts w:ascii="宋体" w:hAnsi="宋体" w:hint="eastAsia"/>
                <w:szCs w:val="21"/>
              </w:rPr>
            </w:pPr>
            <w:r>
              <w:rPr>
                <w:rFonts w:ascii="宋体" w:hAnsi="宋体" w:hint="eastAsia"/>
                <w:szCs w:val="21"/>
              </w:rPr>
              <w:t>（</w:t>
            </w:r>
            <w:r>
              <w:rPr>
                <w:rFonts w:ascii="宋体" w:hAnsi="宋体"/>
                <w:szCs w:val="21"/>
              </w:rPr>
              <w:t>m</w:t>
            </w:r>
            <w:r>
              <w:rPr>
                <w:rFonts w:ascii="宋体" w:hAnsi="宋体"/>
                <w:szCs w:val="21"/>
                <w:vertAlign w:val="superscript"/>
              </w:rPr>
              <w:t>3</w:t>
            </w:r>
            <w:r>
              <w:rPr>
                <w:rFonts w:ascii="宋体" w:hAnsi="宋体" w:hint="eastAsia"/>
                <w:szCs w:val="21"/>
              </w:rPr>
              <w:t>）</w:t>
            </w:r>
          </w:p>
        </w:tc>
      </w:tr>
      <w:tr>
        <w:tblPrEx>
          <w:tblW w:w="4808" w:type="pct"/>
          <w:tblInd w:w="108" w:type="dxa"/>
          <w:tblCellMar>
            <w:top w:w="0" w:type="dxa"/>
            <w:left w:w="108" w:type="dxa"/>
            <w:bottom w:w="0" w:type="dxa"/>
            <w:right w:w="108" w:type="dxa"/>
          </w:tblCellMar>
        </w:tblPrEx>
        <w:trPr>
          <w:trHeight w:val="383"/>
        </w:trPr>
        <w:tc>
          <w:tcPr>
            <w:tcW w:w="649"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5</w:t>
            </w:r>
          </w:p>
        </w:tc>
        <w:tc>
          <w:tcPr>
            <w:tcW w:w="670"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20</w:t>
            </w:r>
          </w:p>
        </w:tc>
        <w:tc>
          <w:tcPr>
            <w:tcW w:w="832"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75</w:t>
            </w:r>
          </w:p>
        </w:tc>
        <w:tc>
          <w:tcPr>
            <w:tcW w:w="690" w:type="pct"/>
            <w:vAlign w:val="center"/>
          </w:tcPr>
          <w:p>
            <w:pPr>
              <w:pStyle w:val="NormalIndent"/>
              <w:spacing w:line="360" w:lineRule="exact"/>
              <w:ind w:firstLine="0" w:firstLineChars="0"/>
              <w:jc w:val="center"/>
              <w:rPr>
                <w:rFonts w:ascii="宋体" w:hAnsi="宋体"/>
                <w:szCs w:val="21"/>
              </w:rPr>
            </w:pPr>
            <w:r>
              <w:rPr>
                <w:rFonts w:ascii="宋体" w:hAnsi="宋体"/>
                <w:szCs w:val="21"/>
              </w:rPr>
              <w:t>1.79</w:t>
            </w:r>
          </w:p>
        </w:tc>
        <w:tc>
          <w:tcPr>
            <w:tcW w:w="807" w:type="pct"/>
            <w:vAlign w:val="center"/>
          </w:tcPr>
          <w:p>
            <w:pPr>
              <w:pStyle w:val="NormalIndent"/>
              <w:spacing w:line="360" w:lineRule="exact"/>
              <w:ind w:firstLine="0" w:firstLineChars="0"/>
              <w:jc w:val="center"/>
              <w:rPr>
                <w:rFonts w:ascii="宋体" w:hAnsi="宋体"/>
                <w:szCs w:val="21"/>
              </w:rPr>
            </w:pPr>
            <w:r>
              <w:rPr>
                <w:rFonts w:ascii="宋体" w:hAnsi="宋体"/>
                <w:szCs w:val="21"/>
              </w:rPr>
              <w:t>2236</w:t>
            </w:r>
          </w:p>
        </w:tc>
        <w:tc>
          <w:tcPr>
            <w:tcW w:w="800"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8.33</w:t>
            </w:r>
          </w:p>
        </w:tc>
        <w:tc>
          <w:tcPr>
            <w:tcW w:w="551" w:type="pct"/>
            <w:vAlign w:val="center"/>
          </w:tcPr>
          <w:p>
            <w:pPr>
              <w:pStyle w:val="NormalIndent"/>
              <w:spacing w:line="360" w:lineRule="exact"/>
              <w:ind w:firstLine="0" w:firstLineChars="0"/>
              <w:jc w:val="center"/>
              <w:rPr>
                <w:rFonts w:ascii="宋体" w:hAnsi="宋体" w:hint="eastAsia"/>
                <w:szCs w:val="21"/>
              </w:rPr>
            </w:pPr>
            <w:r>
              <w:rPr>
                <w:rFonts w:ascii="宋体" w:hAnsi="宋体" w:hint="eastAsia"/>
                <w:szCs w:val="21"/>
              </w:rPr>
              <w:t>18633</w:t>
            </w:r>
          </w:p>
        </w:tc>
      </w:tr>
    </w:tbl>
    <w:p>
      <w:pPr>
        <w:pStyle w:val="NormalIndent"/>
        <w:ind w:firstLine="0" w:firstLineChars="0"/>
        <w:rPr>
          <w:spacing w:val="-20"/>
          <w:sz w:val="28"/>
          <w:szCs w:val="28"/>
        </w:rPr>
      </w:pPr>
      <w:r>
        <w:rPr>
          <w:rFonts w:ascii="宋体" w:hAnsi="宋体" w:hint="eastAsia"/>
          <w:sz w:val="28"/>
          <w:szCs w:val="28"/>
        </w:rPr>
        <w:t xml:space="preserve">   （4）</w:t>
      </w:r>
      <w:r>
        <w:rPr>
          <w:rFonts w:ascii="宋体" w:hAnsi="宋体" w:hint="eastAsia"/>
          <w:spacing w:val="-12"/>
          <w:sz w:val="28"/>
          <w:szCs w:val="28"/>
        </w:rPr>
        <w:t>梯田田面每隔</w:t>
      </w:r>
      <w:r>
        <w:rPr>
          <w:spacing w:val="-12"/>
          <w:sz w:val="28"/>
          <w:szCs w:val="28"/>
        </w:rPr>
        <w:t>30-50m</w:t>
      </w:r>
      <w:r>
        <w:rPr>
          <w:rFonts w:hAnsi="宋体"/>
          <w:spacing w:val="-12"/>
          <w:sz w:val="28"/>
          <w:szCs w:val="28"/>
        </w:rPr>
        <w:t>加筑一道横档，其高度略低于边埂。</w:t>
      </w:r>
    </w:p>
    <w:p>
      <w:pPr>
        <w:pStyle w:val="NormalIndent"/>
        <w:ind w:left="-2" w:firstLine="420" w:leftChars="-1" w:firstLineChars="150"/>
        <w:rPr>
          <w:sz w:val="28"/>
          <w:szCs w:val="28"/>
        </w:rPr>
      </w:pPr>
      <w:r>
        <w:rPr>
          <w:rFonts w:hAnsi="宋体"/>
          <w:sz w:val="28"/>
          <w:szCs w:val="28"/>
        </w:rPr>
        <w:t>（</w:t>
      </w:r>
      <w:r>
        <w:rPr>
          <w:sz w:val="28"/>
          <w:szCs w:val="28"/>
        </w:rPr>
        <w:t>5</w:t>
      </w:r>
      <w:r>
        <w:rPr>
          <w:rFonts w:hAnsi="宋体"/>
          <w:sz w:val="28"/>
          <w:szCs w:val="28"/>
        </w:rPr>
        <w:t>）田坎坚固稳定，干容重不低于原状土自然容重。</w:t>
      </w:r>
    </w:p>
    <w:p>
      <w:pPr>
        <w:pStyle w:val="NormalIndent"/>
        <w:ind w:firstLine="470" w:firstLineChars="168"/>
        <w:rPr>
          <w:rFonts w:ascii="宋体" w:hAnsi="宋体" w:hint="eastAsia"/>
          <w:sz w:val="28"/>
          <w:szCs w:val="28"/>
        </w:rPr>
      </w:pPr>
      <w:r>
        <w:rPr>
          <w:rFonts w:hAnsi="宋体"/>
          <w:sz w:val="28"/>
          <w:szCs w:val="28"/>
        </w:rPr>
        <w:t>（</w:t>
      </w:r>
      <w:r>
        <w:rPr>
          <w:sz w:val="28"/>
          <w:szCs w:val="28"/>
        </w:rPr>
        <w:t>6</w:t>
      </w:r>
      <w:r>
        <w:rPr>
          <w:rFonts w:hAnsi="宋体"/>
          <w:sz w:val="28"/>
          <w:szCs w:val="28"/>
        </w:rPr>
        <w:t>）根据</w:t>
      </w:r>
      <w:r>
        <w:rPr>
          <w:rFonts w:hAnsi="宋体" w:hint="eastAsia"/>
          <w:sz w:val="28"/>
          <w:szCs w:val="28"/>
          <w:lang w:eastAsia="zh-CN"/>
        </w:rPr>
        <w:t>相关项目</w:t>
      </w:r>
      <w:r>
        <w:rPr>
          <w:rFonts w:hAnsi="宋体"/>
          <w:sz w:val="28"/>
          <w:szCs w:val="28"/>
        </w:rPr>
        <w:t>区规划梯田发展成为水浇地田面的纵坡应设计为</w:t>
      </w:r>
      <w:r>
        <w:rPr>
          <w:sz w:val="28"/>
          <w:szCs w:val="28"/>
        </w:rPr>
        <w:t>1/500</w:t>
      </w:r>
      <w:r>
        <w:rPr>
          <w:rFonts w:ascii="宋体" w:hAnsi="宋体" w:hint="eastAsia"/>
          <w:sz w:val="28"/>
          <w:szCs w:val="28"/>
        </w:rPr>
        <w:t>。</w:t>
      </w:r>
    </w:p>
    <w:p>
      <w:pPr>
        <w:pStyle w:val="Heading3"/>
        <w:numPr>
          <w:ilvl w:val="0"/>
          <w:numId w:val="0"/>
        </w:numPr>
        <w:rPr>
          <w:rFonts w:ascii="Times New Roman" w:hAnsi="Times New Roman" w:hint="eastAsia"/>
        </w:rPr>
      </w:pPr>
      <w:bookmarkStart w:id="1" w:name="_Toc286684030"/>
      <w:r>
        <w:rPr>
          <w:rFonts w:ascii="Times New Roman" w:hAnsi="Times New Roman" w:hint="eastAsia"/>
        </w:rPr>
        <w:t>5.3.3水窖设计</w:t>
      </w:r>
    </w:p>
    <w:bookmarkEnd w:id="1"/>
    <w:p>
      <w:pPr>
        <w:pStyle w:val="Normal0"/>
        <w:rPr>
          <w:rFonts w:ascii="宋体" w:hAnsi="宋体" w:hint="eastAsia"/>
          <w:sz w:val="28"/>
          <w:szCs w:val="28"/>
        </w:rPr>
      </w:pPr>
      <w:r>
        <w:rPr>
          <w:rFonts w:ascii="宋体" w:hAnsi="宋体" w:hint="eastAsia"/>
          <w:sz w:val="28"/>
          <w:szCs w:val="28"/>
        </w:rPr>
        <w:t>4.2.1工程总体布局设计</w:t>
      </w:r>
    </w:p>
    <w:p>
      <w:pPr>
        <w:pStyle w:val="Normal0"/>
        <w:ind w:firstLine="630" w:firstLineChars="225"/>
        <w:rPr>
          <w:rFonts w:hint="eastAsia"/>
          <w:sz w:val="28"/>
          <w:szCs w:val="28"/>
        </w:rPr>
      </w:pPr>
      <w:r>
        <w:rPr>
          <w:rFonts w:hint="eastAsia"/>
          <w:sz w:val="28"/>
          <w:szCs w:val="28"/>
        </w:rPr>
        <w:t>座水点种集雨水窖由集雨场、水窖、辅助设施组成，集雨场汇集雨水经引水渠进入沉沙池，沉淀后又经进水口进入窖体，为防止杂物流入，在沉沙池进水口设拦污栅，在窖体的底部设有出水闸阀，利用自流进行灌溉。</w:t>
      </w:r>
    </w:p>
    <w:p>
      <w:pPr>
        <w:pStyle w:val="Normal0"/>
        <w:rPr>
          <w:rFonts w:ascii="宋体" w:hAnsi="宋体" w:hint="eastAsia"/>
          <w:sz w:val="28"/>
          <w:szCs w:val="28"/>
        </w:rPr>
      </w:pPr>
      <w:r>
        <w:rPr>
          <w:rFonts w:ascii="宋体" w:hAnsi="宋体" w:hint="eastAsia"/>
          <w:sz w:val="28"/>
          <w:szCs w:val="28"/>
        </w:rPr>
        <w:t>4.2.1.1</w:t>
      </w:r>
      <w:r>
        <w:rPr>
          <w:rFonts w:ascii="宋体" w:hAnsi="宋体"/>
          <w:sz w:val="28"/>
          <w:szCs w:val="28"/>
        </w:rPr>
        <w:t>需水</w:t>
      </w:r>
      <w:r>
        <w:rPr>
          <w:rFonts w:ascii="宋体" w:hAnsi="宋体" w:hint="eastAsia"/>
          <w:sz w:val="28"/>
          <w:szCs w:val="28"/>
        </w:rPr>
        <w:t>量</w:t>
      </w:r>
      <w:r>
        <w:rPr>
          <w:rFonts w:ascii="宋体" w:hAnsi="宋体"/>
          <w:sz w:val="28"/>
          <w:szCs w:val="28"/>
        </w:rPr>
        <w:t>分析</w:t>
      </w:r>
    </w:p>
    <w:p>
      <w:pPr>
        <w:pStyle w:val="Normal0"/>
        <w:ind w:firstLine="560" w:firstLineChars="200"/>
        <w:rPr>
          <w:rFonts w:ascii="宋体" w:hAnsi="宋体" w:hint="eastAsia"/>
          <w:sz w:val="28"/>
          <w:szCs w:val="28"/>
        </w:rPr>
        <w:sectPr>
          <w:headerReference w:type="default" r:id="rId68"/>
          <w:footerReference w:type="default" r:id="rId69"/>
          <w:type w:val="nextPage"/>
          <w:pgSz w:w="11907" w:h="16840"/>
          <w:pgMar w:top="1701" w:right="1418" w:bottom="1418" w:left="1418" w:header="1417" w:footer="567" w:gutter="567"/>
          <w:pgNumType w:start="9"/>
          <w:cols w:num="1" w:space="720"/>
          <w:titlePg w:val="0"/>
          <w:docGrid w:type="lines" w:linePitch="312" w:charSpace="0"/>
        </w:sectPr>
      </w:pPr>
      <w:r>
        <w:rPr>
          <w:rFonts w:ascii="宋体" w:hAnsi="宋体" w:hint="eastAsia"/>
          <w:sz w:val="28"/>
          <w:szCs w:val="28"/>
        </w:rPr>
        <w:t>雨水集蓄利用分为坐水点种用水和灌溉用水，坐水点种为一次性点浇，根据当地坐水点种经验，灌水量为5m</w:t>
      </w:r>
      <w:r>
        <w:rPr>
          <w:rFonts w:ascii="宋体" w:hAnsi="宋体" w:hint="eastAsia"/>
          <w:sz w:val="28"/>
          <w:szCs w:val="28"/>
          <w:vertAlign w:val="superscript"/>
        </w:rPr>
        <w:t>3</w:t>
      </w:r>
      <w:r>
        <w:rPr>
          <w:rFonts w:ascii="宋体" w:hAnsi="宋体" w:hint="eastAsia"/>
          <w:sz w:val="28"/>
          <w:szCs w:val="28"/>
        </w:rPr>
        <w:t>/亩，灌溉</w:t>
      </w:r>
      <w:r>
        <w:rPr>
          <w:rFonts w:ascii="宋体" w:hAnsi="宋体"/>
          <w:sz w:val="28"/>
          <w:szCs w:val="28"/>
        </w:rPr>
        <w:t>采用</w:t>
      </w:r>
      <w:r>
        <w:rPr>
          <w:rFonts w:ascii="宋体" w:hAnsi="宋体" w:hint="eastAsia"/>
          <w:sz w:val="28"/>
          <w:szCs w:val="28"/>
        </w:rPr>
        <w:t>人工浇</w:t>
      </w:r>
    </w:p>
    <w:p>
      <w:pPr>
        <w:pStyle w:val="Normal0"/>
        <w:ind w:firstLine="560" w:firstLineChars="200"/>
        <w:rPr>
          <w:rFonts w:ascii="宋体" w:hAnsi="宋体" w:hint="eastAsia"/>
          <w:sz w:val="28"/>
          <w:szCs w:val="28"/>
        </w:rPr>
      </w:pPr>
      <w:r>
        <w:rPr>
          <w:rFonts w:ascii="宋体" w:hAnsi="宋体"/>
          <w:sz w:val="28"/>
          <w:szCs w:val="28"/>
        </w:rPr>
        <w:t>灌溉方法，农业灌溉用水量在节水灌溉的前提下，按非充分灌溉(限额灌溉)的原理，根据当地或类似地区作物需水量以及本地区作物生育期的降雨量确定</w:t>
      </w:r>
      <w:r>
        <w:rPr>
          <w:rFonts w:ascii="宋体" w:hAnsi="宋体" w:hint="eastAsia"/>
          <w:sz w:val="28"/>
          <w:szCs w:val="28"/>
        </w:rPr>
        <w:t>，灌溉用水量为50m</w:t>
      </w:r>
      <w:r>
        <w:rPr>
          <w:rFonts w:ascii="宋体" w:hAnsi="宋体" w:hint="eastAsia"/>
          <w:sz w:val="28"/>
          <w:szCs w:val="28"/>
          <w:vertAlign w:val="superscript"/>
        </w:rPr>
        <w:t>3</w:t>
      </w:r>
      <w:r>
        <w:rPr>
          <w:rFonts w:ascii="宋体" w:hAnsi="宋体" w:hint="eastAsia"/>
          <w:sz w:val="28"/>
          <w:szCs w:val="28"/>
        </w:rPr>
        <w:t>/亩。按照设计浇灌面积，每处工程控制坐水点种5亩，灌溉0.5亩，全年总用水量50m</w:t>
      </w:r>
      <w:r>
        <w:rPr>
          <w:rFonts w:ascii="宋体" w:hAnsi="宋体" w:hint="eastAsia"/>
          <w:sz w:val="28"/>
          <w:szCs w:val="28"/>
          <w:vertAlign w:val="superscript"/>
        </w:rPr>
        <w:t>3</w:t>
      </w:r>
      <w:r>
        <w:rPr>
          <w:rFonts w:ascii="宋体" w:hAnsi="宋体" w:hint="eastAsia"/>
          <w:sz w:val="28"/>
          <w:szCs w:val="28"/>
        </w:rPr>
        <w:t>。</w:t>
      </w:r>
    </w:p>
    <w:p>
      <w:pPr>
        <w:pStyle w:val="Normal0"/>
        <w:rPr>
          <w:rFonts w:ascii="宋体" w:hAnsi="宋体" w:hint="eastAsia"/>
          <w:sz w:val="28"/>
          <w:szCs w:val="28"/>
        </w:rPr>
      </w:pPr>
      <w:r>
        <w:rPr>
          <w:rFonts w:ascii="宋体" w:hAnsi="宋体" w:hint="eastAsia"/>
          <w:sz w:val="28"/>
          <w:szCs w:val="28"/>
        </w:rPr>
        <w:t>4.</w:t>
      </w:r>
      <w:r>
        <w:rPr>
          <w:rFonts w:ascii="宋体" w:hAnsi="宋体"/>
          <w:sz w:val="28"/>
          <w:szCs w:val="28"/>
        </w:rPr>
        <w:t>2</w:t>
      </w:r>
      <w:r>
        <w:rPr>
          <w:rFonts w:ascii="宋体" w:hAnsi="宋体" w:hint="eastAsia"/>
          <w:sz w:val="28"/>
          <w:szCs w:val="28"/>
        </w:rPr>
        <w:t>.1.2</w:t>
      </w:r>
      <w:r>
        <w:rPr>
          <w:rFonts w:ascii="宋体" w:hAnsi="宋体"/>
          <w:sz w:val="28"/>
          <w:szCs w:val="28"/>
        </w:rPr>
        <w:t>全年可集雨量</w:t>
      </w:r>
    </w:p>
    <w:p>
      <w:pPr>
        <w:pStyle w:val="Normal0"/>
        <w:ind w:firstLine="560" w:firstLineChars="200"/>
        <w:rPr>
          <w:rFonts w:ascii="宋体" w:hAnsi="宋体" w:hint="eastAsia"/>
          <w:sz w:val="28"/>
          <w:szCs w:val="28"/>
        </w:rPr>
      </w:pPr>
      <w:r>
        <w:rPr>
          <w:rFonts w:ascii="宋体" w:hAnsi="宋体" w:hint="eastAsia"/>
          <w:sz w:val="28"/>
          <w:szCs w:val="28"/>
        </w:rPr>
        <w:t>根据清水河县气象资料计算，清水河县的降水资源，可以满足</w:t>
      </w:r>
      <w:r>
        <w:rPr>
          <w:rFonts w:ascii="宋体" w:hAnsi="宋体" w:hint="eastAsia"/>
          <w:sz w:val="28"/>
          <w:szCs w:val="28"/>
          <w:lang w:eastAsia="zh-CN"/>
        </w:rPr>
        <w:t>相关项目</w:t>
      </w:r>
      <w:r>
        <w:rPr>
          <w:rFonts w:ascii="宋体" w:hAnsi="宋体" w:hint="eastAsia"/>
          <w:sz w:val="28"/>
          <w:szCs w:val="28"/>
        </w:rPr>
        <w:t>规划所需的灌溉用水，本县降水时空分布不均，尤其在年内时间分布上更具特点，6～9月份降水量占全年降水量的78%，并且多以大强度、短历时暴雨出现，多年平均径流系数为0.4，路面、植被稀疏的荒坡产流更大。在本地区200m</w:t>
      </w:r>
      <w:r>
        <w:rPr>
          <w:rFonts w:ascii="宋体" w:hAnsi="宋体" w:hint="eastAsia"/>
          <w:sz w:val="28"/>
          <w:szCs w:val="28"/>
          <w:vertAlign w:val="superscript"/>
        </w:rPr>
        <w:t>2</w:t>
      </w:r>
      <w:r>
        <w:rPr>
          <w:rFonts w:ascii="宋体" w:hAnsi="宋体" w:hint="eastAsia"/>
          <w:sz w:val="28"/>
          <w:szCs w:val="28"/>
        </w:rPr>
        <w:t>的集水路面或400m</w:t>
      </w:r>
      <w:r>
        <w:rPr>
          <w:rFonts w:ascii="宋体" w:hAnsi="宋体" w:hint="eastAsia"/>
          <w:sz w:val="28"/>
          <w:szCs w:val="28"/>
          <w:vertAlign w:val="superscript"/>
        </w:rPr>
        <w:t>2</w:t>
      </w:r>
      <w:r>
        <w:rPr>
          <w:rFonts w:ascii="宋体" w:hAnsi="宋体" w:hint="eastAsia"/>
          <w:sz w:val="28"/>
          <w:szCs w:val="28"/>
        </w:rPr>
        <w:t>的荒坡面（≥5°），一般年份（保证率50%）即可保证一眼容积为30～50 m</w:t>
      </w:r>
      <w:r>
        <w:rPr>
          <w:rFonts w:ascii="宋体" w:hAnsi="宋体" w:hint="eastAsia"/>
          <w:sz w:val="28"/>
          <w:szCs w:val="28"/>
          <w:vertAlign w:val="superscript"/>
        </w:rPr>
        <w:t>3</w:t>
      </w:r>
      <w:r>
        <w:rPr>
          <w:rFonts w:ascii="宋体" w:hAnsi="宋体" w:hint="eastAsia"/>
          <w:sz w:val="28"/>
          <w:szCs w:val="28"/>
        </w:rPr>
        <w:t>的水窖的蓄水要求。</w:t>
      </w:r>
    </w:p>
    <w:p>
      <w:pPr>
        <w:pStyle w:val="Normal0"/>
        <w:ind w:firstLine="840" w:firstLineChars="300"/>
        <w:rPr>
          <w:rFonts w:ascii="宋体" w:hAnsi="宋体"/>
          <w:sz w:val="28"/>
          <w:szCs w:val="28"/>
        </w:rPr>
      </w:pPr>
      <w:r>
        <w:rPr>
          <w:rFonts w:ascii="宋体" w:hAnsi="宋体"/>
          <w:sz w:val="28"/>
          <w:szCs w:val="28"/>
        </w:rPr>
        <w:t>蓄水设施的总容积按下式计算：</w:t>
      </w:r>
    </w:p>
    <w:p>
      <w:pPr>
        <w:pStyle w:val="Normal0"/>
        <w:ind w:firstLine="1120" w:firstLineChars="400"/>
        <w:rPr>
          <w:rFonts w:ascii="宋体" w:hAnsi="宋体"/>
          <w:sz w:val="28"/>
          <w:szCs w:val="28"/>
        </w:rPr>
      </w:pPr>
      <w:r>
        <w:rPr>
          <w:rFonts w:ascii="宋体" w:hAnsi="宋体"/>
          <w:sz w:val="28"/>
          <w:szCs w:val="28"/>
        </w:rPr>
        <w:t>V=aWmax</w:t>
      </w:r>
    </w:p>
    <w:p>
      <w:pPr>
        <w:pStyle w:val="Normal0"/>
        <w:ind w:firstLine="420" w:firstLineChars="150"/>
        <w:rPr>
          <w:rFonts w:ascii="宋体" w:hAnsi="宋体" w:hint="eastAsia"/>
          <w:sz w:val="28"/>
          <w:szCs w:val="28"/>
        </w:rPr>
      </w:pPr>
      <w:r>
        <w:rPr>
          <w:rFonts w:ascii="宋体" w:hAnsi="宋体"/>
          <w:sz w:val="28"/>
          <w:szCs w:val="28"/>
        </w:rPr>
        <w:t>式中</w:t>
      </w:r>
      <w:r>
        <w:rPr>
          <w:rFonts w:ascii="宋体" w:hAnsi="宋体" w:hint="eastAsia"/>
          <w:sz w:val="28"/>
          <w:szCs w:val="28"/>
        </w:rPr>
        <w:t xml:space="preserve"> </w:t>
      </w:r>
      <w:r>
        <w:rPr>
          <w:rFonts w:ascii="宋体" w:hAnsi="宋体"/>
          <w:sz w:val="28"/>
          <w:szCs w:val="28"/>
        </w:rPr>
        <w:t>V——蓄水设施总容积，m</w:t>
      </w:r>
      <w:r>
        <w:rPr>
          <w:rFonts w:ascii="宋体" w:hAnsi="宋体"/>
          <w:sz w:val="28"/>
          <w:szCs w:val="28"/>
          <w:vertAlign w:val="superscript"/>
        </w:rPr>
        <w:t>3</w:t>
      </w:r>
      <w:r>
        <w:rPr>
          <w:rFonts w:ascii="宋体" w:hAnsi="宋体" w:hint="eastAsia"/>
          <w:sz w:val="28"/>
          <w:szCs w:val="28"/>
        </w:rPr>
        <w:t>；</w:t>
      </w:r>
    </w:p>
    <w:p>
      <w:pPr>
        <w:pStyle w:val="Normal0"/>
        <w:ind w:left="979" w:leftChars="466"/>
        <w:rPr>
          <w:rFonts w:ascii="宋体" w:hAnsi="宋体" w:hint="eastAsia"/>
          <w:sz w:val="28"/>
          <w:szCs w:val="28"/>
        </w:rPr>
      </w:pPr>
      <w:r>
        <w:rPr>
          <w:rFonts w:ascii="宋体" w:hAnsi="宋体"/>
          <w:sz w:val="28"/>
          <w:szCs w:val="28"/>
        </w:rPr>
        <w:t>a——容积系数，取0.8；</w:t>
      </w:r>
      <w:r>
        <w:rPr>
          <w:rFonts w:ascii="宋体" w:hAnsi="宋体"/>
          <w:sz w:val="28"/>
          <w:szCs w:val="28"/>
        </w:rPr>
        <w:br/>
      </w:r>
      <w:r>
        <w:rPr>
          <w:rFonts w:ascii="宋体" w:hAnsi="宋体"/>
          <w:sz w:val="28"/>
          <w:szCs w:val="28"/>
        </w:rPr>
        <w:t>Wmax——不同保证率年份用水量中最大值。</w:t>
      </w:r>
      <w:r>
        <w:rPr>
          <w:rFonts w:ascii="宋体" w:hAnsi="宋体"/>
          <w:sz w:val="28"/>
          <w:szCs w:val="28"/>
        </w:rPr>
        <w:br/>
      </w:r>
      <w:r>
        <w:rPr>
          <w:rFonts w:ascii="宋体" w:hAnsi="宋体" w:hint="eastAsia"/>
          <w:sz w:val="28"/>
          <w:szCs w:val="28"/>
        </w:rPr>
        <w:t xml:space="preserve">计算得 </w:t>
      </w:r>
    </w:p>
    <w:p>
      <w:pPr>
        <w:pStyle w:val="Normal0"/>
        <w:ind w:firstLine="980" w:firstLineChars="350"/>
        <w:rPr>
          <w:rFonts w:hint="eastAsia"/>
          <w:sz w:val="28"/>
          <w:szCs w:val="28"/>
        </w:rPr>
      </w:pPr>
      <w:r>
        <w:rPr>
          <w:rFonts w:ascii="宋体" w:hAnsi="宋体" w:hint="eastAsia"/>
          <w:sz w:val="28"/>
          <w:szCs w:val="28"/>
        </w:rPr>
        <w:t>蓄水设施水窖的容积≥40</w:t>
      </w:r>
      <w:r>
        <w:rPr>
          <w:rFonts w:ascii="宋体" w:hAnsi="宋体"/>
          <w:sz w:val="28"/>
          <w:szCs w:val="28"/>
        </w:rPr>
        <w:t>m</w:t>
      </w:r>
      <w:r>
        <w:rPr>
          <w:rFonts w:ascii="宋体" w:hAnsi="宋体"/>
          <w:sz w:val="28"/>
          <w:szCs w:val="28"/>
          <w:vertAlign w:val="superscript"/>
        </w:rPr>
        <w:t>3</w:t>
      </w:r>
    </w:p>
    <w:p>
      <w:pPr>
        <w:pStyle w:val="Normal0"/>
        <w:spacing w:line="360" w:lineRule="auto"/>
        <w:rPr>
          <w:rFonts w:ascii="宋体" w:hAnsi="宋体" w:hint="eastAsia"/>
          <w:sz w:val="28"/>
          <w:szCs w:val="28"/>
        </w:rPr>
      </w:pPr>
      <w:r>
        <w:rPr>
          <w:rFonts w:ascii="宋体" w:hAnsi="宋体" w:hint="eastAsia"/>
          <w:sz w:val="28"/>
          <w:szCs w:val="28"/>
        </w:rPr>
        <w:t>4.2.1.3工程布设</w:t>
      </w:r>
    </w:p>
    <w:p>
      <w:pPr>
        <w:pStyle w:val="Normal0"/>
        <w:spacing w:line="360" w:lineRule="auto"/>
        <w:ind w:firstLine="560" w:firstLineChars="200"/>
        <w:rPr>
          <w:rFonts w:ascii="宋体" w:hAnsi="宋体" w:hint="eastAsia"/>
          <w:sz w:val="28"/>
          <w:szCs w:val="28"/>
        </w:rPr>
        <w:sectPr>
          <w:headerReference w:type="default" r:id="rId70"/>
          <w:footerReference w:type="default" r:id="rId71"/>
          <w:type w:val="nextPage"/>
          <w:pgSz w:w="11907" w:h="16840"/>
          <w:pgMar w:top="1701" w:right="1418" w:bottom="1418" w:left="1418" w:header="1417" w:footer="567" w:gutter="567"/>
          <w:pgNumType w:start="10"/>
          <w:cols w:num="1" w:space="720"/>
          <w:titlePg w:val="0"/>
          <w:docGrid w:type="lines" w:linePitch="312" w:charSpace="0"/>
        </w:sectPr>
      </w:pPr>
      <w:r>
        <w:rPr>
          <w:rFonts w:ascii="宋体" w:hAnsi="宋体" w:hint="eastAsia"/>
          <w:sz w:val="28"/>
          <w:szCs w:val="28"/>
        </w:rPr>
        <w:t>根据现目区地形及耕地分布特点，工程主要布设在</w:t>
      </w:r>
      <w:r>
        <w:rPr>
          <w:rFonts w:ascii="宋体" w:hAnsi="宋体"/>
          <w:sz w:val="28"/>
          <w:szCs w:val="28"/>
        </w:rPr>
        <w:t>缓坡地</w:t>
      </w:r>
      <w:r>
        <w:rPr>
          <w:rFonts w:ascii="宋体" w:hAnsi="宋体" w:hint="eastAsia"/>
          <w:sz w:val="28"/>
          <w:szCs w:val="28"/>
        </w:rPr>
        <w:t>的</w:t>
      </w:r>
      <w:r>
        <w:rPr>
          <w:rFonts w:ascii="宋体" w:hAnsi="宋体"/>
          <w:sz w:val="28"/>
          <w:szCs w:val="28"/>
        </w:rPr>
        <w:t>农业耕作区</w:t>
      </w:r>
      <w:r>
        <w:rPr>
          <w:rFonts w:ascii="宋体" w:hAnsi="宋体" w:hint="eastAsia"/>
          <w:sz w:val="28"/>
          <w:szCs w:val="28"/>
        </w:rPr>
        <w:t>，利用窖地高差，实现自流灌溉，</w:t>
      </w:r>
      <w:r>
        <w:rPr>
          <w:rFonts w:ascii="宋体" w:hAnsi="宋体"/>
          <w:sz w:val="28"/>
          <w:szCs w:val="28"/>
        </w:rPr>
        <w:t>窖群布设在田</w:t>
      </w:r>
      <w:r>
        <w:rPr>
          <w:rFonts w:ascii="宋体" w:hAnsi="宋体" w:hint="eastAsia"/>
          <w:sz w:val="28"/>
          <w:szCs w:val="28"/>
        </w:rPr>
        <w:t>间道</w:t>
      </w:r>
    </w:p>
    <w:p>
      <w:pPr>
        <w:pStyle w:val="Normal0"/>
        <w:spacing w:line="360" w:lineRule="auto"/>
        <w:ind w:firstLine="560" w:firstLineChars="200"/>
        <w:rPr>
          <w:rFonts w:ascii="宋体" w:hAnsi="宋体" w:hint="eastAsia"/>
          <w:sz w:val="28"/>
          <w:szCs w:val="28"/>
        </w:rPr>
      </w:pPr>
      <w:r>
        <w:rPr>
          <w:rFonts w:ascii="宋体" w:hAnsi="宋体"/>
          <w:sz w:val="28"/>
          <w:szCs w:val="28"/>
        </w:rPr>
        <w:t>路两侧的农田内，水窖数量的多少要根据路面产流、田面蓄满产流的水量多少合理布局，避免过密布置。</w:t>
      </w:r>
      <w:r>
        <w:rPr>
          <w:rFonts w:ascii="宋体" w:hAnsi="宋体"/>
          <w:sz w:val="28"/>
          <w:szCs w:val="28"/>
        </w:rPr>
        <w:br/>
      </w:r>
      <w:r>
        <w:rPr>
          <w:rFonts w:ascii="宋体" w:hAnsi="宋体"/>
          <w:sz w:val="28"/>
          <w:szCs w:val="28"/>
        </w:rPr>
        <w:t>  </w:t>
      </w:r>
      <w:r>
        <w:rPr>
          <w:rFonts w:ascii="宋体" w:hAnsi="宋体" w:hint="eastAsia"/>
          <w:sz w:val="28"/>
          <w:szCs w:val="28"/>
        </w:rPr>
        <w:t xml:space="preserve">  利用</w:t>
      </w:r>
      <w:r>
        <w:rPr>
          <w:rFonts w:ascii="宋体" w:hAnsi="宋体"/>
          <w:sz w:val="28"/>
          <w:szCs w:val="28"/>
        </w:rPr>
        <w:t>田间路面</w:t>
      </w:r>
      <w:r>
        <w:rPr>
          <w:rFonts w:ascii="宋体" w:hAnsi="宋体" w:hint="eastAsia"/>
          <w:sz w:val="28"/>
          <w:szCs w:val="28"/>
        </w:rPr>
        <w:t>作为</w:t>
      </w:r>
      <w:r>
        <w:rPr>
          <w:rFonts w:ascii="宋体" w:hAnsi="宋体"/>
          <w:sz w:val="28"/>
          <w:szCs w:val="28"/>
        </w:rPr>
        <w:t>集水场所</w:t>
      </w:r>
      <w:r>
        <w:rPr>
          <w:rFonts w:ascii="宋体" w:hAnsi="宋体" w:hint="eastAsia"/>
          <w:sz w:val="28"/>
          <w:szCs w:val="28"/>
        </w:rPr>
        <w:t>，</w:t>
      </w:r>
      <w:r>
        <w:rPr>
          <w:rFonts w:ascii="宋体" w:hAnsi="宋体"/>
          <w:sz w:val="28"/>
          <w:szCs w:val="28"/>
        </w:rPr>
        <w:t>水窖的位置应选在路界外的农田内，修建好引水渠、沉沙池等配套设施。</w:t>
      </w:r>
      <w:r>
        <w:rPr>
          <w:rFonts w:ascii="宋体" w:hAnsi="宋体"/>
          <w:sz w:val="28"/>
          <w:szCs w:val="28"/>
        </w:rPr>
        <w:br/>
      </w:r>
      <w:r>
        <w:rPr>
          <w:rFonts w:ascii="宋体" w:hAnsi="宋体"/>
          <w:sz w:val="28"/>
          <w:szCs w:val="28"/>
        </w:rPr>
        <w:t>  </w:t>
      </w:r>
      <w:r>
        <w:rPr>
          <w:rFonts w:ascii="宋体" w:hAnsi="宋体" w:hint="eastAsia"/>
          <w:sz w:val="28"/>
          <w:szCs w:val="28"/>
        </w:rPr>
        <w:t xml:space="preserve">  </w:t>
      </w:r>
      <w:r>
        <w:rPr>
          <w:rFonts w:ascii="宋体" w:hAnsi="宋体" w:hint="eastAsia"/>
          <w:sz w:val="28"/>
          <w:szCs w:val="28"/>
          <w:lang w:eastAsia="zh-CN"/>
        </w:rPr>
        <w:t>相关项目</w:t>
      </w:r>
      <w:r>
        <w:rPr>
          <w:rFonts w:ascii="宋体" w:hAnsi="宋体" w:hint="eastAsia"/>
          <w:sz w:val="28"/>
          <w:szCs w:val="28"/>
        </w:rPr>
        <w:t>区</w:t>
      </w:r>
      <w:r>
        <w:rPr>
          <w:rFonts w:ascii="宋体" w:hAnsi="宋体"/>
          <w:sz w:val="28"/>
          <w:szCs w:val="28"/>
        </w:rPr>
        <w:t>农户多分散居住，房舍为平台地，旁边建有麦场，房前多有菜地、农地。可充分利用庭院地面、麦场、屋顶作为集水场地，在庭院外打窖灌溉附近的农田</w:t>
      </w:r>
      <w:r>
        <w:rPr>
          <w:rFonts w:ascii="宋体" w:hAnsi="宋体" w:hint="eastAsia"/>
          <w:sz w:val="28"/>
          <w:szCs w:val="28"/>
        </w:rPr>
        <w:t>。</w:t>
      </w:r>
    </w:p>
    <w:p>
      <w:pPr>
        <w:pStyle w:val="Normal0"/>
        <w:tabs>
          <w:tab w:val="left" w:pos="0"/>
        </w:tabs>
        <w:rPr>
          <w:rFonts w:ascii="宋体" w:hAnsi="宋体" w:hint="eastAsia"/>
          <w:sz w:val="28"/>
          <w:szCs w:val="28"/>
        </w:rPr>
      </w:pPr>
      <w:r>
        <w:rPr>
          <w:rFonts w:ascii="宋体" w:hAnsi="宋体" w:hint="eastAsia"/>
          <w:sz w:val="28"/>
          <w:szCs w:val="28"/>
        </w:rPr>
        <w:t xml:space="preserve">4.2.2集雨场 </w:t>
      </w:r>
    </w:p>
    <w:p>
      <w:pPr>
        <w:pStyle w:val="Normal0"/>
        <w:tabs>
          <w:tab w:val="left" w:pos="0"/>
        </w:tabs>
        <w:ind w:firstLine="560" w:firstLineChars="200"/>
        <w:rPr>
          <w:rFonts w:ascii="宋体" w:hAnsi="宋体" w:hint="eastAsia"/>
          <w:sz w:val="28"/>
          <w:szCs w:val="28"/>
        </w:rPr>
      </w:pPr>
      <w:r>
        <w:rPr>
          <w:rFonts w:ascii="ˎ̥" w:hAnsi="ˎ̥" w:cs="宋体"/>
          <w:color w:val="000000"/>
          <w:kern w:val="0"/>
          <w:sz w:val="28"/>
          <w:szCs w:val="28"/>
        </w:rPr>
        <w:t>集雨场工程的材料选择应遵循因地制宜、就地取材、提高集流效率、降低工程造价的原则进行。主要可采用</w:t>
      </w:r>
      <w:r>
        <w:rPr>
          <w:rFonts w:ascii="ˎ̥" w:hAnsi="ˎ̥" w:cs="宋体" w:hint="eastAsia"/>
          <w:color w:val="000000"/>
          <w:kern w:val="0"/>
          <w:sz w:val="28"/>
          <w:szCs w:val="28"/>
        </w:rPr>
        <w:t>砌石抹</w:t>
      </w:r>
      <w:r>
        <w:rPr>
          <w:rFonts w:ascii="ˎ̥" w:hAnsi="ˎ̥" w:cs="宋体"/>
          <w:color w:val="000000"/>
          <w:kern w:val="0"/>
          <w:sz w:val="28"/>
          <w:szCs w:val="28"/>
        </w:rPr>
        <w:t>面、屋面、庭院、场院、公路、土路面、天然坡面等</w:t>
      </w:r>
      <w:r>
        <w:rPr>
          <w:rFonts w:ascii="ˎ̥" w:hAnsi="ˎ̥" w:cs="宋体" w:hint="eastAsia"/>
          <w:color w:val="000000"/>
          <w:kern w:val="0"/>
          <w:sz w:val="28"/>
          <w:szCs w:val="28"/>
        </w:rPr>
        <w:t>。</w:t>
      </w:r>
      <w:r>
        <w:rPr>
          <w:rFonts w:ascii="宋体" w:hAnsi="宋体" w:hint="eastAsia"/>
          <w:sz w:val="28"/>
          <w:szCs w:val="28"/>
        </w:rPr>
        <w:t>集雨场是汇集降水径流的场地，集雨场有天然集雨和人工集雨两大类型，该工程在道路、场院附近及自然荒坡较为宽阔地带的蓄水工程以天然集雨面为主，其他地带采用人工硬化集雨场。</w:t>
      </w:r>
    </w:p>
    <w:p>
      <w:pPr>
        <w:pStyle w:val="Normal0"/>
        <w:tabs>
          <w:tab w:val="left" w:pos="0"/>
        </w:tabs>
        <w:rPr>
          <w:rFonts w:ascii="宋体" w:hAnsi="宋体" w:hint="eastAsia"/>
          <w:sz w:val="28"/>
          <w:szCs w:val="28"/>
        </w:rPr>
      </w:pPr>
      <w:r>
        <w:rPr>
          <w:rFonts w:ascii="宋体" w:hAnsi="宋体" w:hint="eastAsia"/>
          <w:sz w:val="28"/>
          <w:szCs w:val="28"/>
        </w:rPr>
        <w:t>4.2.2.1人工集雨场</w:t>
      </w:r>
    </w:p>
    <w:p>
      <w:pPr>
        <w:pStyle w:val="Normal0"/>
        <w:tabs>
          <w:tab w:val="left" w:pos="0"/>
        </w:tabs>
        <w:ind w:firstLine="560" w:firstLineChars="200"/>
        <w:rPr>
          <w:rFonts w:ascii="宋体" w:hAnsi="宋体" w:hint="eastAsia"/>
          <w:sz w:val="28"/>
          <w:szCs w:val="28"/>
        </w:rPr>
      </w:pPr>
      <w:r>
        <w:rPr>
          <w:rFonts w:ascii="宋体" w:hAnsi="宋体" w:hint="eastAsia"/>
          <w:sz w:val="28"/>
          <w:szCs w:val="28"/>
        </w:rPr>
        <w:t>根据本地区多年平均降雨量400mm，单窖储水量按40m</w:t>
      </w:r>
      <w:r>
        <w:rPr>
          <w:rFonts w:ascii="宋体" w:hAnsi="宋体" w:hint="eastAsia"/>
          <w:sz w:val="28"/>
          <w:szCs w:val="28"/>
          <w:vertAlign w:val="superscript"/>
        </w:rPr>
        <w:t xml:space="preserve">3 </w:t>
      </w:r>
      <w:r>
        <w:rPr>
          <w:rFonts w:ascii="宋体" w:hAnsi="宋体" w:hint="eastAsia"/>
          <w:sz w:val="28"/>
          <w:szCs w:val="28"/>
        </w:rPr>
        <w:t>，降水频率按P=75%的枯水年计，经计算，需设置集雨场面积150-200m</w:t>
      </w:r>
      <w:r>
        <w:rPr>
          <w:rFonts w:ascii="宋体" w:hAnsi="宋体" w:hint="eastAsia"/>
          <w:sz w:val="28"/>
          <w:szCs w:val="28"/>
          <w:vertAlign w:val="superscript"/>
        </w:rPr>
        <w:t>2</w:t>
      </w:r>
      <w:r>
        <w:rPr>
          <w:rFonts w:ascii="宋体" w:hAnsi="宋体" w:hint="eastAsia"/>
          <w:sz w:val="28"/>
          <w:szCs w:val="28"/>
        </w:rPr>
        <w:t>（平面参考尺寸为15×10m）。人工集雨场结构为浆砌石铺底，水泥砂浆抹面，主要材料为水泥、块石等当地材料，集雨场厚度为10cm，底面采用人工或机械压实。</w:t>
      </w:r>
    </w:p>
    <w:tbl>
      <w:tblPr>
        <w:tblStyle w:val="TableNormal"/>
        <w:tblW w:w="5000" w:type="pct"/>
        <w:tblInd w:w="0" w:type="dxa"/>
        <w:tblCellMar>
          <w:top w:w="0" w:type="dxa"/>
          <w:left w:w="108" w:type="dxa"/>
          <w:bottom w:w="0" w:type="dxa"/>
          <w:right w:w="108" w:type="dxa"/>
        </w:tblCellMar>
      </w:tblPr>
      <w:tblGrid>
        <w:gridCol w:w="2175"/>
        <w:gridCol w:w="2190"/>
        <w:gridCol w:w="4355"/>
      </w:tblGrid>
      <w:tr>
        <w:tblPrEx>
          <w:tblW w:w="5000" w:type="pct"/>
          <w:tblInd w:w="0" w:type="dxa"/>
          <w:tblCellMar>
            <w:top w:w="0" w:type="dxa"/>
            <w:left w:w="108" w:type="dxa"/>
            <w:bottom w:w="0" w:type="dxa"/>
            <w:right w:w="108" w:type="dxa"/>
          </w:tblCellMar>
        </w:tblPrEx>
        <w:trPr>
          <w:trHeight w:val="375"/>
        </w:trPr>
        <w:tc>
          <w:tcPr>
            <w:tcW w:w="5000" w:type="pct"/>
            <w:gridSpan w:val="3"/>
            <w:tcBorders>
              <w:top w:val="nil"/>
              <w:left w:val="nil"/>
              <w:bottom w:val="nil"/>
              <w:right w:val="nil"/>
            </w:tcBorders>
            <w:shd w:val="clear" w:color="auto" w:fill="auto"/>
            <w:noWrap/>
            <w:vAlign w:val="center"/>
          </w:tcPr>
          <w:p>
            <w:pPr>
              <w:pStyle w:val="Normal0"/>
              <w:widowControl/>
              <w:jc w:val="center"/>
              <w:rPr>
                <w:rFonts w:ascii="宋体" w:hAnsi="宋体" w:cs="宋体"/>
                <w:b/>
                <w:bCs/>
                <w:kern w:val="0"/>
                <w:sz w:val="28"/>
                <w:szCs w:val="28"/>
              </w:rPr>
            </w:pPr>
            <w:r>
              <w:rPr>
                <w:rFonts w:ascii="宋体" w:hAnsi="宋体" w:cs="宋体" w:hint="eastAsia"/>
                <w:b/>
                <w:bCs/>
                <w:kern w:val="0"/>
                <w:sz w:val="28"/>
                <w:szCs w:val="28"/>
              </w:rPr>
              <w:t>不同集雨面面积-集水量关系表</w:t>
            </w:r>
          </w:p>
        </w:tc>
      </w:tr>
      <w:tr>
        <w:tblPrEx>
          <w:tblW w:w="5000" w:type="pct"/>
          <w:tblInd w:w="0" w:type="dxa"/>
          <w:tblCellMar>
            <w:top w:w="0" w:type="dxa"/>
            <w:left w:w="108" w:type="dxa"/>
            <w:bottom w:w="0" w:type="dxa"/>
            <w:right w:w="108" w:type="dxa"/>
          </w:tblCellMar>
        </w:tblPrEx>
        <w:trPr>
          <w:trHeight w:val="330"/>
        </w:trPr>
        <w:tc>
          <w:tcPr>
            <w:tcW w:w="1247" w:type="pct"/>
            <w:tcBorders>
              <w:top w:val="single" w:sz="4" w:space="0" w:color="auto"/>
              <w:left w:val="single" w:sz="4" w:space="0" w:color="auto"/>
              <w:bottom w:val="single" w:sz="4" w:space="0" w:color="auto"/>
              <w:right w:val="single" w:sz="4" w:space="0" w:color="auto"/>
            </w:tcBorders>
            <w:shd w:val="clear" w:color="auto" w:fill="auto"/>
            <w:vAlign w:val="center"/>
          </w:tcPr>
          <w:p>
            <w:pPr>
              <w:pStyle w:val="Normal0"/>
              <w:widowControl/>
              <w:spacing w:after="0"/>
              <w:jc w:val="center"/>
              <w:rPr>
                <w:rFonts w:ascii="宋体" w:hAnsi="宋体" w:cs="宋体"/>
                <w:kern w:val="0"/>
                <w:sz w:val="24"/>
              </w:rPr>
            </w:pPr>
            <w:r>
              <w:rPr>
                <w:rFonts w:ascii="宋体" w:hAnsi="宋体" w:cs="宋体" w:hint="eastAsia"/>
                <w:kern w:val="0"/>
                <w:sz w:val="24"/>
              </w:rPr>
              <w:t>集水量</w:t>
            </w:r>
            <w:r>
              <w:rPr>
                <w:rFonts w:ascii="宋体" w:hAnsi="宋体" w:cs="宋体" w:hint="eastAsia"/>
                <w:kern w:val="0"/>
                <w:sz w:val="24"/>
              </w:rPr>
              <w:br/>
            </w:r>
          </w:p>
        </w:tc>
        <w:tc>
          <w:tcPr>
            <w:tcW w:w="1256" w:type="pct"/>
            <w:tcBorders>
              <w:top w:val="single" w:sz="4" w:space="0" w:color="auto"/>
              <w:left w:val="single" w:sz="4" w:space="0" w:color="auto"/>
              <w:bottom w:val="single" w:sz="4" w:space="0" w:color="auto"/>
              <w:right w:val="single" w:sz="4" w:space="0" w:color="auto"/>
            </w:tcBorders>
            <w:shd w:val="clear" w:color="auto" w:fill="auto"/>
            <w:vAlign w:val="center"/>
          </w:tcPr>
          <w:p>
            <w:pPr>
              <w:pStyle w:val="Normal0"/>
              <w:widowControl/>
              <w:spacing w:after="0"/>
              <w:jc w:val="center"/>
              <w:rPr>
                <w:rFonts w:ascii="宋体" w:hAnsi="宋体" w:cs="宋体"/>
                <w:kern w:val="0"/>
                <w:sz w:val="24"/>
              </w:rPr>
            </w:pPr>
            <w:r>
              <w:rPr>
                <w:rFonts w:ascii="宋体" w:hAnsi="宋体" w:cs="宋体" w:hint="eastAsia"/>
                <w:kern w:val="0"/>
                <w:sz w:val="24"/>
              </w:rPr>
              <w:t>降水频率</w:t>
            </w:r>
            <w:r>
              <w:rPr>
                <w:rFonts w:ascii="宋体" w:hAnsi="宋体" w:cs="宋体" w:hint="eastAsia"/>
                <w:kern w:val="0"/>
                <w:sz w:val="24"/>
              </w:rPr>
              <w:br/>
            </w:r>
          </w:p>
        </w:tc>
        <w:tc>
          <w:tcPr>
            <w:tcW w:w="2497" w:type="pct"/>
            <w:tcBorders>
              <w:top w:val="single" w:sz="4" w:space="0" w:color="auto"/>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集雨面面积（m</w:t>
            </w:r>
            <w:r>
              <w:rPr>
                <w:rFonts w:ascii="宋体" w:hAnsi="宋体" w:cs="宋体" w:hint="eastAsia"/>
                <w:kern w:val="0"/>
                <w:sz w:val="24"/>
                <w:vertAlign w:val="superscript"/>
              </w:rPr>
              <w:t>2</w:t>
            </w:r>
            <w:r>
              <w:rPr>
                <w:rFonts w:ascii="宋体" w:hAnsi="宋体" w:cs="宋体" w:hint="eastAsia"/>
                <w:kern w:val="0"/>
                <w:sz w:val="24"/>
              </w:rPr>
              <w:t>）</w:t>
            </w:r>
          </w:p>
        </w:tc>
      </w:tr>
    </w:tbl>
    <w:p>
      <w:pPr>
        <w:sectPr>
          <w:headerReference w:type="default" r:id="rId72"/>
          <w:footerReference w:type="default" r:id="rId73"/>
          <w:type w:val="nextPage"/>
          <w:pgSz w:w="11907" w:h="16840"/>
          <w:pgMar w:top="1701" w:right="1418" w:bottom="1418" w:left="1418" w:header="1417" w:footer="567" w:gutter="567"/>
          <w:pgNumType w:start="11"/>
          <w:cols w:num="1" w:space="720"/>
          <w:titlePg w:val="0"/>
          <w:docGrid w:type="lines" w:linePitch="312" w:charSpace="0"/>
        </w:sectPr>
      </w:pPr>
    </w:p>
    <w:tbl>
      <w:tblPr>
        <w:tblStyle w:val="TableNormal"/>
        <w:tblW w:w="5000" w:type="pct"/>
        <w:tblInd w:w="0" w:type="dxa"/>
        <w:tblCellMar>
          <w:top w:w="0" w:type="dxa"/>
          <w:left w:w="108" w:type="dxa"/>
          <w:bottom w:w="0" w:type="dxa"/>
          <w:right w:w="108" w:type="dxa"/>
        </w:tblCellMar>
      </w:tblPr>
      <w:tblGrid>
        <w:gridCol w:w="2175"/>
        <w:gridCol w:w="2190"/>
        <w:gridCol w:w="4355"/>
      </w:tblGrid>
      <w:tr>
        <w:tblPrEx>
          <w:tblW w:w="5000" w:type="pct"/>
          <w:tblInd w:w="0" w:type="dxa"/>
          <w:tblCellMar>
            <w:top w:w="0" w:type="dxa"/>
            <w:left w:w="108" w:type="dxa"/>
            <w:bottom w:w="0" w:type="dxa"/>
            <w:right w:w="108" w:type="dxa"/>
          </w:tblCellMar>
        </w:tblPrEx>
        <w:trPr>
          <w:trHeight w:val="330"/>
        </w:trPr>
        <w:tc>
          <w:tcPr>
            <w:tcW w:w="1247"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pPr>
              <w:pStyle w:val="Normal0"/>
              <w:widowControl/>
              <w:spacing w:before="0"/>
              <w:jc w:val="center"/>
              <w:rPr>
                <w:rFonts w:ascii="宋体" w:hAnsi="宋体" w:cs="宋体"/>
                <w:kern w:val="0"/>
                <w:sz w:val="24"/>
              </w:rPr>
            </w:pPr>
            <w:r>
              <w:rPr>
                <w:rFonts w:ascii="宋体" w:hAnsi="宋体" w:cs="宋体" w:hint="eastAsia"/>
                <w:kern w:val="0"/>
                <w:sz w:val="24"/>
              </w:rPr>
              <w:t>（m</w:t>
            </w:r>
            <w:r>
              <w:rPr>
                <w:rFonts w:ascii="宋体" w:hAnsi="宋体" w:cs="宋体" w:hint="eastAsia"/>
                <w:kern w:val="0"/>
                <w:sz w:val="24"/>
                <w:vertAlign w:val="superscript"/>
              </w:rPr>
              <w:t>3</w:t>
            </w:r>
            <w:r>
              <w:rPr>
                <w:rFonts w:ascii="宋体" w:hAnsi="宋体" w:cs="宋体" w:hint="eastAsia"/>
                <w:kern w:val="0"/>
                <w:sz w:val="24"/>
              </w:rPr>
              <w:t>）</w:t>
            </w:r>
          </w:p>
        </w:tc>
        <w:tc>
          <w:tcPr>
            <w:tcW w:w="125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pPr>
              <w:pStyle w:val="Normal0"/>
              <w:widowControl/>
              <w:spacing w:before="0"/>
              <w:jc w:val="center"/>
              <w:rPr>
                <w:rFonts w:ascii="宋体" w:hAnsi="宋体" w:cs="宋体"/>
                <w:kern w:val="0"/>
                <w:sz w:val="24"/>
              </w:rPr>
            </w:pPr>
            <w:r>
              <w:rPr>
                <w:rFonts w:ascii="宋体" w:hAnsi="宋体" w:cs="宋体" w:hint="eastAsia"/>
                <w:kern w:val="0"/>
                <w:sz w:val="24"/>
              </w:rPr>
              <w:t>（P%）</w:t>
            </w:r>
          </w:p>
        </w:tc>
        <w:tc>
          <w:tcPr>
            <w:tcW w:w="2497" w:type="pct"/>
            <w:tcBorders>
              <w:top w:val="single" w:sz="4" w:space="0" w:color="auto"/>
              <w:left w:val="nil"/>
              <w:bottom w:val="single" w:sz="4" w:space="0" w:color="auto"/>
              <w:right w:val="single" w:sz="4" w:space="0" w:color="auto"/>
            </w:tcBorders>
            <w:shd w:val="clear" w:color="auto" w:fill="auto"/>
            <w:noWrap/>
            <w:vAlign w:val="center"/>
          </w:tcPr>
          <w:p/>
        </w:tc>
      </w:tr>
      <w:tr>
        <w:tblPrEx>
          <w:tblW w:w="5000" w:type="pct"/>
          <w:tblInd w:w="0" w:type="dxa"/>
          <w:tblCellMar>
            <w:top w:w="0" w:type="dxa"/>
            <w:left w:w="108" w:type="dxa"/>
            <w:bottom w:w="0" w:type="dxa"/>
            <w:right w:w="108" w:type="dxa"/>
          </w:tblCellMar>
        </w:tblPrEx>
        <w:trPr>
          <w:trHeight w:val="285"/>
        </w:trPr>
        <w:tc>
          <w:tcPr>
            <w:tcW w:w="1247" w:type="pct"/>
            <w:vMerge/>
            <w:tcBorders>
              <w:top w:val="single" w:sz="4" w:space="0" w:color="auto"/>
              <w:left w:val="single" w:sz="4" w:space="0" w:color="auto"/>
              <w:bottom w:val="single" w:sz="4" w:space="0" w:color="auto"/>
              <w:right w:val="single" w:sz="4" w:space="0" w:color="auto"/>
            </w:tcBorders>
            <w:vAlign w:val="center"/>
          </w:tcPr>
          <w:p>
            <w:pPr>
              <w:pStyle w:val="Normal0"/>
              <w:widowControl/>
              <w:jc w:val="center"/>
              <w:rPr>
                <w:rFonts w:ascii="宋体" w:hAnsi="宋体" w:cs="宋体"/>
                <w:kern w:val="0"/>
                <w:sz w:val="24"/>
              </w:rPr>
            </w:pPr>
          </w:p>
        </w:tc>
        <w:tc>
          <w:tcPr>
            <w:tcW w:w="1256" w:type="pct"/>
            <w:vMerge/>
            <w:tcBorders>
              <w:top w:val="single" w:sz="4" w:space="0" w:color="auto"/>
              <w:left w:val="single" w:sz="4" w:space="0" w:color="auto"/>
              <w:bottom w:val="single" w:sz="4" w:space="0" w:color="auto"/>
              <w:right w:val="single" w:sz="4" w:space="0" w:color="auto"/>
            </w:tcBorders>
            <w:vAlign w:val="center"/>
          </w:tcPr>
          <w:p>
            <w:pPr>
              <w:pStyle w:val="Normal0"/>
              <w:widowControl/>
              <w:jc w:val="center"/>
              <w:rPr>
                <w:rFonts w:ascii="宋体" w:hAnsi="宋体" w:cs="宋体"/>
                <w:kern w:val="0"/>
                <w:sz w:val="24"/>
              </w:rPr>
            </w:pPr>
          </w:p>
        </w:tc>
        <w:tc>
          <w:tcPr>
            <w:tcW w:w="2497"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人工集雨面</w:t>
            </w:r>
          </w:p>
        </w:tc>
      </w:tr>
      <w:tr>
        <w:tblPrEx>
          <w:tblW w:w="5000" w:type="pct"/>
          <w:tblInd w:w="0" w:type="dxa"/>
          <w:tblCellMar>
            <w:top w:w="0" w:type="dxa"/>
            <w:left w:w="108" w:type="dxa"/>
            <w:bottom w:w="0" w:type="dxa"/>
            <w:right w:w="108" w:type="dxa"/>
          </w:tblCellMar>
        </w:tblPrEx>
        <w:trPr>
          <w:trHeight w:val="285"/>
        </w:trPr>
        <w:tc>
          <w:tcPr>
            <w:tcW w:w="1247" w:type="pct"/>
            <w:vMerge w:val="restart"/>
            <w:tcBorders>
              <w:top w:val="nil"/>
              <w:left w:val="single" w:sz="4" w:space="0" w:color="auto"/>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30</w:t>
            </w:r>
          </w:p>
        </w:tc>
        <w:tc>
          <w:tcPr>
            <w:tcW w:w="1256"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50</w:t>
            </w:r>
          </w:p>
        </w:tc>
        <w:tc>
          <w:tcPr>
            <w:tcW w:w="2497"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110</w:t>
            </w:r>
          </w:p>
        </w:tc>
      </w:tr>
      <w:tr>
        <w:tblPrEx>
          <w:tblW w:w="5000" w:type="pct"/>
          <w:tblInd w:w="0" w:type="dxa"/>
          <w:tblCellMar>
            <w:top w:w="0" w:type="dxa"/>
            <w:left w:w="108" w:type="dxa"/>
            <w:bottom w:w="0" w:type="dxa"/>
            <w:right w:w="108" w:type="dxa"/>
          </w:tblCellMar>
        </w:tblPrEx>
        <w:trPr>
          <w:trHeight w:val="387"/>
        </w:trPr>
        <w:tc>
          <w:tcPr>
            <w:tcW w:w="1247" w:type="pct"/>
            <w:vMerge/>
            <w:tcBorders>
              <w:top w:val="nil"/>
              <w:left w:val="single" w:sz="4" w:space="0" w:color="auto"/>
              <w:bottom w:val="single" w:sz="4" w:space="0" w:color="auto"/>
              <w:right w:val="single" w:sz="4" w:space="0" w:color="auto"/>
            </w:tcBorders>
            <w:vAlign w:val="center"/>
          </w:tcPr>
          <w:p>
            <w:pPr>
              <w:pStyle w:val="Normal0"/>
              <w:widowControl/>
              <w:jc w:val="center"/>
              <w:rPr>
                <w:rFonts w:ascii="宋体" w:hAnsi="宋体" w:cs="宋体"/>
                <w:kern w:val="0"/>
                <w:sz w:val="24"/>
              </w:rPr>
            </w:pPr>
          </w:p>
        </w:tc>
        <w:tc>
          <w:tcPr>
            <w:tcW w:w="1256"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75</w:t>
            </w:r>
          </w:p>
        </w:tc>
        <w:tc>
          <w:tcPr>
            <w:tcW w:w="2497"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145</w:t>
            </w:r>
          </w:p>
        </w:tc>
      </w:tr>
      <w:tr>
        <w:tblPrEx>
          <w:tblW w:w="5000" w:type="pct"/>
          <w:tblInd w:w="0" w:type="dxa"/>
          <w:tblCellMar>
            <w:top w:w="0" w:type="dxa"/>
            <w:left w:w="108" w:type="dxa"/>
            <w:bottom w:w="0" w:type="dxa"/>
            <w:right w:w="108" w:type="dxa"/>
          </w:tblCellMar>
        </w:tblPrEx>
        <w:trPr>
          <w:trHeight w:val="285"/>
        </w:trPr>
        <w:tc>
          <w:tcPr>
            <w:tcW w:w="1247" w:type="pct"/>
            <w:vMerge w:val="restart"/>
            <w:tcBorders>
              <w:top w:val="nil"/>
              <w:left w:val="single" w:sz="4" w:space="0" w:color="auto"/>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40</w:t>
            </w:r>
          </w:p>
        </w:tc>
        <w:tc>
          <w:tcPr>
            <w:tcW w:w="1256"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50</w:t>
            </w:r>
          </w:p>
        </w:tc>
        <w:tc>
          <w:tcPr>
            <w:tcW w:w="2497"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145</w:t>
            </w:r>
          </w:p>
        </w:tc>
      </w:tr>
      <w:tr>
        <w:tblPrEx>
          <w:tblW w:w="5000" w:type="pct"/>
          <w:tblInd w:w="0" w:type="dxa"/>
          <w:tblCellMar>
            <w:top w:w="0" w:type="dxa"/>
            <w:left w:w="108" w:type="dxa"/>
            <w:bottom w:w="0" w:type="dxa"/>
            <w:right w:w="108" w:type="dxa"/>
          </w:tblCellMar>
        </w:tblPrEx>
        <w:trPr>
          <w:trHeight w:val="285"/>
        </w:trPr>
        <w:tc>
          <w:tcPr>
            <w:tcW w:w="1247" w:type="pct"/>
            <w:vMerge/>
            <w:tcBorders>
              <w:top w:val="nil"/>
              <w:left w:val="single" w:sz="4" w:space="0" w:color="auto"/>
              <w:bottom w:val="single" w:sz="4" w:space="0" w:color="auto"/>
              <w:right w:val="single" w:sz="4" w:space="0" w:color="auto"/>
            </w:tcBorders>
            <w:vAlign w:val="center"/>
          </w:tcPr>
          <w:p>
            <w:pPr>
              <w:pStyle w:val="Normal0"/>
              <w:widowControl/>
              <w:jc w:val="center"/>
              <w:rPr>
                <w:rFonts w:ascii="宋体" w:hAnsi="宋体" w:cs="宋体"/>
                <w:kern w:val="0"/>
                <w:sz w:val="24"/>
              </w:rPr>
            </w:pPr>
          </w:p>
        </w:tc>
        <w:tc>
          <w:tcPr>
            <w:tcW w:w="1256"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75</w:t>
            </w:r>
          </w:p>
        </w:tc>
        <w:tc>
          <w:tcPr>
            <w:tcW w:w="2497"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193</w:t>
            </w:r>
          </w:p>
        </w:tc>
      </w:tr>
      <w:tr>
        <w:tblPrEx>
          <w:tblW w:w="5000" w:type="pct"/>
          <w:tblInd w:w="0" w:type="dxa"/>
          <w:tblCellMar>
            <w:top w:w="0" w:type="dxa"/>
            <w:left w:w="108" w:type="dxa"/>
            <w:bottom w:w="0" w:type="dxa"/>
            <w:right w:w="108" w:type="dxa"/>
          </w:tblCellMar>
        </w:tblPrEx>
        <w:trPr>
          <w:trHeight w:val="285"/>
        </w:trPr>
        <w:tc>
          <w:tcPr>
            <w:tcW w:w="1247" w:type="pct"/>
            <w:vMerge w:val="restart"/>
            <w:tcBorders>
              <w:top w:val="nil"/>
              <w:left w:val="single" w:sz="4" w:space="0" w:color="auto"/>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50</w:t>
            </w:r>
          </w:p>
        </w:tc>
        <w:tc>
          <w:tcPr>
            <w:tcW w:w="1256"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50</w:t>
            </w:r>
          </w:p>
        </w:tc>
        <w:tc>
          <w:tcPr>
            <w:tcW w:w="2497"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183</w:t>
            </w:r>
          </w:p>
        </w:tc>
      </w:tr>
      <w:tr>
        <w:tblPrEx>
          <w:tblW w:w="5000" w:type="pct"/>
          <w:tblInd w:w="0" w:type="dxa"/>
          <w:tblCellMar>
            <w:top w:w="0" w:type="dxa"/>
            <w:left w:w="108" w:type="dxa"/>
            <w:bottom w:w="0" w:type="dxa"/>
            <w:right w:w="108" w:type="dxa"/>
          </w:tblCellMar>
        </w:tblPrEx>
        <w:trPr>
          <w:trHeight w:val="285"/>
        </w:trPr>
        <w:tc>
          <w:tcPr>
            <w:tcW w:w="1247" w:type="pct"/>
            <w:vMerge/>
            <w:tcBorders>
              <w:top w:val="nil"/>
              <w:left w:val="single" w:sz="4" w:space="0" w:color="auto"/>
              <w:bottom w:val="single" w:sz="4" w:space="0" w:color="auto"/>
              <w:right w:val="single" w:sz="4" w:space="0" w:color="auto"/>
            </w:tcBorders>
            <w:vAlign w:val="center"/>
          </w:tcPr>
          <w:p>
            <w:pPr>
              <w:pStyle w:val="Normal0"/>
              <w:widowControl/>
              <w:jc w:val="center"/>
              <w:rPr>
                <w:rFonts w:ascii="宋体" w:hAnsi="宋体" w:cs="宋体"/>
                <w:kern w:val="0"/>
                <w:sz w:val="24"/>
              </w:rPr>
            </w:pPr>
          </w:p>
        </w:tc>
        <w:tc>
          <w:tcPr>
            <w:tcW w:w="1256"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75</w:t>
            </w:r>
          </w:p>
        </w:tc>
        <w:tc>
          <w:tcPr>
            <w:tcW w:w="2497" w:type="pct"/>
            <w:tcBorders>
              <w:top w:val="nil"/>
              <w:left w:val="nil"/>
              <w:bottom w:val="single" w:sz="4" w:space="0" w:color="auto"/>
              <w:right w:val="single" w:sz="4" w:space="0" w:color="auto"/>
            </w:tcBorders>
            <w:shd w:val="clear" w:color="auto" w:fill="auto"/>
            <w:noWrap/>
            <w:vAlign w:val="center"/>
          </w:tcPr>
          <w:p>
            <w:pPr>
              <w:pStyle w:val="Normal0"/>
              <w:widowControl/>
              <w:jc w:val="center"/>
              <w:rPr>
                <w:rFonts w:ascii="宋体" w:hAnsi="宋体" w:cs="宋体"/>
                <w:kern w:val="0"/>
                <w:sz w:val="24"/>
              </w:rPr>
            </w:pPr>
            <w:r>
              <w:rPr>
                <w:rFonts w:ascii="宋体" w:hAnsi="宋体" w:cs="宋体" w:hint="eastAsia"/>
                <w:kern w:val="0"/>
                <w:sz w:val="24"/>
              </w:rPr>
              <w:t>242</w:t>
            </w:r>
          </w:p>
        </w:tc>
      </w:tr>
    </w:tbl>
    <w:p>
      <w:pPr>
        <w:pStyle w:val="Normal0"/>
        <w:rPr>
          <w:rFonts w:ascii="宋体" w:hAnsi="宋体" w:hint="eastAsia"/>
          <w:sz w:val="28"/>
          <w:szCs w:val="28"/>
        </w:rPr>
      </w:pPr>
      <w:r>
        <w:rPr>
          <w:rFonts w:ascii="宋体" w:hAnsi="宋体" w:hint="eastAsia"/>
          <w:sz w:val="28"/>
          <w:szCs w:val="28"/>
        </w:rPr>
        <w:t>4.2.3储蓄水建筑物（水窖）</w:t>
      </w:r>
    </w:p>
    <w:p>
      <w:pPr>
        <w:pStyle w:val="Normal0"/>
        <w:spacing w:line="360" w:lineRule="auto"/>
        <w:ind w:firstLine="560" w:firstLineChars="200"/>
        <w:rPr>
          <w:rFonts w:ascii="宋体" w:hAnsi="宋体" w:hint="eastAsia"/>
          <w:sz w:val="28"/>
          <w:szCs w:val="28"/>
        </w:rPr>
      </w:pPr>
      <w:r>
        <w:rPr>
          <w:rFonts w:ascii="宋体" w:hAnsi="宋体" w:hint="eastAsia"/>
          <w:sz w:val="28"/>
          <w:szCs w:val="28"/>
        </w:rPr>
        <w:t>设计</w:t>
      </w:r>
      <w:r>
        <w:rPr>
          <w:rFonts w:ascii="宋体" w:hAnsi="宋体"/>
          <w:sz w:val="28"/>
          <w:szCs w:val="28"/>
        </w:rPr>
        <w:t>水窖</w:t>
      </w:r>
      <w:r>
        <w:rPr>
          <w:rFonts w:ascii="宋体" w:hAnsi="宋体" w:hint="eastAsia"/>
          <w:sz w:val="28"/>
          <w:szCs w:val="28"/>
        </w:rPr>
        <w:t>为</w:t>
      </w:r>
      <w:r>
        <w:rPr>
          <w:rFonts w:ascii="宋体" w:hAnsi="宋体"/>
          <w:sz w:val="28"/>
          <w:szCs w:val="28"/>
        </w:rPr>
        <w:t>筒式</w:t>
      </w:r>
      <w:r>
        <w:rPr>
          <w:rFonts w:ascii="宋体" w:hAnsi="宋体" w:hint="eastAsia"/>
          <w:sz w:val="28"/>
          <w:szCs w:val="28"/>
        </w:rPr>
        <w:t>窖，</w:t>
      </w:r>
      <w:r>
        <w:rPr>
          <w:rFonts w:ascii="宋体" w:hAnsi="宋体"/>
          <w:sz w:val="28"/>
          <w:szCs w:val="28"/>
        </w:rPr>
        <w:t>窖体由窖口、窖顶、窖筒三部分组成</w:t>
      </w:r>
      <w:r>
        <w:rPr>
          <w:rFonts w:ascii="宋体" w:hAnsi="宋体" w:hint="eastAsia"/>
          <w:sz w:val="28"/>
          <w:szCs w:val="28"/>
        </w:rPr>
        <w:t>。</w:t>
      </w:r>
    </w:p>
    <w:p>
      <w:pPr>
        <w:pStyle w:val="Normal0"/>
        <w:spacing w:line="360" w:lineRule="auto"/>
        <w:ind w:firstLine="560" w:firstLineChars="200"/>
        <w:rPr>
          <w:rFonts w:hint="eastAsia"/>
          <w:sz w:val="28"/>
          <w:szCs w:val="28"/>
        </w:rPr>
      </w:pPr>
      <w:r>
        <w:rPr>
          <w:sz w:val="28"/>
          <w:szCs w:val="28"/>
        </w:rPr>
        <w:t>窖口:为便于管护，应高出地面0.</w:t>
      </w:r>
      <w:r>
        <w:rPr>
          <w:rFonts w:hint="eastAsia"/>
          <w:sz w:val="28"/>
          <w:szCs w:val="28"/>
        </w:rPr>
        <w:t xml:space="preserve"> 5</w:t>
      </w:r>
      <w:r>
        <w:rPr>
          <w:sz w:val="28"/>
          <w:szCs w:val="28"/>
        </w:rPr>
        <w:t>m，直径0.</w:t>
      </w:r>
      <w:r>
        <w:rPr>
          <w:rFonts w:hint="eastAsia"/>
          <w:sz w:val="28"/>
          <w:szCs w:val="28"/>
        </w:rPr>
        <w:t>4</w:t>
      </w:r>
      <w:r>
        <w:rPr>
          <w:sz w:val="28"/>
          <w:szCs w:val="28"/>
        </w:rPr>
        <w:t>m，距蓄水最高水面1.0m，用砖砌成</w:t>
      </w:r>
      <w:r>
        <w:rPr>
          <w:rFonts w:hint="eastAsia"/>
          <w:sz w:val="28"/>
          <w:szCs w:val="28"/>
        </w:rPr>
        <w:t>。</w:t>
      </w:r>
    </w:p>
    <w:p>
      <w:pPr>
        <w:pStyle w:val="Normal0"/>
        <w:spacing w:line="360" w:lineRule="auto"/>
        <w:ind w:firstLine="560" w:firstLineChars="200"/>
        <w:rPr>
          <w:rFonts w:hint="eastAsia"/>
          <w:sz w:val="28"/>
          <w:szCs w:val="28"/>
        </w:rPr>
      </w:pPr>
      <w:r>
        <w:rPr>
          <w:sz w:val="28"/>
          <w:szCs w:val="28"/>
        </w:rPr>
        <w:t>窖顶:上部与窖口相连，深0.5～2.cm，</w:t>
      </w:r>
      <w:r>
        <w:rPr>
          <w:rFonts w:hint="eastAsia"/>
          <w:sz w:val="28"/>
          <w:szCs w:val="28"/>
        </w:rPr>
        <w:t>半球</w:t>
      </w:r>
      <w:r>
        <w:rPr>
          <w:sz w:val="28"/>
          <w:szCs w:val="28"/>
        </w:rPr>
        <w:t>形，内径由上向下逐渐放大，到窖筒处内径3</w:t>
      </w:r>
      <w:r>
        <w:rPr>
          <w:rFonts w:hint="eastAsia"/>
          <w:sz w:val="28"/>
          <w:szCs w:val="28"/>
        </w:rPr>
        <w:t>.5</w:t>
      </w:r>
      <w:r>
        <w:rPr>
          <w:sz w:val="28"/>
          <w:szCs w:val="28"/>
        </w:rPr>
        <w:t>m，用砖砌成。</w:t>
      </w:r>
    </w:p>
    <w:p>
      <w:pPr>
        <w:pStyle w:val="Normal0"/>
        <w:spacing w:line="360" w:lineRule="auto"/>
        <w:ind w:firstLine="560" w:firstLineChars="200"/>
        <w:rPr>
          <w:rFonts w:ascii="宋体" w:hAnsi="宋体" w:hint="eastAsia"/>
          <w:sz w:val="28"/>
          <w:szCs w:val="28"/>
        </w:rPr>
      </w:pPr>
      <w:r>
        <w:rPr>
          <w:sz w:val="28"/>
          <w:szCs w:val="28"/>
        </w:rPr>
        <w:t>窖筒(主要蓄水部分):深4m，直径3</w:t>
      </w:r>
      <w:r>
        <w:rPr>
          <w:rFonts w:hint="eastAsia"/>
          <w:sz w:val="28"/>
          <w:szCs w:val="28"/>
        </w:rPr>
        <w:t>.5</w:t>
      </w:r>
      <w:r>
        <w:rPr>
          <w:sz w:val="28"/>
          <w:szCs w:val="28"/>
        </w:rPr>
        <w:t>m，采用素混凝土现浇而成，壁厚</w:t>
      </w:r>
      <w:r>
        <w:rPr>
          <w:rFonts w:hint="eastAsia"/>
          <w:sz w:val="28"/>
          <w:szCs w:val="28"/>
        </w:rPr>
        <w:t>8</w:t>
      </w:r>
      <w:r>
        <w:rPr>
          <w:sz w:val="28"/>
          <w:szCs w:val="28"/>
        </w:rPr>
        <w:t>cm</w:t>
      </w:r>
      <w:r>
        <w:rPr>
          <w:rFonts w:hint="eastAsia"/>
          <w:sz w:val="28"/>
          <w:szCs w:val="28"/>
        </w:rPr>
        <w:t>，窖底混凝土厚12cm，窖底、侧壁及拱顶用M10砂浆连续抹面2～3遍，以防止渗水，砌砖顶部外侧浇注5～8cm素混凝土，以增加顶部强度。</w:t>
      </w:r>
      <w:r>
        <w:rPr>
          <w:sz w:val="28"/>
          <w:szCs w:val="28"/>
        </w:rPr>
        <w:br/>
      </w:r>
      <w:r>
        <w:rPr>
          <w:rFonts w:ascii="宋体" w:hAnsi="宋体" w:hint="eastAsia"/>
          <w:sz w:val="28"/>
          <w:szCs w:val="28"/>
        </w:rPr>
        <w:t>4.2.4辅助设施</w:t>
      </w:r>
    </w:p>
    <w:p>
      <w:pPr>
        <w:pStyle w:val="Normal0"/>
        <w:rPr>
          <w:rFonts w:ascii="宋体" w:hAnsi="宋体" w:cs="宋体" w:hint="eastAsia"/>
          <w:color w:val="000000"/>
          <w:kern w:val="0"/>
          <w:sz w:val="28"/>
          <w:szCs w:val="28"/>
        </w:rPr>
      </w:pPr>
      <w:r>
        <w:rPr>
          <w:rFonts w:ascii="宋体" w:hAnsi="宋体" w:cs="宋体" w:hint="eastAsia"/>
          <w:color w:val="000000"/>
          <w:kern w:val="0"/>
          <w:sz w:val="28"/>
          <w:szCs w:val="28"/>
        </w:rPr>
        <w:t>1.引水渠</w:t>
      </w:r>
    </w:p>
    <w:p>
      <w:pPr>
        <w:pStyle w:val="Normal0"/>
        <w:ind w:firstLine="560" w:firstLineChars="200"/>
        <w:rPr>
          <w:rFonts w:ascii="宋体" w:hAnsi="宋体" w:cs="宋体" w:hint="eastAsia"/>
          <w:color w:val="000000"/>
          <w:kern w:val="0"/>
          <w:sz w:val="28"/>
          <w:szCs w:val="28"/>
        </w:rPr>
      </w:pPr>
      <w:r>
        <w:rPr>
          <w:rFonts w:ascii="宋体" w:hAnsi="宋体" w:cs="宋体" w:hint="eastAsia"/>
          <w:color w:val="000000"/>
          <w:kern w:val="0"/>
          <w:sz w:val="28"/>
          <w:szCs w:val="28"/>
        </w:rPr>
        <w:t>引水渠的主要任务是将集雨场汇集的雨水引入沉沙池，为</w:t>
      </w:r>
      <w:r>
        <w:rPr>
          <w:rFonts w:ascii="宋体" w:hAnsi="宋体" w:cs="宋体"/>
          <w:color w:val="000000"/>
          <w:kern w:val="0"/>
          <w:sz w:val="28"/>
          <w:szCs w:val="28"/>
        </w:rPr>
        <w:t>砌石矩形渠，宽</w:t>
      </w:r>
      <w:r>
        <w:rPr>
          <w:rFonts w:ascii="宋体" w:hAnsi="宋体" w:cs="宋体" w:hint="eastAsia"/>
          <w:color w:val="000000"/>
          <w:kern w:val="0"/>
          <w:sz w:val="28"/>
          <w:szCs w:val="28"/>
        </w:rPr>
        <w:t>4</w:t>
      </w:r>
      <w:r>
        <w:rPr>
          <w:rFonts w:ascii="宋体" w:hAnsi="宋体" w:cs="宋体"/>
          <w:color w:val="000000"/>
          <w:kern w:val="0"/>
          <w:sz w:val="28"/>
          <w:szCs w:val="28"/>
        </w:rPr>
        <w:t>0cm，深80cm，长度根据地形选定。</w:t>
      </w:r>
    </w:p>
    <w:p>
      <w:pPr>
        <w:pStyle w:val="Normal0"/>
        <w:rPr>
          <w:rFonts w:ascii="宋体" w:hAnsi="宋体" w:cs="宋体" w:hint="eastAsia"/>
          <w:color w:val="000000"/>
          <w:kern w:val="0"/>
          <w:sz w:val="28"/>
          <w:szCs w:val="28"/>
        </w:rPr>
      </w:pPr>
      <w:r>
        <w:rPr>
          <w:rFonts w:ascii="宋体" w:hAnsi="宋体" w:cs="宋体" w:hint="eastAsia"/>
          <w:color w:val="000000"/>
          <w:kern w:val="0"/>
          <w:sz w:val="28"/>
          <w:szCs w:val="28"/>
        </w:rPr>
        <w:t>2.</w:t>
      </w:r>
      <w:r>
        <w:rPr>
          <w:rFonts w:ascii="宋体" w:hAnsi="宋体" w:cs="宋体"/>
          <w:color w:val="000000"/>
          <w:kern w:val="0"/>
          <w:sz w:val="28"/>
          <w:szCs w:val="28"/>
        </w:rPr>
        <w:t>沉沙池</w:t>
      </w:r>
    </w:p>
    <w:p>
      <w:pPr>
        <w:pStyle w:val="Normal0"/>
        <w:ind w:firstLine="560" w:firstLineChars="200"/>
        <w:rPr>
          <w:rFonts w:ascii="宋体" w:hAnsi="宋体" w:cs="宋体" w:hint="eastAsia"/>
          <w:color w:val="000000"/>
          <w:kern w:val="0"/>
          <w:sz w:val="28"/>
          <w:szCs w:val="28"/>
        </w:rPr>
        <w:sectPr>
          <w:headerReference w:type="default" r:id="rId74"/>
          <w:footerReference w:type="default" r:id="rId75"/>
          <w:type w:val="nextPage"/>
          <w:pgSz w:w="11907" w:h="16840"/>
          <w:pgMar w:top="1701" w:right="1418" w:bottom="1418" w:left="1418" w:header="1417" w:footer="567" w:gutter="567"/>
          <w:pgNumType w:start="12"/>
          <w:cols w:num="1" w:space="720"/>
          <w:titlePg w:val="0"/>
          <w:docGrid w:type="lines" w:linePitch="312" w:charSpace="0"/>
        </w:sectPr>
      </w:pPr>
      <w:r>
        <w:rPr>
          <w:rFonts w:ascii="宋体" w:hAnsi="宋体" w:cs="宋体"/>
          <w:color w:val="000000"/>
          <w:kern w:val="0"/>
          <w:sz w:val="28"/>
          <w:szCs w:val="28"/>
        </w:rPr>
        <w:t>沉沙池是水窖建设中的重要组成部分。水窖以集蓄雨洪径流为主，来水中常挟带着泥沙，尤其是坡面、</w:t>
      </w:r>
      <w:r>
        <w:rPr>
          <w:rFonts w:ascii="宋体" w:hAnsi="宋体" w:cs="宋体" w:hint="eastAsia"/>
          <w:color w:val="000000"/>
          <w:kern w:val="0"/>
          <w:sz w:val="28"/>
          <w:szCs w:val="28"/>
        </w:rPr>
        <w:t>侵蚀</w:t>
      </w:r>
      <w:r>
        <w:rPr>
          <w:rFonts w:ascii="宋体" w:hAnsi="宋体" w:cs="宋体"/>
          <w:color w:val="000000"/>
          <w:kern w:val="0"/>
          <w:sz w:val="28"/>
          <w:szCs w:val="28"/>
        </w:rPr>
        <w:t>沟径流含沙量更大。因此，修建沉沙池是必不可少的。</w:t>
      </w:r>
      <w:r>
        <w:rPr>
          <w:rFonts w:ascii="宋体" w:hAnsi="宋体" w:cs="宋体"/>
          <w:color w:val="000000"/>
          <w:kern w:val="0"/>
          <w:sz w:val="28"/>
          <w:szCs w:val="28"/>
        </w:rPr>
        <w:br/>
      </w:r>
    </w:p>
    <w:p>
      <w:pPr>
        <w:pStyle w:val="Normal0"/>
        <w:ind w:firstLine="560" w:firstLineChars="200"/>
        <w:rPr>
          <w:rFonts w:ascii="宋体" w:hAnsi="宋体" w:cs="宋体" w:hint="eastAsia"/>
          <w:color w:val="000000"/>
          <w:kern w:val="0"/>
          <w:sz w:val="28"/>
          <w:szCs w:val="28"/>
        </w:rPr>
      </w:pPr>
      <w:r>
        <w:rPr>
          <w:rFonts w:ascii="宋体" w:hAnsi="宋体" w:cs="宋体"/>
          <w:color w:val="000000"/>
          <w:kern w:val="0"/>
          <w:sz w:val="28"/>
          <w:szCs w:val="28"/>
        </w:rPr>
        <w:t xml:space="preserve">    </w:t>
      </w:r>
      <w:r>
        <w:rPr>
          <w:rFonts w:ascii="宋体" w:hAnsi="宋体" w:cs="宋体" w:hint="eastAsia"/>
          <w:color w:val="000000"/>
          <w:kern w:val="0"/>
          <w:sz w:val="28"/>
          <w:szCs w:val="28"/>
        </w:rPr>
        <w:t>（1）</w:t>
      </w:r>
      <w:r>
        <w:rPr>
          <w:rFonts w:ascii="宋体" w:hAnsi="宋体" w:cs="宋体"/>
          <w:color w:val="000000"/>
          <w:kern w:val="0"/>
          <w:sz w:val="28"/>
          <w:szCs w:val="28"/>
        </w:rPr>
        <w:t>沉沙池布设位置</w:t>
      </w:r>
      <w:r>
        <w:rPr>
          <w:rFonts w:ascii="宋体" w:hAnsi="宋体" w:cs="宋体"/>
          <w:color w:val="000000"/>
          <w:kern w:val="0"/>
          <w:sz w:val="28"/>
          <w:szCs w:val="28"/>
        </w:rPr>
        <w:br/>
      </w:r>
      <w:r>
        <w:rPr>
          <w:rFonts w:ascii="宋体" w:hAnsi="宋体" w:cs="宋体"/>
          <w:color w:val="000000"/>
          <w:kern w:val="0"/>
          <w:sz w:val="28"/>
          <w:szCs w:val="28"/>
        </w:rPr>
        <w:t>    沉沙池为窖前的附属设施，沉沙池离窖口要有3m以外距离，以防止池内渗水造成窖壁坍塌。</w:t>
      </w:r>
      <w:r>
        <w:rPr>
          <w:rFonts w:ascii="宋体" w:hAnsi="宋体" w:cs="宋体"/>
          <w:color w:val="000000"/>
          <w:kern w:val="0"/>
          <w:sz w:val="28"/>
          <w:szCs w:val="28"/>
        </w:rPr>
        <w:br/>
      </w:r>
      <w:r>
        <w:rPr>
          <w:rFonts w:ascii="宋体" w:hAnsi="宋体" w:cs="宋体"/>
          <w:color w:val="000000"/>
          <w:kern w:val="0"/>
          <w:sz w:val="28"/>
          <w:szCs w:val="28"/>
        </w:rPr>
        <w:t>   </w:t>
      </w:r>
      <w:r>
        <w:rPr>
          <w:rFonts w:ascii="宋体" w:hAnsi="宋体" w:cs="宋体" w:hint="eastAsia"/>
          <w:color w:val="000000"/>
          <w:kern w:val="0"/>
          <w:sz w:val="28"/>
          <w:szCs w:val="28"/>
        </w:rPr>
        <w:t xml:space="preserve"> （2）</w:t>
      </w:r>
      <w:r>
        <w:rPr>
          <w:rFonts w:ascii="宋体" w:hAnsi="宋体" w:cs="宋体"/>
          <w:color w:val="000000"/>
          <w:kern w:val="0"/>
          <w:sz w:val="28"/>
          <w:szCs w:val="28"/>
        </w:rPr>
        <w:t>沉沙池形状、容量</w:t>
      </w:r>
      <w:r>
        <w:rPr>
          <w:rFonts w:ascii="宋体" w:hAnsi="宋体" w:cs="宋体"/>
          <w:color w:val="000000"/>
          <w:kern w:val="0"/>
          <w:sz w:val="28"/>
          <w:szCs w:val="28"/>
        </w:rPr>
        <w:br/>
      </w:r>
      <w:r>
        <w:rPr>
          <w:rFonts w:ascii="宋体" w:hAnsi="宋体" w:cs="宋体"/>
          <w:color w:val="000000"/>
          <w:kern w:val="0"/>
          <w:sz w:val="28"/>
          <w:szCs w:val="28"/>
        </w:rPr>
        <w:t>    沉沙池形状以矩形为好，容量大小要根据来水中泥沙含量和沉沙要求决定，泥沙中有悬移质又有推移质。沉沙池呈矩形长条形。长2</w:t>
      </w:r>
      <w:r>
        <w:rPr>
          <w:rFonts w:ascii="宋体" w:hAnsi="宋体" w:cs="宋体" w:hint="eastAsia"/>
          <w:color w:val="000000"/>
          <w:kern w:val="0"/>
          <w:sz w:val="28"/>
          <w:szCs w:val="28"/>
        </w:rPr>
        <w:t>.0</w:t>
      </w:r>
      <w:r>
        <w:rPr>
          <w:rFonts w:ascii="宋体" w:hAnsi="宋体" w:cs="宋体"/>
          <w:color w:val="000000"/>
          <w:kern w:val="0"/>
          <w:sz w:val="28"/>
          <w:szCs w:val="28"/>
        </w:rPr>
        <w:t>m，宽1</w:t>
      </w:r>
      <w:r>
        <w:rPr>
          <w:rFonts w:ascii="宋体" w:hAnsi="宋体" w:cs="宋体" w:hint="eastAsia"/>
          <w:color w:val="000000"/>
          <w:kern w:val="0"/>
          <w:sz w:val="28"/>
          <w:szCs w:val="28"/>
        </w:rPr>
        <w:t>.0</w:t>
      </w:r>
      <w:r>
        <w:rPr>
          <w:rFonts w:ascii="宋体" w:hAnsi="宋体" w:cs="宋体"/>
          <w:color w:val="000000"/>
          <w:kern w:val="0"/>
          <w:sz w:val="28"/>
          <w:szCs w:val="28"/>
        </w:rPr>
        <w:t>m，深1.0m</w:t>
      </w:r>
      <w:r>
        <w:rPr>
          <w:rFonts w:ascii="宋体" w:hAnsi="宋体" w:cs="宋体" w:hint="eastAsia"/>
          <w:color w:val="000000"/>
          <w:kern w:val="0"/>
          <w:sz w:val="28"/>
          <w:szCs w:val="28"/>
        </w:rPr>
        <w:t>，</w:t>
      </w:r>
      <w:r>
        <w:rPr>
          <w:rFonts w:ascii="宋体" w:hAnsi="宋体" w:cs="宋体"/>
          <w:color w:val="000000"/>
          <w:kern w:val="0"/>
          <w:sz w:val="28"/>
          <w:szCs w:val="28"/>
        </w:rPr>
        <w:t>池底比进水管低0.8m</w:t>
      </w:r>
      <w:r>
        <w:rPr>
          <w:rFonts w:ascii="宋体" w:hAnsi="宋体" w:cs="宋体" w:hint="eastAsia"/>
          <w:color w:val="000000"/>
          <w:kern w:val="0"/>
          <w:sz w:val="28"/>
          <w:szCs w:val="28"/>
        </w:rPr>
        <w:t>，</w:t>
      </w:r>
      <w:r>
        <w:rPr>
          <w:rFonts w:ascii="ˎ̥" w:hAnsi="ˎ̥" w:cs="宋体" w:hint="eastAsia"/>
          <w:color w:val="000000"/>
          <w:kern w:val="0"/>
          <w:sz w:val="28"/>
          <w:szCs w:val="28"/>
        </w:rPr>
        <w:t>设</w:t>
      </w:r>
      <w:r>
        <w:rPr>
          <w:rFonts w:ascii="宋体" w:hAnsi="宋体" w:cs="宋体" w:hint="eastAsia"/>
          <w:color w:val="000000"/>
          <w:kern w:val="0"/>
          <w:sz w:val="28"/>
          <w:szCs w:val="28"/>
        </w:rPr>
        <w:t>计</w:t>
      </w:r>
      <w:r>
        <w:rPr>
          <w:rFonts w:ascii="宋体" w:hAnsi="宋体" w:cs="宋体"/>
          <w:color w:val="000000"/>
          <w:kern w:val="0"/>
          <w:sz w:val="28"/>
          <w:szCs w:val="28"/>
        </w:rPr>
        <w:t>可沉淀泥沙</w:t>
      </w:r>
      <w:r>
        <w:rPr>
          <w:rFonts w:ascii="宋体" w:hAnsi="宋体" w:cs="宋体" w:hint="eastAsia"/>
          <w:color w:val="000000"/>
          <w:kern w:val="0"/>
          <w:sz w:val="28"/>
          <w:szCs w:val="28"/>
        </w:rPr>
        <w:t>2.6</w:t>
      </w:r>
      <w:r>
        <w:rPr>
          <w:rFonts w:ascii="宋体" w:hAnsi="宋体" w:cs="宋体"/>
          <w:color w:val="000000"/>
          <w:kern w:val="0"/>
          <w:sz w:val="28"/>
          <w:szCs w:val="28"/>
        </w:rPr>
        <w:t>m</w:t>
      </w:r>
      <w:r>
        <w:rPr>
          <w:rFonts w:ascii="宋体" w:hAnsi="宋体" w:cs="宋体"/>
          <w:color w:val="000000"/>
          <w:kern w:val="0"/>
          <w:sz w:val="28"/>
          <w:szCs w:val="28"/>
          <w:vertAlign w:val="superscript"/>
        </w:rPr>
        <w:t>3</w:t>
      </w:r>
      <w:r>
        <w:rPr>
          <w:rFonts w:ascii="宋体" w:hAnsi="宋体" w:cs="宋体" w:hint="eastAsia"/>
          <w:color w:val="000000"/>
          <w:kern w:val="0"/>
          <w:sz w:val="28"/>
          <w:szCs w:val="28"/>
        </w:rPr>
        <w:t>。</w:t>
      </w:r>
      <w:r>
        <w:rPr>
          <w:rFonts w:ascii="宋体" w:hAnsi="宋体" w:cs="宋体"/>
          <w:color w:val="000000"/>
          <w:kern w:val="0"/>
          <w:sz w:val="28"/>
          <w:szCs w:val="28"/>
        </w:rPr>
        <w:br/>
      </w:r>
      <w:r>
        <w:rPr>
          <w:rFonts w:ascii="宋体" w:hAnsi="宋体" w:cs="宋体"/>
          <w:color w:val="000000"/>
          <w:kern w:val="0"/>
          <w:sz w:val="28"/>
          <w:szCs w:val="28"/>
        </w:rPr>
        <w:t xml:space="preserve">    </w:t>
      </w:r>
      <w:r>
        <w:rPr>
          <w:rFonts w:ascii="宋体" w:hAnsi="宋体" w:cs="宋体" w:hint="eastAsia"/>
          <w:color w:val="000000"/>
          <w:kern w:val="0"/>
          <w:sz w:val="28"/>
          <w:szCs w:val="28"/>
        </w:rPr>
        <w:t>（3）</w:t>
      </w:r>
      <w:r>
        <w:rPr>
          <w:rFonts w:ascii="宋体" w:hAnsi="宋体" w:cs="宋体"/>
          <w:color w:val="000000"/>
          <w:kern w:val="0"/>
          <w:sz w:val="28"/>
          <w:szCs w:val="28"/>
        </w:rPr>
        <w:t>池体结构</w:t>
      </w:r>
      <w:r>
        <w:rPr>
          <w:rFonts w:ascii="宋体" w:hAnsi="宋体" w:cs="宋体"/>
          <w:color w:val="000000"/>
          <w:kern w:val="0"/>
          <w:sz w:val="28"/>
          <w:szCs w:val="28"/>
        </w:rPr>
        <w:br/>
      </w:r>
      <w:r>
        <w:rPr>
          <w:rFonts w:ascii="宋体" w:hAnsi="宋体" w:cs="宋体"/>
          <w:color w:val="000000"/>
          <w:kern w:val="0"/>
          <w:sz w:val="28"/>
          <w:szCs w:val="28"/>
        </w:rPr>
        <w:t>    沉沙池</w:t>
      </w:r>
      <w:r>
        <w:rPr>
          <w:rFonts w:ascii="宋体" w:hAnsi="宋体" w:cs="宋体" w:hint="eastAsia"/>
          <w:color w:val="000000"/>
          <w:kern w:val="0"/>
          <w:sz w:val="28"/>
          <w:szCs w:val="28"/>
        </w:rPr>
        <w:t>为</w:t>
      </w:r>
      <w:r>
        <w:rPr>
          <w:rFonts w:ascii="宋体" w:hAnsi="宋体" w:cs="宋体"/>
          <w:color w:val="000000"/>
          <w:kern w:val="0"/>
          <w:sz w:val="28"/>
          <w:szCs w:val="28"/>
        </w:rPr>
        <w:t>浆砌石</w:t>
      </w:r>
      <w:r>
        <w:rPr>
          <w:rFonts w:ascii="宋体" w:hAnsi="宋体" w:cs="宋体" w:hint="eastAsia"/>
          <w:color w:val="000000"/>
          <w:kern w:val="0"/>
          <w:sz w:val="28"/>
          <w:szCs w:val="28"/>
        </w:rPr>
        <w:t>结构，</w:t>
      </w:r>
      <w:r>
        <w:rPr>
          <w:rFonts w:ascii="宋体" w:hAnsi="宋体" w:cs="宋体"/>
          <w:color w:val="000000"/>
          <w:kern w:val="0"/>
          <w:sz w:val="28"/>
          <w:szCs w:val="28"/>
        </w:rPr>
        <w:t>矩形池池墙、池底为</w:t>
      </w:r>
      <w:r>
        <w:rPr>
          <w:rFonts w:ascii="宋体" w:hAnsi="宋体" w:cs="宋体" w:hint="eastAsia"/>
          <w:color w:val="000000"/>
          <w:kern w:val="0"/>
          <w:sz w:val="28"/>
          <w:szCs w:val="28"/>
        </w:rPr>
        <w:t>M7.5</w:t>
      </w:r>
      <w:r>
        <w:rPr>
          <w:rFonts w:ascii="宋体" w:hAnsi="宋体" w:cs="宋体"/>
          <w:color w:val="000000"/>
          <w:kern w:val="0"/>
          <w:sz w:val="28"/>
          <w:szCs w:val="28"/>
        </w:rPr>
        <w:t>水泥砂浆砌石，厚25cm。内墙壁和池底用水泥砂浆抹面防渗，</w:t>
      </w:r>
      <w:r>
        <w:rPr>
          <w:rFonts w:ascii="宋体" w:hAnsi="宋体" w:cs="宋体" w:hint="eastAsia"/>
          <w:color w:val="000000"/>
          <w:kern w:val="0"/>
          <w:sz w:val="28"/>
          <w:szCs w:val="28"/>
        </w:rPr>
        <w:t>同时</w:t>
      </w:r>
      <w:r>
        <w:rPr>
          <w:rFonts w:ascii="宋体" w:hAnsi="宋体" w:cs="宋体"/>
          <w:color w:val="000000"/>
          <w:kern w:val="0"/>
          <w:sz w:val="28"/>
          <w:szCs w:val="28"/>
        </w:rPr>
        <w:t>按设计要求埋设进水管。</w:t>
      </w:r>
      <w:r>
        <w:rPr>
          <w:rFonts w:ascii="宋体" w:hAnsi="宋体" w:cs="宋体"/>
          <w:color w:val="000000"/>
          <w:kern w:val="0"/>
          <w:sz w:val="28"/>
          <w:szCs w:val="28"/>
        </w:rPr>
        <w:br/>
      </w:r>
      <w:r>
        <w:rPr>
          <w:rFonts w:ascii="宋体" w:hAnsi="宋体" w:cs="宋体" w:hint="eastAsia"/>
          <w:color w:val="000000"/>
          <w:kern w:val="0"/>
          <w:sz w:val="28"/>
          <w:szCs w:val="28"/>
        </w:rPr>
        <w:t>3.</w:t>
      </w:r>
      <w:r>
        <w:rPr>
          <w:rFonts w:ascii="宋体" w:hAnsi="宋体" w:cs="宋体"/>
          <w:color w:val="000000"/>
          <w:kern w:val="0"/>
          <w:sz w:val="28"/>
          <w:szCs w:val="28"/>
        </w:rPr>
        <w:t>拦污栅</w:t>
      </w:r>
      <w:r>
        <w:rPr>
          <w:rFonts w:ascii="宋体" w:hAnsi="宋体" w:cs="宋体"/>
          <w:color w:val="000000"/>
          <w:kern w:val="0"/>
          <w:sz w:val="28"/>
          <w:szCs w:val="28"/>
        </w:rPr>
        <w:br/>
      </w:r>
      <w:r>
        <w:rPr>
          <w:rFonts w:ascii="宋体" w:hAnsi="宋体" w:cs="宋体"/>
          <w:color w:val="000000"/>
          <w:kern w:val="0"/>
          <w:sz w:val="28"/>
          <w:szCs w:val="28"/>
        </w:rPr>
        <w:t xml:space="preserve">    </w:t>
      </w:r>
      <w:r>
        <w:rPr>
          <w:rFonts w:ascii="宋体" w:hAnsi="宋体" w:cs="宋体" w:hint="eastAsia"/>
          <w:color w:val="000000"/>
          <w:kern w:val="0"/>
          <w:sz w:val="28"/>
          <w:szCs w:val="28"/>
        </w:rPr>
        <w:t>为了防止</w:t>
      </w:r>
      <w:r>
        <w:rPr>
          <w:rFonts w:ascii="宋体" w:hAnsi="宋体" w:cs="宋体"/>
          <w:color w:val="000000"/>
          <w:kern w:val="0"/>
          <w:sz w:val="28"/>
          <w:szCs w:val="28"/>
        </w:rPr>
        <w:t>防杂草污物</w:t>
      </w:r>
      <w:r>
        <w:rPr>
          <w:rFonts w:ascii="宋体" w:hAnsi="宋体" w:cs="宋体" w:hint="eastAsia"/>
          <w:color w:val="000000"/>
          <w:kern w:val="0"/>
          <w:sz w:val="28"/>
          <w:szCs w:val="28"/>
        </w:rPr>
        <w:t>进入窖内，</w:t>
      </w:r>
      <w:r>
        <w:rPr>
          <w:rFonts w:ascii="宋体" w:hAnsi="宋体" w:cs="宋体"/>
          <w:color w:val="000000"/>
          <w:kern w:val="0"/>
          <w:sz w:val="28"/>
          <w:szCs w:val="28"/>
        </w:rPr>
        <w:t>在沉沙池</w:t>
      </w:r>
      <w:r>
        <w:rPr>
          <w:rFonts w:ascii="宋体" w:hAnsi="宋体" w:cs="宋体" w:hint="eastAsia"/>
          <w:color w:val="000000"/>
          <w:kern w:val="0"/>
          <w:sz w:val="28"/>
          <w:szCs w:val="28"/>
        </w:rPr>
        <w:t>的</w:t>
      </w:r>
      <w:r>
        <w:rPr>
          <w:rFonts w:ascii="宋体" w:hAnsi="宋体" w:cs="宋体"/>
          <w:color w:val="000000"/>
          <w:kern w:val="0"/>
          <w:sz w:val="28"/>
          <w:szCs w:val="28"/>
        </w:rPr>
        <w:t>进水管前设置拦污栅，</w:t>
      </w:r>
      <w:r>
        <w:rPr>
          <w:rFonts w:ascii="宋体" w:hAnsi="宋体" w:cs="宋体" w:hint="eastAsia"/>
          <w:color w:val="000000"/>
          <w:kern w:val="0"/>
          <w:sz w:val="28"/>
          <w:szCs w:val="28"/>
        </w:rPr>
        <w:t>设计</w:t>
      </w:r>
      <w:r>
        <w:rPr>
          <w:rFonts w:ascii="宋体" w:hAnsi="宋体" w:cs="宋体"/>
          <w:color w:val="000000"/>
          <w:kern w:val="0"/>
          <w:sz w:val="28"/>
          <w:szCs w:val="28"/>
        </w:rPr>
        <w:t>用8号铅丝编织成1cm方格网状方形栅</w:t>
      </w:r>
      <w:r>
        <w:rPr>
          <w:rFonts w:ascii="宋体" w:hAnsi="宋体" w:cs="宋体" w:hint="eastAsia"/>
          <w:color w:val="000000"/>
          <w:kern w:val="0"/>
          <w:sz w:val="28"/>
          <w:szCs w:val="28"/>
        </w:rPr>
        <w:t>，</w:t>
      </w:r>
      <w:r>
        <w:rPr>
          <w:rFonts w:ascii="宋体" w:hAnsi="宋体" w:cs="宋体"/>
          <w:color w:val="000000"/>
          <w:kern w:val="0"/>
          <w:sz w:val="28"/>
          <w:szCs w:val="28"/>
        </w:rPr>
        <w:t>周边用6钢筋绑扎或焊接，长与宽尺寸</w:t>
      </w:r>
      <w:r>
        <w:rPr>
          <w:rFonts w:ascii="宋体" w:hAnsi="宋体" w:cs="宋体" w:hint="eastAsia"/>
          <w:color w:val="000000"/>
          <w:kern w:val="0"/>
          <w:sz w:val="28"/>
          <w:szCs w:val="28"/>
        </w:rPr>
        <w:t>为25×25cm</w:t>
      </w:r>
      <w:r>
        <w:rPr>
          <w:rFonts w:ascii="宋体" w:hAnsi="宋体" w:cs="宋体"/>
          <w:color w:val="000000"/>
          <w:kern w:val="0"/>
          <w:sz w:val="28"/>
          <w:szCs w:val="28"/>
        </w:rPr>
        <w:t>，埋设于进水管前面池墙内。</w:t>
      </w:r>
    </w:p>
    <w:p>
      <w:pPr>
        <w:pStyle w:val="Normal0"/>
        <w:rPr>
          <w:rFonts w:ascii="ˎ̥" w:hAnsi="ˎ̥" w:cs="宋体" w:hint="eastAsia"/>
          <w:color w:val="000000"/>
          <w:kern w:val="0"/>
          <w:sz w:val="28"/>
          <w:szCs w:val="28"/>
        </w:rPr>
        <w:sectPr>
          <w:headerReference w:type="default" r:id="rId76"/>
          <w:footerReference w:type="default" r:id="rId77"/>
          <w:type w:val="nextPage"/>
          <w:pgSz w:w="11907" w:h="16840"/>
          <w:pgMar w:top="1701" w:right="1418" w:bottom="1418" w:left="1418" w:header="1417" w:footer="567" w:gutter="567"/>
          <w:pgNumType w:start="13"/>
          <w:cols w:num="1" w:space="720"/>
          <w:titlePg w:val="0"/>
          <w:docGrid w:type="lines" w:linePitch="312" w:charSpace="0"/>
        </w:sectPr>
      </w:pPr>
      <w:r>
        <w:rPr>
          <w:rFonts w:ascii="宋体" w:hAnsi="宋体" w:cs="宋体" w:hint="eastAsia"/>
          <w:color w:val="000000"/>
          <w:kern w:val="0"/>
          <w:sz w:val="28"/>
          <w:szCs w:val="28"/>
        </w:rPr>
        <w:t>4.</w:t>
      </w:r>
      <w:r>
        <w:rPr>
          <w:rFonts w:ascii="宋体" w:hAnsi="宋体" w:cs="宋体"/>
          <w:color w:val="000000"/>
          <w:kern w:val="0"/>
          <w:sz w:val="28"/>
          <w:szCs w:val="28"/>
        </w:rPr>
        <w:t>进水管和溢流管</w:t>
      </w:r>
      <w:r>
        <w:rPr>
          <w:rFonts w:ascii="ˎ̥" w:hAnsi="ˎ̥" w:cs="宋体"/>
          <w:color w:val="000000"/>
          <w:kern w:val="0"/>
          <w:sz w:val="28"/>
          <w:szCs w:val="28"/>
        </w:rPr>
        <w:br/>
      </w:r>
      <w:r>
        <w:rPr>
          <w:rFonts w:ascii="ˎ̥" w:hAnsi="ˎ̥" w:cs="宋体"/>
          <w:color w:val="000000"/>
          <w:kern w:val="0"/>
          <w:sz w:val="28"/>
          <w:szCs w:val="28"/>
        </w:rPr>
        <w:t xml:space="preserve">    </w:t>
      </w:r>
      <w:r>
        <w:rPr>
          <w:rFonts w:ascii="ˎ̥" w:hAnsi="ˎ̥" w:cs="宋体" w:hint="eastAsia"/>
          <w:color w:val="000000"/>
          <w:kern w:val="0"/>
          <w:sz w:val="28"/>
          <w:szCs w:val="28"/>
        </w:rPr>
        <w:t xml:space="preserve">  </w:t>
      </w:r>
      <w:r>
        <w:rPr>
          <w:rFonts w:ascii="ˎ̥" w:hAnsi="ˎ̥" w:cs="宋体"/>
          <w:color w:val="000000"/>
          <w:kern w:val="0"/>
          <w:sz w:val="28"/>
          <w:szCs w:val="28"/>
        </w:rPr>
        <w:t>进水管采用</w:t>
      </w:r>
      <w:r>
        <w:rPr>
          <w:rFonts w:ascii="ˎ̥" w:hAnsi="ˎ̥" w:cs="宋体" w:hint="eastAsia"/>
          <w:color w:val="000000"/>
          <w:kern w:val="0"/>
          <w:sz w:val="28"/>
          <w:szCs w:val="28"/>
        </w:rPr>
        <w:t>直径φ</w:t>
      </w:r>
      <w:r>
        <w:rPr>
          <w:rFonts w:ascii="ˎ̥" w:hAnsi="ˎ̥" w:cs="宋体"/>
          <w:color w:val="000000"/>
          <w:kern w:val="0"/>
          <w:sz w:val="28"/>
          <w:szCs w:val="28"/>
        </w:rPr>
        <w:t>10cm</w:t>
      </w:r>
      <w:r>
        <w:rPr>
          <w:rFonts w:ascii="ˎ̥" w:hAnsi="ˎ̥" w:cs="宋体" w:hint="eastAsia"/>
          <w:color w:val="000000"/>
          <w:kern w:val="0"/>
          <w:sz w:val="28"/>
          <w:szCs w:val="28"/>
        </w:rPr>
        <w:t>的PVC-U</w:t>
      </w:r>
      <w:r>
        <w:rPr>
          <w:rFonts w:ascii="ˎ̥" w:hAnsi="ˎ̥" w:cs="宋体"/>
          <w:color w:val="000000"/>
          <w:kern w:val="0"/>
          <w:sz w:val="28"/>
          <w:szCs w:val="28"/>
        </w:rPr>
        <w:t>塑料硬管，前端位于沉沙池底以上0.8m处，末端从窖</w:t>
      </w:r>
      <w:r>
        <w:rPr>
          <w:rFonts w:ascii="ˎ̥" w:hAnsi="ˎ̥" w:cs="宋体" w:hint="eastAsia"/>
          <w:color w:val="000000"/>
          <w:kern w:val="0"/>
          <w:sz w:val="28"/>
          <w:szCs w:val="28"/>
        </w:rPr>
        <w:t>顶</w:t>
      </w:r>
      <w:r>
        <w:rPr>
          <w:rFonts w:ascii="ˎ̥" w:hAnsi="ˎ̥" w:cs="宋体"/>
          <w:color w:val="000000"/>
          <w:kern w:val="0"/>
          <w:sz w:val="28"/>
          <w:szCs w:val="28"/>
        </w:rPr>
        <w:t>(地面以下0.5m深处)中穿</w:t>
      </w:r>
      <w:r>
        <w:rPr>
          <w:rFonts w:ascii="ˎ̥" w:hAnsi="ˎ̥" w:cs="宋体" w:hint="eastAsia"/>
          <w:color w:val="000000"/>
          <w:kern w:val="0"/>
          <w:sz w:val="28"/>
          <w:szCs w:val="28"/>
        </w:rPr>
        <w:t>入</w:t>
      </w:r>
      <w:r>
        <w:rPr>
          <w:rFonts w:ascii="ˎ̥" w:hAnsi="ˎ̥" w:cs="宋体"/>
          <w:color w:val="000000"/>
          <w:kern w:val="0"/>
          <w:sz w:val="28"/>
          <w:szCs w:val="28"/>
        </w:rPr>
        <w:t>窖内60cm，塑管前端用木塞封口，下部开口，防止水流冲刷窖壁。</w:t>
      </w:r>
      <w:r>
        <w:rPr>
          <w:rFonts w:ascii="ˎ̥" w:hAnsi="ˎ̥" w:cs="宋体"/>
          <w:color w:val="000000"/>
          <w:kern w:val="0"/>
          <w:sz w:val="28"/>
          <w:szCs w:val="28"/>
        </w:rPr>
        <w:br/>
      </w:r>
      <w:r>
        <w:rPr>
          <w:rFonts w:ascii="ˎ̥" w:hAnsi="ˎ̥" w:cs="宋体"/>
          <w:color w:val="000000"/>
          <w:kern w:val="0"/>
          <w:sz w:val="28"/>
          <w:szCs w:val="28"/>
        </w:rPr>
        <w:t> </w:t>
      </w:r>
      <w:r>
        <w:rPr>
          <w:rFonts w:ascii="ˎ̥" w:hAnsi="ˎ̥" w:cs="宋体" w:hint="eastAsia"/>
          <w:color w:val="000000"/>
          <w:kern w:val="0"/>
          <w:sz w:val="28"/>
          <w:szCs w:val="28"/>
        </w:rPr>
        <w:t xml:space="preserve">    </w:t>
      </w:r>
      <w:r>
        <w:rPr>
          <w:rFonts w:ascii="ˎ̥" w:hAnsi="ˎ̥" w:cs="宋体"/>
          <w:color w:val="000000"/>
          <w:kern w:val="0"/>
          <w:sz w:val="28"/>
          <w:szCs w:val="28"/>
        </w:rPr>
        <w:t>溢流管是为了防止窖水超蓄(夜间暴雨)，危及水窖安全的补救措施，它可将水窖最高；水位以上的水安全排泄。一般在窖</w:t>
      </w:r>
      <w:r>
        <w:rPr>
          <w:rFonts w:ascii="ˎ̥" w:hAnsi="ˎ̥" w:cs="宋体" w:hint="eastAsia"/>
          <w:color w:val="000000"/>
          <w:kern w:val="0"/>
          <w:sz w:val="28"/>
          <w:szCs w:val="28"/>
        </w:rPr>
        <w:t>顶</w:t>
      </w:r>
      <w:r>
        <w:rPr>
          <w:rFonts w:ascii="ˎ̥" w:hAnsi="ˎ̥" w:cs="宋体"/>
          <w:color w:val="000000"/>
          <w:kern w:val="0"/>
          <w:sz w:val="28"/>
          <w:szCs w:val="28"/>
        </w:rPr>
        <w:t>以下埋设</w:t>
      </w:r>
    </w:p>
    <w:p>
      <w:pPr>
        <w:pStyle w:val="Normal0"/>
        <w:rPr>
          <w:rFonts w:ascii="ˎ̥" w:hAnsi="ˎ̥" w:cs="宋体" w:hint="eastAsia"/>
          <w:color w:val="000000"/>
          <w:kern w:val="0"/>
          <w:sz w:val="28"/>
          <w:szCs w:val="28"/>
        </w:rPr>
      </w:pPr>
      <w:r>
        <w:rPr>
          <w:rFonts w:ascii="ˎ̥" w:hAnsi="ˎ̥" w:cs="宋体" w:hint="eastAsia"/>
          <w:color w:val="000000"/>
          <w:kern w:val="0"/>
          <w:sz w:val="28"/>
          <w:szCs w:val="28"/>
        </w:rPr>
        <w:t>直径</w:t>
      </w:r>
      <w:r>
        <w:rPr>
          <w:rFonts w:ascii="ˎ̥" w:hAnsi="ˎ̥" w:cs="宋体"/>
          <w:color w:val="000000"/>
          <w:kern w:val="0"/>
          <w:sz w:val="28"/>
          <w:szCs w:val="28"/>
        </w:rPr>
        <w:t>10cm管道，</w:t>
      </w:r>
      <w:r>
        <w:rPr>
          <w:rFonts w:ascii="ˎ̥" w:hAnsi="ˎ̥" w:cs="宋体" w:hint="eastAsia"/>
          <w:color w:val="000000"/>
          <w:kern w:val="0"/>
          <w:sz w:val="28"/>
          <w:szCs w:val="28"/>
        </w:rPr>
        <w:t>将</w:t>
      </w:r>
      <w:r>
        <w:rPr>
          <w:rFonts w:ascii="ˎ̥" w:hAnsi="ˎ̥" w:cs="宋体"/>
          <w:color w:val="000000"/>
          <w:kern w:val="0"/>
          <w:sz w:val="28"/>
          <w:szCs w:val="28"/>
        </w:rPr>
        <w:t>多余窖水从溢流管泄</w:t>
      </w:r>
      <w:r>
        <w:rPr>
          <w:rFonts w:ascii="ˎ̥" w:hAnsi="ˎ̥" w:cs="宋体" w:hint="eastAsia"/>
          <w:color w:val="000000"/>
          <w:kern w:val="0"/>
          <w:sz w:val="28"/>
          <w:szCs w:val="28"/>
        </w:rPr>
        <w:t>出。</w:t>
      </w:r>
    </w:p>
    <w:p>
      <w:pPr>
        <w:pStyle w:val="Heading3"/>
        <w:numPr>
          <w:ilvl w:val="0"/>
          <w:numId w:val="0"/>
        </w:numPr>
        <w:rPr>
          <w:rFonts w:hint="eastAsia"/>
        </w:rPr>
      </w:pPr>
      <w:r>
        <w:rPr>
          <w:rFonts w:hint="eastAsia"/>
        </w:rPr>
        <w:t>5.3.4田间道路设计</w:t>
      </w:r>
    </w:p>
    <w:p>
      <w:pPr>
        <w:pStyle w:val="Normal0"/>
        <w:ind w:firstLine="560" w:firstLineChars="200"/>
        <w:rPr>
          <w:rFonts w:ascii="宋体" w:hAnsi="宋体"/>
          <w:kern w:val="0"/>
          <w:sz w:val="28"/>
          <w:szCs w:val="28"/>
        </w:rPr>
      </w:pPr>
      <w:r>
        <w:rPr>
          <w:rFonts w:ascii="宋体" w:hAnsi="宋体" w:hint="eastAsia"/>
          <w:kern w:val="0"/>
          <w:sz w:val="28"/>
          <w:szCs w:val="28"/>
        </w:rPr>
        <w:t>坡改梯建设必须考虑田间作业对道路交通的需求，为便利交通、便利耕作、能通行拖拉机和其它农机具，设计田间路。路面宽为3m，底宽3.6m，路基高0.3m，边坡比1：1。路面的纵向坡度不超过10%，每条道路控制田间距离300m左右。</w:t>
      </w:r>
      <w:r>
        <w:rPr>
          <w:rFonts w:ascii="宋体" w:hAnsi="宋体" w:hint="eastAsia"/>
          <w:kern w:val="0"/>
          <w:sz w:val="28"/>
          <w:szCs w:val="28"/>
          <w:lang w:eastAsia="zh-CN"/>
        </w:rPr>
        <w:t>相关项目</w:t>
      </w:r>
      <w:r>
        <w:rPr>
          <w:rFonts w:ascii="宋体" w:hAnsi="宋体" w:hint="eastAsia"/>
          <w:kern w:val="0"/>
          <w:sz w:val="28"/>
          <w:szCs w:val="28"/>
        </w:rPr>
        <w:t>区共修</w:t>
      </w:r>
      <w:r>
        <w:rPr>
          <w:rFonts w:ascii="宋体" w:hAnsi="宋体" w:hint="eastAsia"/>
          <w:color w:val="FF00FF"/>
          <w:kern w:val="0"/>
          <w:sz w:val="28"/>
          <w:szCs w:val="28"/>
        </w:rPr>
        <w:t>田间道路141km</w:t>
      </w:r>
      <w:r>
        <w:rPr>
          <w:rFonts w:ascii="宋体" w:hAnsi="宋体" w:hint="eastAsia"/>
          <w:kern w:val="0"/>
          <w:sz w:val="28"/>
          <w:szCs w:val="28"/>
        </w:rPr>
        <w:t>。田间道路图式见图6-1。</w:t>
      </w:r>
    </w:p>
    <w:p>
      <w:pPr>
        <w:pStyle w:val="Normal0"/>
        <w:rPr>
          <w:rFonts w:ascii="宋体" w:hAnsi="宋体" w:hint="eastAsia"/>
          <w:sz w:val="28"/>
          <w:szCs w:val="28"/>
        </w:rPr>
      </w:pPr>
      <w:r>
        <w:rPr>
          <w:rFonts w:ascii="宋体" w:hAnsi="宋体"/>
          <w:sz w:val="28"/>
          <w:szCs w:val="28"/>
        </w:rPr>
        <w:pict>
          <v:group id="_x0000_s1026" o:spid="_x0000_i1048" editas="canvas" style="width:428.75pt;height:210.9pt" coordorigin="1440,2532" coordsize="8575,4218">
            <v:shape id="_x0000_s1049" o:spid="_x0000_s1049" type="#_x0000_t75" style="width:8575;height:4218;left:1440;position:absolute;top:2532" coordsize="21600,21600" o:preferrelative="f" filled="f" stroked="f">
              <v:stroke joinstyle="miter"/>
              <o:lock v:ext="edit" aspectratio="t"/>
            </v:shape>
            <v:group id="_x0000_s1050" o:spid="_x0000_s1050" style="width:7380;height:3498;left:2052;position:absolute;top:2892" coordorigin="2052,2892" coordsize="7380,3498">
              <v:shapetype id="_x0000_t202" coordsize="21600,21600" o:spt="202" path="m,l,21600r21600,l21600,xe">
                <v:stroke joinstyle="miter"/>
                <v:path gradientshapeok="t" o:connecttype="rect"/>
              </v:shapetype>
              <v:shape id="_x0000_s1051" o:spid="_x0000_s1051" type="#_x0000_t202" style="width:540;height:624;left:8757;position:absolute;top:3588" coordsize="21600,21600" filled="f" stroked="f">
                <v:stroke joinstyle="miter"/>
                <v:textbox style="layout-flow:vertical;mso-layout-flow-alt:bottom-to-top">
                  <w:txbxContent>
                    <w:p>
                      <w:pPr>
                        <w:pStyle w:val="Normal0"/>
                      </w:pPr>
                      <w:r>
                        <w:t>30</w:t>
                      </w:r>
                    </w:p>
                  </w:txbxContent>
                </v:textbox>
              </v:shape>
              <v:group id="_x0000_s1052" o:spid="_x0000_s1052" style="width:7380;height:3498;left:2052;position:absolute;top:2892" coordorigin="2052,2892" coordsize="7380,3498">
                <v:group id="_x0000_s1053" o:spid="_x0000_s1053" style="width:3961;height:312;left:3672;position:absolute;top:3114" coordorigin="3672,2958" coordsize="3961,312">
                  <v:line id="_x0000_s1054" o:spid="_x0000_s1054" style="position:absolute" from="3672,3114" to="7632,3115" coordsize="21600,21600">
                    <v:stroke startarrow="block" endarrow="block"/>
                  </v:line>
                  <v:line id="_x0000_s1055" o:spid="_x0000_s1055" style="position:absolute" from="3672,2958" to="3673,3270" coordsize="21600,21600"/>
                  <v:line id="_x0000_s1056" o:spid="_x0000_s1056" style="position:absolute" from="7632,2958" to="7633,3270" coordsize="21600,21600"/>
                </v:group>
                <v:line id="_x0000_s1057" o:spid="_x0000_s1057" style="position:absolute" from="3657,3738" to="7617,3739" coordsize="21600,21600"/>
                <v:line id="_x0000_s1058" o:spid="_x0000_s1058" style="flip:x;position:absolute" from="3192,3738" to="3672,4362" coordsize="21600,21600"/>
                <v:line id="_x0000_s1059" o:spid="_x0000_s1059" style="position:absolute" from="7632,3738" to="8112,4362" coordsize="21600,21600"/>
                <v:line id="_x0000_s1060" o:spid="_x0000_s1060" style="position:absolute" from="2052,4362" to="9432,4363" coordsize="21600,21600"/>
                <v:group id="_x0000_s1061" o:spid="_x0000_s1061" style="width:360;height:624;left:8967;position:absolute;top:3738" coordorigin="8502,3738" coordsize="360,624">
                  <v:line id="_x0000_s1062" o:spid="_x0000_s1062" style="flip:y;position:absolute" from="8712,3738" to="8712,4362" coordsize="21600,21600">
                    <v:stroke startarrow="block" endarrow="block"/>
                  </v:line>
                  <v:line id="_x0000_s1063" o:spid="_x0000_s1063" style="position:absolute" from="8502,3738" to="8862,3739" coordsize="21600,21600"/>
                </v:group>
                <v:group id="_x0000_s1064" o:spid="_x0000_s1064" style="width:5041;height:498;left:3132;position:absolute;top:4959" coordorigin="3132,4599" coordsize="5041,498">
                  <v:line id="_x0000_s1065" o:spid="_x0000_s1065" style="position:absolute" from="3132,4830" to="8172,4831" coordsize="21600,21600">
                    <v:stroke startarrow="block" endarrow="block"/>
                  </v:line>
                  <v:line id="_x0000_s1066" o:spid="_x0000_s1066" style="position:absolute" from="3132,4629" to="3133,5097" coordsize="21600,21600"/>
                  <v:line id="_x0000_s1067" o:spid="_x0000_s1067" style="position:absolute" from="8172,4599" to="8173,5067" coordsize="21600,21600"/>
                </v:group>
                <v:group id="_x0000_s1068" o:spid="_x0000_s1068" style="width:360;height:156;left:2322;position:absolute;top:4362" coordorigin="2322,4362" coordsize="360,156">
                  <v:line id="_x0000_s1069" o:spid="_x0000_s1069" style="flip:x;position:absolute" from="2322,4362" to="2412,4518" coordsize="21600,21600"/>
                  <v:line id="_x0000_s1070" o:spid="_x0000_s1070" style="flip:x;position:absolute" from="2592,4362" to="2682,4518" coordsize="21600,21600"/>
                </v:group>
                <v:group id="_x0000_s1071" o:spid="_x0000_s1071" style="width:360;height:156;left:2952;position:absolute;top:4362" coordorigin="2322,4362" coordsize="360,156">
                  <v:line id="_x0000_s1072" o:spid="_x0000_s1072" style="flip:x;position:absolute" from="2322,4362" to="2412,4518" coordsize="21600,21600"/>
                  <v:line id="_x0000_s1073" o:spid="_x0000_s1073" style="flip:x;position:absolute" from="2592,4362" to="2682,4518" coordsize="21600,21600"/>
                </v:group>
                <v:group id="_x0000_s1074" o:spid="_x0000_s1074" style="width:360;height:156;left:3492;position:absolute;top:4362" coordorigin="2322,4362" coordsize="360,156">
                  <v:line id="_x0000_s1075" o:spid="_x0000_s1075" style="flip:x;position:absolute" from="2322,4362" to="2412,4518" coordsize="21600,21600"/>
                  <v:line id="_x0000_s1076" o:spid="_x0000_s1076" style="flip:x;position:absolute" from="2592,4362" to="2682,4518" coordsize="21600,21600"/>
                </v:group>
                <v:group id="_x0000_s1077" o:spid="_x0000_s1077" style="width:360;height:156;left:4032;position:absolute;top:4362" coordorigin="2322,4362" coordsize="360,156">
                  <v:line id="_x0000_s1078" o:spid="_x0000_s1078" style="flip:x;position:absolute" from="2322,4362" to="2412,4518" coordsize="21600,21600"/>
                  <v:line id="_x0000_s1079" o:spid="_x0000_s1079" style="flip:x;position:absolute" from="2592,4362" to="2682,4518" coordsize="21600,21600"/>
                </v:group>
                <v:group id="_x0000_s1080" o:spid="_x0000_s1080" style="width:360;height:156;left:4572;position:absolute;top:4362" coordorigin="2322,4362" coordsize="360,156">
                  <v:line id="_x0000_s1081" o:spid="_x0000_s1081" style="flip:x;position:absolute" from="2322,4362" to="2412,4518" coordsize="21600,21600"/>
                  <v:line id="_x0000_s1082" o:spid="_x0000_s1082" style="flip:x;position:absolute" from="2592,4362" to="2682,4518" coordsize="21600,21600"/>
                </v:group>
                <v:group id="_x0000_s1083" o:spid="_x0000_s1083" style="width:360;height:156;left:5112;position:absolute;top:4362" coordorigin="2322,4362" coordsize="360,156">
                  <v:line id="_x0000_s1084" o:spid="_x0000_s1084" style="flip:x;position:absolute" from="2322,4362" to="2412,4518" coordsize="21600,21600"/>
                  <v:line id="_x0000_s1085" o:spid="_x0000_s1085" style="flip:x;position:absolute" from="2592,4362" to="2682,4518" coordsize="21600,21600"/>
                </v:group>
                <v:group id="_x0000_s1086" o:spid="_x0000_s1086" style="width:360;height:156;left:5652;position:absolute;top:4362" coordorigin="2322,4362" coordsize="360,156">
                  <v:line id="_x0000_s1087" o:spid="_x0000_s1087" style="flip:x;position:absolute" from="2322,4362" to="2412,4518" coordsize="21600,21600"/>
                  <v:line id="_x0000_s1088" o:spid="_x0000_s1088" style="flip:x;position:absolute" from="2592,4362" to="2682,4518" coordsize="21600,21600"/>
                </v:group>
                <v:group id="_x0000_s1089" o:spid="_x0000_s1089" style="width:360;height:156;left:6192;position:absolute;top:4362" coordorigin="2322,4362" coordsize="360,156">
                  <v:line id="_x0000_s1090" o:spid="_x0000_s1090" style="flip:x;position:absolute" from="2322,4362" to="2412,4518" coordsize="21600,21600"/>
                  <v:line id="_x0000_s1091" o:spid="_x0000_s1091" style="flip:x;position:absolute" from="2592,4362" to="2682,4518" coordsize="21600,21600"/>
                </v:group>
                <v:group id="_x0000_s1092" o:spid="_x0000_s1092" style="width:360;height:156;left:6732;position:absolute;top:4362" coordorigin="2322,4362" coordsize="360,156">
                  <v:line id="_x0000_s1093" o:spid="_x0000_s1093" style="flip:x;position:absolute" from="2322,4362" to="2412,4518" coordsize="21600,21600"/>
                  <v:line id="_x0000_s1094" o:spid="_x0000_s1094" style="flip:x;position:absolute" from="2592,4362" to="2682,4518" coordsize="21600,21600"/>
                </v:group>
                <v:group id="_x0000_s1095" o:spid="_x0000_s1095" style="width:360;height:156;left:7272;position:absolute;top:4362" coordorigin="2322,4362" coordsize="360,156">
                  <v:line id="_x0000_s1096" o:spid="_x0000_s1096" style="flip:x;position:absolute" from="2322,4362" to="2412,4518" coordsize="21600,21600"/>
                  <v:line id="_x0000_s1097" o:spid="_x0000_s1097" style="flip:x;position:absolute" from="2592,4362" to="2682,4518" coordsize="21600,21600"/>
                </v:group>
                <v:group id="_x0000_s1098" o:spid="_x0000_s1098" style="width:360;height:156;left:7812;position:absolute;top:4362" coordorigin="2322,4362" coordsize="360,156">
                  <v:line id="_x0000_s1099" o:spid="_x0000_s1099" style="flip:x;position:absolute" from="2322,4362" to="2412,4518" coordsize="21600,21600"/>
                  <v:line id="_x0000_s1100" o:spid="_x0000_s1100" style="flip:x;position:absolute" from="2592,4362" to="2682,4518" coordsize="21600,21600"/>
                </v:group>
                <v:group id="_x0000_s1101" o:spid="_x0000_s1101" style="width:360;height:156;left:8352;position:absolute;top:4362" coordorigin="2322,4362" coordsize="360,156">
                  <v:line id="_x0000_s1102" o:spid="_x0000_s1102" style="flip:x;position:absolute" from="2322,4362" to="2412,4518" coordsize="21600,21600"/>
                  <v:line id="_x0000_s1103" o:spid="_x0000_s1103" style="flip:x;position:absolute" from="2592,4362" to="2682,4518" coordsize="21600,21600"/>
                </v:group>
                <v:group id="_x0000_s1104" o:spid="_x0000_s1104" style="width:360;height:156;left:8892;position:absolute;top:4362" coordorigin="2322,4362" coordsize="360,156">
                  <v:line id="_x0000_s1105" o:spid="_x0000_s1105" style="flip:x;position:absolute" from="2322,4362" to="2412,4518" coordsize="21600,21600"/>
                  <v:line id="_x0000_s1106" o:spid="_x0000_s1106" style="flip:x;position:absolute" from="2592,4362" to="2682,4518" coordsize="21600,21600"/>
                </v:group>
                <v:shape id="_x0000_s1107" o:spid="_x0000_s1107" type="#_x0000_t202" style="width:720;height:468;left:5172;position:absolute;top:2892" coordsize="21600,21600" filled="f" stroked="f">
                  <v:stroke joinstyle="miter"/>
                  <v:textbox>
                    <w:txbxContent>
                      <w:p>
                        <w:pPr>
                          <w:pStyle w:val="Normal0"/>
                        </w:pPr>
                        <w:r>
                          <w:t>400</w:t>
                        </w:r>
                      </w:p>
                    </w:txbxContent>
                  </v:textbox>
                </v:shape>
                <v:shape id="_x0000_s1108" o:spid="_x0000_s1108" type="#_x0000_t202" style="width:720;height:468;left:5202;position:absolute;top:4809" coordsize="21600,21600" filled="f" stroked="f">
                  <v:stroke joinstyle="miter"/>
                  <v:textbox>
                    <w:txbxContent>
                      <w:p>
                        <w:pPr>
                          <w:pStyle w:val="Normal0"/>
                        </w:pPr>
                        <w:r>
                          <w:t>460</w:t>
                        </w:r>
                      </w:p>
                    </w:txbxContent>
                  </v:textbox>
                </v:shape>
                <v:shape id="_x0000_s1109" o:spid="_x0000_s1109" type="#_x0000_t202" style="width:720;height:468;left:2772;position:absolute;top:3894" coordsize="21600,21600" filled="f" stroked="f">
                  <v:stroke joinstyle="miter"/>
                  <v:textbox>
                    <w:txbxContent>
                      <w:p>
                        <w:pPr>
                          <w:pStyle w:val="Normal0"/>
                        </w:pPr>
                        <w:r>
                          <w:t>1:1</w:t>
                        </w:r>
                      </w:p>
                    </w:txbxContent>
                  </v:textbox>
                </v:shape>
                <v:shape id="_x0000_s1110" o:spid="_x0000_s1110" type="#_x0000_t202" style="width:720;height:468;left:7917;position:absolute;top:3894" coordsize="21600,21600" filled="f" stroked="f">
                  <v:stroke joinstyle="miter"/>
                  <v:textbox>
                    <w:txbxContent>
                      <w:p>
                        <w:pPr>
                          <w:pStyle w:val="Normal0"/>
                        </w:pPr>
                        <w:r>
                          <w:t>1:1</w:t>
                        </w:r>
                      </w:p>
                    </w:txbxContent>
                  </v:textbox>
                </v:shape>
                <v:shape id="_x0000_s1111" o:spid="_x0000_s1111" type="#_x0000_t202" style="width:3960;height:624;left:3672;position:absolute;top:5766" coordsize="21600,21600" filled="f" stroked="f">
                  <v:stroke joinstyle="miter"/>
                  <v:textbox>
                    <w:txbxContent>
                      <w:p>
                        <w:pPr>
                          <w:pStyle w:val="Normal0"/>
                          <w:jc w:val="center"/>
                        </w:pPr>
                        <w:r>
                          <w:rPr>
                            <w:rFonts w:hint="eastAsia"/>
                          </w:rPr>
                          <w:t>田间道路横断面图</w:t>
                        </w:r>
                      </w:p>
                    </w:txbxContent>
                  </v:textbox>
                </v:shape>
              </v:group>
            </v:group>
            <w10:anchorlock/>
          </v:group>
        </w:pict>
      </w:r>
    </w:p>
    <w:p>
      <w:pPr>
        <w:pStyle w:val="Heading1"/>
        <w:rPr>
          <w:rFonts w:hint="eastAsia"/>
        </w:rPr>
      </w:pPr>
      <w:r>
        <w:rPr>
          <w:rFonts w:hint="eastAsia"/>
        </w:rPr>
        <w:t xml:space="preserve">  施工组织设计</w:t>
      </w:r>
    </w:p>
    <w:p>
      <w:pPr>
        <w:pStyle w:val="Heading2"/>
        <w:rPr>
          <w:rFonts w:hint="eastAsia"/>
        </w:rPr>
      </w:pPr>
      <w:r>
        <w:rPr>
          <w:rFonts w:hint="eastAsia"/>
        </w:rPr>
        <w:t>工程量</w:t>
      </w:r>
    </w:p>
    <w:p>
      <w:pPr>
        <w:pStyle w:val="Normal0"/>
        <w:ind w:firstLine="560" w:firstLineChars="200"/>
        <w:rPr>
          <w:rFonts w:ascii="宋体" w:hAnsi="宋体" w:hint="eastAsia"/>
          <w:sz w:val="28"/>
          <w:szCs w:val="30"/>
        </w:rPr>
        <w:sectPr>
          <w:headerReference w:type="default" r:id="rId78"/>
          <w:footerReference w:type="default" r:id="rId79"/>
          <w:type w:val="nextPage"/>
          <w:pgSz w:w="11907" w:h="16840"/>
          <w:pgMar w:top="1701" w:right="1418" w:bottom="1418" w:left="1418" w:header="1417" w:footer="567" w:gutter="567"/>
          <w:pgNumType w:start="14"/>
          <w:cols w:num="1" w:space="720"/>
          <w:titlePg w:val="0"/>
          <w:docGrid w:type="lines" w:linePitch="312" w:charSpace="0"/>
        </w:sectPr>
      </w:pPr>
      <w:r>
        <w:rPr>
          <w:rFonts w:ascii="宋体" w:hAnsi="宋体" w:hint="eastAsia"/>
          <w:sz w:val="28"/>
          <w:szCs w:val="28"/>
        </w:rPr>
        <w:t>武川县坡耕地水土综合整治试点工程实施</w:t>
      </w:r>
      <w:r>
        <w:rPr>
          <w:rFonts w:ascii="宋体" w:hAnsi="宋体" w:hint="eastAsia"/>
          <w:sz w:val="28"/>
          <w:szCs w:val="28"/>
          <w:lang w:eastAsia="zh-CN"/>
        </w:rPr>
        <w:t>合适的方案</w:t>
      </w:r>
      <w:r>
        <w:rPr>
          <w:rFonts w:ascii="宋体" w:hAnsi="宋体" w:hint="eastAsia"/>
          <w:sz w:val="28"/>
          <w:szCs w:val="28"/>
        </w:rPr>
        <w:t>建设区为三年。</w:t>
      </w:r>
      <w:r>
        <w:rPr>
          <w:rFonts w:ascii="宋体" w:hAnsi="宋体" w:hint="eastAsia"/>
          <w:sz w:val="28"/>
          <w:szCs w:val="28"/>
          <w:lang w:eastAsia="zh-CN"/>
        </w:rPr>
        <w:t>相关项目</w:t>
      </w:r>
      <w:r>
        <w:rPr>
          <w:rFonts w:ascii="宋体" w:hAnsi="宋体" w:hint="eastAsia"/>
          <w:sz w:val="28"/>
          <w:szCs w:val="28"/>
        </w:rPr>
        <w:t>完成后新增水土流失综合治理面积2816hm</w:t>
      </w:r>
      <w:r>
        <w:rPr>
          <w:rFonts w:ascii="宋体" w:hAnsi="宋体" w:hint="eastAsia"/>
          <w:sz w:val="28"/>
          <w:szCs w:val="28"/>
          <w:vertAlign w:val="superscript"/>
        </w:rPr>
        <w:t>2</w:t>
      </w:r>
      <w:r>
        <w:rPr>
          <w:rFonts w:ascii="宋体" w:hAnsi="宋体" w:hint="eastAsia"/>
          <w:sz w:val="28"/>
          <w:szCs w:val="30"/>
        </w:rPr>
        <w:t>，即“坡改梯”面种</w:t>
      </w:r>
      <w:r>
        <w:rPr>
          <w:rFonts w:ascii="宋体" w:hAnsi="宋体" w:hint="eastAsia"/>
          <w:sz w:val="28"/>
          <w:szCs w:val="28"/>
        </w:rPr>
        <w:t>2816hm</w:t>
      </w:r>
      <w:r>
        <w:rPr>
          <w:rFonts w:ascii="宋体" w:hAnsi="宋体" w:hint="eastAsia"/>
          <w:sz w:val="28"/>
          <w:szCs w:val="28"/>
          <w:vertAlign w:val="superscript"/>
        </w:rPr>
        <w:t>2</w:t>
      </w:r>
      <w:r>
        <w:rPr>
          <w:rFonts w:ascii="宋体" w:hAnsi="宋体" w:hint="eastAsia"/>
          <w:sz w:val="28"/>
          <w:szCs w:val="30"/>
        </w:rPr>
        <w:t>。其中：采用节水灌溉技术发展水浇地450</w:t>
      </w:r>
      <w:r>
        <w:rPr>
          <w:rFonts w:ascii="宋体" w:hAnsi="宋体" w:hint="eastAsia"/>
          <w:sz w:val="28"/>
          <w:szCs w:val="28"/>
        </w:rPr>
        <w:t>hm</w:t>
      </w:r>
      <w:r>
        <w:rPr>
          <w:rFonts w:ascii="宋体" w:hAnsi="宋体" w:hint="eastAsia"/>
          <w:sz w:val="28"/>
          <w:szCs w:val="28"/>
          <w:vertAlign w:val="superscript"/>
        </w:rPr>
        <w:t>2</w:t>
      </w:r>
      <w:r>
        <w:rPr>
          <w:rFonts w:ascii="宋体" w:hAnsi="宋体" w:hint="eastAsia"/>
          <w:sz w:val="28"/>
          <w:szCs w:val="30"/>
        </w:rPr>
        <w:t>，新打灌溉机电井30眼，修建农田作业路140.8k</w:t>
      </w:r>
      <w:r>
        <w:rPr>
          <w:rFonts w:ascii="宋体" w:hAnsi="宋体" w:hint="eastAsia"/>
          <w:sz w:val="28"/>
          <w:szCs w:val="28"/>
        </w:rPr>
        <w:t>m</w:t>
      </w:r>
      <w:r>
        <w:rPr>
          <w:rFonts w:ascii="宋体" w:hAnsi="宋体" w:hint="eastAsia"/>
          <w:sz w:val="28"/>
          <w:szCs w:val="30"/>
        </w:rPr>
        <w:t>，栽植防风林18.89万株，修长土谷坊87座。</w:t>
      </w:r>
    </w:p>
    <w:p>
      <w:pPr>
        <w:pStyle w:val="Normal0"/>
        <w:ind w:firstLine="560" w:firstLineChars="200"/>
        <w:rPr>
          <w:rFonts w:ascii="宋体" w:hAnsi="宋体" w:hint="eastAsia"/>
          <w:sz w:val="28"/>
          <w:szCs w:val="30"/>
        </w:rPr>
      </w:pPr>
      <w:r>
        <w:rPr>
          <w:rFonts w:ascii="宋体" w:hAnsi="宋体" w:hint="eastAsia"/>
          <w:sz w:val="28"/>
          <w:szCs w:val="30"/>
          <w:lang w:eastAsia="zh-CN"/>
        </w:rPr>
        <w:t>相关项目</w:t>
      </w:r>
      <w:r>
        <w:rPr>
          <w:rFonts w:ascii="宋体" w:hAnsi="宋体" w:hint="eastAsia"/>
          <w:sz w:val="28"/>
          <w:szCs w:val="30"/>
        </w:rPr>
        <w:t>建设主要工程量：土方111.22万</w:t>
      </w:r>
      <w:r>
        <w:rPr>
          <w:rFonts w:ascii="宋体" w:hAnsi="宋体" w:hint="eastAsia"/>
          <w:sz w:val="28"/>
          <w:szCs w:val="28"/>
        </w:rPr>
        <w:t>m</w:t>
      </w:r>
      <w:r>
        <w:rPr>
          <w:rFonts w:ascii="宋体" w:hAnsi="宋体" w:hint="eastAsia"/>
          <w:sz w:val="28"/>
          <w:szCs w:val="28"/>
          <w:vertAlign w:val="superscript"/>
        </w:rPr>
        <w:t>3</w:t>
      </w:r>
      <w:r>
        <w:rPr>
          <w:rFonts w:ascii="宋体" w:hAnsi="宋体" w:hint="eastAsia"/>
          <w:sz w:val="28"/>
          <w:szCs w:val="30"/>
        </w:rPr>
        <w:t>，混凝土117.6</w:t>
      </w:r>
      <w:r>
        <w:rPr>
          <w:rFonts w:ascii="宋体" w:hAnsi="宋体" w:hint="eastAsia"/>
          <w:sz w:val="28"/>
          <w:szCs w:val="28"/>
        </w:rPr>
        <w:t>m</w:t>
      </w:r>
      <w:r>
        <w:rPr>
          <w:rFonts w:ascii="宋体" w:hAnsi="宋体" w:hint="eastAsia"/>
          <w:sz w:val="28"/>
          <w:szCs w:val="28"/>
          <w:vertAlign w:val="superscript"/>
        </w:rPr>
        <w:t>3</w:t>
      </w:r>
      <w:r>
        <w:rPr>
          <w:rFonts w:ascii="宋体" w:hAnsi="宋体" w:hint="eastAsia"/>
          <w:sz w:val="28"/>
          <w:szCs w:val="30"/>
        </w:rPr>
        <w:t>，浆砌石101</w:t>
      </w:r>
      <w:r>
        <w:rPr>
          <w:rFonts w:ascii="宋体" w:hAnsi="宋体" w:hint="eastAsia"/>
          <w:sz w:val="28"/>
          <w:szCs w:val="28"/>
        </w:rPr>
        <w:t xml:space="preserve"> m</w:t>
      </w:r>
      <w:r>
        <w:rPr>
          <w:rFonts w:ascii="宋体" w:hAnsi="宋体" w:hint="eastAsia"/>
          <w:sz w:val="28"/>
          <w:szCs w:val="28"/>
          <w:vertAlign w:val="superscript"/>
        </w:rPr>
        <w:t>3</w:t>
      </w:r>
      <w:r>
        <w:rPr>
          <w:rFonts w:ascii="宋体" w:hAnsi="宋体" w:hint="eastAsia"/>
          <w:sz w:val="28"/>
          <w:szCs w:val="30"/>
        </w:rPr>
        <w:t>，砖砌体354.6</w:t>
      </w:r>
      <w:r>
        <w:rPr>
          <w:rFonts w:ascii="宋体" w:hAnsi="宋体" w:hint="eastAsia"/>
          <w:sz w:val="28"/>
          <w:szCs w:val="28"/>
        </w:rPr>
        <w:t xml:space="preserve"> m</w:t>
      </w:r>
      <w:r>
        <w:rPr>
          <w:rFonts w:ascii="宋体" w:hAnsi="宋体" w:hint="eastAsia"/>
          <w:sz w:val="28"/>
          <w:szCs w:val="28"/>
          <w:vertAlign w:val="superscript"/>
        </w:rPr>
        <w:t>3</w:t>
      </w:r>
      <w:r>
        <w:rPr>
          <w:rFonts w:ascii="宋体" w:hAnsi="宋体" w:hint="eastAsia"/>
          <w:sz w:val="28"/>
          <w:szCs w:val="30"/>
        </w:rPr>
        <w:t>，苗木18.89万株，钢筋7.5t。详见表8-1。</w:t>
      </w:r>
    </w:p>
    <w:p>
      <w:pPr>
        <w:pStyle w:val="a"/>
        <w:rPr>
          <w:szCs w:val="28"/>
        </w:rPr>
      </w:pPr>
      <w:r>
        <w:rPr>
          <w:rFonts w:hint="eastAsia"/>
        </w:rPr>
        <w:t xml:space="preserve">表8-1                 </w:t>
      </w:r>
      <w:r>
        <w:t>主要工程量、材料量及用工量汇总表</w:t>
      </w:r>
    </w:p>
    <w:tbl>
      <w:tblPr>
        <w:tblStyle w:val="TableNormal"/>
        <w:tblW w:w="8532" w:type="dxa"/>
        <w:tblInd w:w="93" w:type="dxa"/>
        <w:tblCellMar>
          <w:top w:w="0" w:type="dxa"/>
          <w:left w:w="108" w:type="dxa"/>
          <w:bottom w:w="0" w:type="dxa"/>
          <w:right w:w="108" w:type="dxa"/>
        </w:tblCellMar>
      </w:tblPr>
      <w:tblGrid>
        <w:gridCol w:w="853"/>
        <w:gridCol w:w="853"/>
        <w:gridCol w:w="853"/>
        <w:gridCol w:w="853"/>
        <w:gridCol w:w="854"/>
        <w:gridCol w:w="853"/>
        <w:gridCol w:w="853"/>
        <w:gridCol w:w="853"/>
        <w:gridCol w:w="853"/>
        <w:gridCol w:w="854"/>
      </w:tblGrid>
      <w:tr>
        <w:tblPrEx>
          <w:tblW w:w="8532" w:type="dxa"/>
          <w:tblInd w:w="93" w:type="dxa"/>
          <w:tblCellMar>
            <w:top w:w="0" w:type="dxa"/>
            <w:left w:w="108" w:type="dxa"/>
            <w:bottom w:w="0" w:type="dxa"/>
            <w:right w:w="108" w:type="dxa"/>
          </w:tblCellMar>
        </w:tblPrEx>
        <w:trPr>
          <w:trHeight w:val="429"/>
        </w:trPr>
        <w:tc>
          <w:tcPr>
            <w:tcW w:w="4266" w:type="dxa"/>
            <w:gridSpan w:val="5"/>
            <w:tcBorders>
              <w:top w:val="single" w:sz="12" w:space="0" w:color="auto"/>
              <w:left w:val="nil"/>
              <w:bottom w:val="single" w:sz="8" w:space="0" w:color="auto"/>
              <w:right w:val="single" w:sz="8" w:space="0" w:color="000000"/>
            </w:tcBorders>
            <w:shd w:val="clear" w:color="auto" w:fill="auto"/>
            <w:noWrap/>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工程量</w:t>
            </w:r>
          </w:p>
        </w:tc>
        <w:tc>
          <w:tcPr>
            <w:tcW w:w="853" w:type="dxa"/>
            <w:vMerge w:val="restart"/>
            <w:tcBorders>
              <w:top w:val="single" w:sz="12" w:space="0" w:color="auto"/>
              <w:left w:val="single" w:sz="8" w:space="0" w:color="auto"/>
              <w:bottom w:val="single" w:sz="8" w:space="0" w:color="000000"/>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用工万工时</w:t>
            </w:r>
          </w:p>
        </w:tc>
        <w:tc>
          <w:tcPr>
            <w:tcW w:w="3413" w:type="dxa"/>
            <w:gridSpan w:val="4"/>
            <w:tcBorders>
              <w:top w:val="single" w:sz="12" w:space="0" w:color="auto"/>
              <w:left w:val="nil"/>
              <w:bottom w:val="single" w:sz="8" w:space="0" w:color="auto"/>
              <w:right w:val="nil"/>
            </w:tcBorders>
            <w:shd w:val="clear" w:color="auto" w:fill="auto"/>
            <w:noWrap/>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材料用量</w:t>
            </w:r>
          </w:p>
        </w:tc>
      </w:tr>
      <w:tr>
        <w:tblPrEx>
          <w:tblW w:w="8532" w:type="dxa"/>
          <w:tblInd w:w="93" w:type="dxa"/>
          <w:tblCellMar>
            <w:top w:w="0" w:type="dxa"/>
            <w:left w:w="108" w:type="dxa"/>
            <w:bottom w:w="0" w:type="dxa"/>
            <w:right w:w="108" w:type="dxa"/>
          </w:tblCellMar>
        </w:tblPrEx>
        <w:trPr>
          <w:trHeight w:val="406"/>
        </w:trPr>
        <w:tc>
          <w:tcPr>
            <w:tcW w:w="853" w:type="dxa"/>
            <w:tcBorders>
              <w:top w:val="nil"/>
              <w:left w:val="nil"/>
              <w:bottom w:val="nil"/>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土方</w:t>
            </w:r>
          </w:p>
        </w:tc>
        <w:tc>
          <w:tcPr>
            <w:tcW w:w="853" w:type="dxa"/>
            <w:vMerge w:val="restart"/>
            <w:tcBorders>
              <w:top w:val="nil"/>
              <w:left w:val="single" w:sz="8" w:space="0" w:color="auto"/>
              <w:bottom w:val="single" w:sz="8" w:space="0" w:color="000000"/>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混凝土m</w:t>
            </w:r>
            <w:r>
              <w:rPr>
                <w:rFonts w:ascii="宋体" w:hAnsi="宋体" w:cs="宋体" w:hint="eastAsia"/>
                <w:b/>
                <w:bCs/>
                <w:color w:val="000000"/>
                <w:kern w:val="0"/>
                <w:szCs w:val="21"/>
                <w:vertAlign w:val="superscript"/>
              </w:rPr>
              <w:t>3</w:t>
            </w:r>
          </w:p>
        </w:tc>
        <w:tc>
          <w:tcPr>
            <w:tcW w:w="853" w:type="dxa"/>
            <w:vMerge w:val="restart"/>
            <w:tcBorders>
              <w:top w:val="nil"/>
              <w:left w:val="single" w:sz="8" w:space="0" w:color="auto"/>
              <w:bottom w:val="single" w:sz="8" w:space="0" w:color="000000"/>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浆砌石m</w:t>
            </w:r>
            <w:r>
              <w:rPr>
                <w:rFonts w:ascii="宋体" w:hAnsi="宋体" w:cs="宋体" w:hint="eastAsia"/>
                <w:b/>
                <w:bCs/>
                <w:color w:val="000000"/>
                <w:kern w:val="0"/>
                <w:szCs w:val="21"/>
                <w:vertAlign w:val="superscript"/>
              </w:rPr>
              <w:t>3</w:t>
            </w:r>
          </w:p>
        </w:tc>
        <w:tc>
          <w:tcPr>
            <w:tcW w:w="853" w:type="dxa"/>
            <w:tcBorders>
              <w:top w:val="nil"/>
              <w:left w:val="nil"/>
              <w:bottom w:val="nil"/>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砖砌体</w:t>
            </w:r>
          </w:p>
        </w:tc>
        <w:tc>
          <w:tcPr>
            <w:tcW w:w="854" w:type="dxa"/>
            <w:tcBorders>
              <w:top w:val="nil"/>
              <w:left w:val="nil"/>
              <w:bottom w:val="nil"/>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打井</w:t>
            </w:r>
          </w:p>
        </w:tc>
        <w:tc>
          <w:tcPr>
            <w:tcW w:w="853" w:type="dxa"/>
            <w:vMerge/>
            <w:tcBorders>
              <w:top w:val="single" w:sz="8" w:space="0" w:color="auto"/>
              <w:left w:val="single" w:sz="8" w:space="0" w:color="auto"/>
              <w:bottom w:val="single" w:sz="8" w:space="0" w:color="000000"/>
              <w:right w:val="single" w:sz="8" w:space="0" w:color="auto"/>
            </w:tcBorders>
            <w:vAlign w:val="center"/>
          </w:tcPr>
          <w:p>
            <w:pPr>
              <w:pStyle w:val="Normal0"/>
              <w:widowControl/>
              <w:jc w:val="left"/>
              <w:rPr>
                <w:rFonts w:ascii="宋体" w:hAnsi="宋体" w:cs="宋体"/>
                <w:b/>
                <w:bCs/>
                <w:color w:val="000000"/>
                <w:kern w:val="0"/>
                <w:szCs w:val="21"/>
              </w:rPr>
            </w:pPr>
          </w:p>
        </w:tc>
        <w:tc>
          <w:tcPr>
            <w:tcW w:w="853" w:type="dxa"/>
            <w:tcBorders>
              <w:top w:val="nil"/>
              <w:left w:val="nil"/>
              <w:bottom w:val="nil"/>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钢筋</w:t>
            </w:r>
          </w:p>
        </w:tc>
        <w:tc>
          <w:tcPr>
            <w:tcW w:w="853" w:type="dxa"/>
            <w:tcBorders>
              <w:top w:val="nil"/>
              <w:left w:val="nil"/>
              <w:bottom w:val="nil"/>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水泥</w:t>
            </w:r>
          </w:p>
        </w:tc>
        <w:tc>
          <w:tcPr>
            <w:tcW w:w="853" w:type="dxa"/>
            <w:tcBorders>
              <w:top w:val="nil"/>
              <w:left w:val="nil"/>
              <w:bottom w:val="nil"/>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管材</w:t>
            </w:r>
          </w:p>
        </w:tc>
        <w:tc>
          <w:tcPr>
            <w:tcW w:w="854" w:type="dxa"/>
            <w:tcBorders>
              <w:top w:val="nil"/>
              <w:left w:val="nil"/>
              <w:bottom w:val="nil"/>
              <w:right w:val="nil"/>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苗木</w:t>
            </w:r>
          </w:p>
        </w:tc>
      </w:tr>
      <w:tr>
        <w:tblPrEx>
          <w:tblW w:w="8532" w:type="dxa"/>
          <w:tblInd w:w="93" w:type="dxa"/>
          <w:tblCellMar>
            <w:top w:w="0" w:type="dxa"/>
            <w:left w:w="108" w:type="dxa"/>
            <w:bottom w:w="0" w:type="dxa"/>
            <w:right w:w="108" w:type="dxa"/>
          </w:tblCellMar>
        </w:tblPrEx>
        <w:trPr>
          <w:trHeight w:val="418"/>
        </w:trPr>
        <w:tc>
          <w:tcPr>
            <w:tcW w:w="853" w:type="dxa"/>
            <w:tcBorders>
              <w:top w:val="nil"/>
              <w:left w:val="nil"/>
              <w:bottom w:val="single" w:sz="8" w:space="0" w:color="auto"/>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万m</w:t>
            </w:r>
            <w:r>
              <w:rPr>
                <w:rFonts w:ascii="宋体" w:hAnsi="宋体" w:cs="宋体" w:hint="eastAsia"/>
                <w:b/>
                <w:bCs/>
                <w:color w:val="000000"/>
                <w:kern w:val="0"/>
                <w:szCs w:val="21"/>
                <w:vertAlign w:val="superscript"/>
              </w:rPr>
              <w:t>3</w:t>
            </w:r>
          </w:p>
        </w:tc>
        <w:tc>
          <w:tcPr>
            <w:tcW w:w="853" w:type="dxa"/>
            <w:vMerge/>
            <w:tcBorders>
              <w:top w:val="nil"/>
              <w:left w:val="single" w:sz="8" w:space="0" w:color="auto"/>
              <w:bottom w:val="single" w:sz="8" w:space="0" w:color="000000"/>
              <w:right w:val="single" w:sz="8" w:space="0" w:color="auto"/>
            </w:tcBorders>
            <w:vAlign w:val="center"/>
          </w:tcPr>
          <w:p>
            <w:pPr>
              <w:pStyle w:val="Normal0"/>
              <w:widowControl/>
              <w:jc w:val="left"/>
              <w:rPr>
                <w:rFonts w:ascii="宋体" w:hAnsi="宋体" w:cs="宋体"/>
                <w:b/>
                <w:bCs/>
                <w:color w:val="000000"/>
                <w:kern w:val="0"/>
                <w:szCs w:val="21"/>
              </w:rPr>
            </w:pPr>
          </w:p>
        </w:tc>
        <w:tc>
          <w:tcPr>
            <w:tcW w:w="853" w:type="dxa"/>
            <w:vMerge/>
            <w:tcBorders>
              <w:top w:val="nil"/>
              <w:left w:val="single" w:sz="8" w:space="0" w:color="auto"/>
              <w:bottom w:val="single" w:sz="8" w:space="0" w:color="000000"/>
              <w:right w:val="single" w:sz="8" w:space="0" w:color="auto"/>
            </w:tcBorders>
            <w:vAlign w:val="center"/>
          </w:tcPr>
          <w:p>
            <w:pPr>
              <w:pStyle w:val="Normal0"/>
              <w:widowControl/>
              <w:jc w:val="left"/>
              <w:rPr>
                <w:rFonts w:ascii="宋体" w:hAnsi="宋体" w:cs="宋体"/>
                <w:b/>
                <w:bCs/>
                <w:color w:val="000000"/>
                <w:kern w:val="0"/>
                <w:szCs w:val="21"/>
              </w:rPr>
            </w:pPr>
          </w:p>
        </w:tc>
        <w:tc>
          <w:tcPr>
            <w:tcW w:w="853" w:type="dxa"/>
            <w:tcBorders>
              <w:top w:val="nil"/>
              <w:left w:val="nil"/>
              <w:bottom w:val="single" w:sz="8" w:space="0" w:color="auto"/>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m</w:t>
            </w:r>
            <w:r>
              <w:rPr>
                <w:rFonts w:ascii="宋体" w:hAnsi="宋体" w:cs="宋体" w:hint="eastAsia"/>
                <w:b/>
                <w:bCs/>
                <w:color w:val="000000"/>
                <w:kern w:val="0"/>
                <w:szCs w:val="21"/>
                <w:vertAlign w:val="superscript"/>
              </w:rPr>
              <w:t>3</w:t>
            </w:r>
          </w:p>
        </w:tc>
        <w:tc>
          <w:tcPr>
            <w:tcW w:w="854" w:type="dxa"/>
            <w:tcBorders>
              <w:top w:val="nil"/>
              <w:left w:val="nil"/>
              <w:bottom w:val="single" w:sz="8" w:space="0" w:color="auto"/>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m</w:t>
            </w:r>
          </w:p>
        </w:tc>
        <w:tc>
          <w:tcPr>
            <w:tcW w:w="853" w:type="dxa"/>
            <w:vMerge/>
            <w:tcBorders>
              <w:top w:val="single" w:sz="8" w:space="0" w:color="auto"/>
              <w:left w:val="single" w:sz="8" w:space="0" w:color="auto"/>
              <w:bottom w:val="single" w:sz="8" w:space="0" w:color="000000"/>
              <w:right w:val="single" w:sz="8" w:space="0" w:color="auto"/>
            </w:tcBorders>
            <w:vAlign w:val="center"/>
          </w:tcPr>
          <w:p>
            <w:pPr>
              <w:pStyle w:val="Normal0"/>
              <w:widowControl/>
              <w:jc w:val="left"/>
              <w:rPr>
                <w:rFonts w:ascii="宋体" w:hAnsi="宋体" w:cs="宋体"/>
                <w:b/>
                <w:bCs/>
                <w:color w:val="000000"/>
                <w:kern w:val="0"/>
                <w:szCs w:val="21"/>
              </w:rPr>
            </w:pPr>
          </w:p>
        </w:tc>
        <w:tc>
          <w:tcPr>
            <w:tcW w:w="853" w:type="dxa"/>
            <w:tcBorders>
              <w:top w:val="nil"/>
              <w:left w:val="nil"/>
              <w:bottom w:val="single" w:sz="8" w:space="0" w:color="auto"/>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t</w:t>
            </w:r>
          </w:p>
        </w:tc>
        <w:tc>
          <w:tcPr>
            <w:tcW w:w="853" w:type="dxa"/>
            <w:tcBorders>
              <w:top w:val="nil"/>
              <w:left w:val="nil"/>
              <w:bottom w:val="single" w:sz="8" w:space="0" w:color="auto"/>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t</w:t>
            </w:r>
          </w:p>
        </w:tc>
        <w:tc>
          <w:tcPr>
            <w:tcW w:w="853" w:type="dxa"/>
            <w:tcBorders>
              <w:top w:val="nil"/>
              <w:left w:val="nil"/>
              <w:bottom w:val="single" w:sz="8" w:space="0" w:color="auto"/>
              <w:right w:val="single" w:sz="8" w:space="0" w:color="auto"/>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m</w:t>
            </w:r>
          </w:p>
        </w:tc>
        <w:tc>
          <w:tcPr>
            <w:tcW w:w="854" w:type="dxa"/>
            <w:tcBorders>
              <w:top w:val="nil"/>
              <w:left w:val="nil"/>
              <w:bottom w:val="single" w:sz="8" w:space="0" w:color="auto"/>
              <w:right w:val="nil"/>
            </w:tcBorders>
            <w:shd w:val="clear" w:color="auto" w:fill="auto"/>
            <w:vAlign w:val="center"/>
          </w:tcPr>
          <w:p>
            <w:pPr>
              <w:pStyle w:val="Normal0"/>
              <w:widowControl/>
              <w:jc w:val="center"/>
              <w:rPr>
                <w:rFonts w:ascii="宋体" w:hAnsi="宋体" w:cs="宋体"/>
                <w:b/>
                <w:bCs/>
                <w:color w:val="000000"/>
                <w:kern w:val="0"/>
                <w:szCs w:val="21"/>
              </w:rPr>
            </w:pPr>
            <w:r>
              <w:rPr>
                <w:rFonts w:ascii="宋体" w:hAnsi="宋体" w:cs="宋体" w:hint="eastAsia"/>
                <w:b/>
                <w:bCs/>
                <w:color w:val="000000"/>
                <w:kern w:val="0"/>
                <w:szCs w:val="21"/>
              </w:rPr>
              <w:t>万株</w:t>
            </w:r>
          </w:p>
        </w:tc>
      </w:tr>
      <w:tr>
        <w:tblPrEx>
          <w:tblW w:w="8532" w:type="dxa"/>
          <w:tblInd w:w="93" w:type="dxa"/>
          <w:tblCellMar>
            <w:top w:w="0" w:type="dxa"/>
            <w:left w:w="108" w:type="dxa"/>
            <w:bottom w:w="0" w:type="dxa"/>
            <w:right w:w="108" w:type="dxa"/>
          </w:tblCellMar>
        </w:tblPrEx>
        <w:trPr>
          <w:trHeight w:val="637"/>
        </w:trPr>
        <w:tc>
          <w:tcPr>
            <w:tcW w:w="853" w:type="dxa"/>
            <w:tcBorders>
              <w:top w:val="nil"/>
              <w:left w:val="nil"/>
              <w:bottom w:val="single" w:sz="12" w:space="0" w:color="auto"/>
              <w:right w:val="single" w:sz="8" w:space="0" w:color="auto"/>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111.22</w:t>
            </w:r>
          </w:p>
        </w:tc>
        <w:tc>
          <w:tcPr>
            <w:tcW w:w="853" w:type="dxa"/>
            <w:tcBorders>
              <w:top w:val="nil"/>
              <w:left w:val="nil"/>
              <w:bottom w:val="single" w:sz="12" w:space="0" w:color="auto"/>
              <w:right w:val="single" w:sz="8" w:space="0" w:color="auto"/>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117.6</w:t>
            </w:r>
          </w:p>
        </w:tc>
        <w:tc>
          <w:tcPr>
            <w:tcW w:w="853" w:type="dxa"/>
            <w:tcBorders>
              <w:top w:val="nil"/>
              <w:left w:val="nil"/>
              <w:bottom w:val="single" w:sz="12" w:space="0" w:color="auto"/>
              <w:right w:val="single" w:sz="8" w:space="0" w:color="auto"/>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101</w:t>
            </w:r>
          </w:p>
        </w:tc>
        <w:tc>
          <w:tcPr>
            <w:tcW w:w="853" w:type="dxa"/>
            <w:tcBorders>
              <w:top w:val="nil"/>
              <w:left w:val="nil"/>
              <w:bottom w:val="single" w:sz="12" w:space="0" w:color="auto"/>
              <w:right w:val="single" w:sz="8" w:space="0" w:color="auto"/>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354.6</w:t>
            </w:r>
          </w:p>
        </w:tc>
        <w:tc>
          <w:tcPr>
            <w:tcW w:w="854" w:type="dxa"/>
            <w:tcBorders>
              <w:top w:val="nil"/>
              <w:left w:val="nil"/>
              <w:bottom w:val="single" w:sz="12" w:space="0" w:color="auto"/>
              <w:right w:val="single" w:sz="8" w:space="0" w:color="auto"/>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3900</w:t>
            </w:r>
          </w:p>
        </w:tc>
        <w:tc>
          <w:tcPr>
            <w:tcW w:w="853" w:type="dxa"/>
            <w:tcBorders>
              <w:top w:val="nil"/>
              <w:left w:val="nil"/>
              <w:bottom w:val="single" w:sz="12" w:space="0" w:color="auto"/>
              <w:right w:val="single" w:sz="8" w:space="0" w:color="auto"/>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415.13　</w:t>
            </w:r>
          </w:p>
        </w:tc>
        <w:tc>
          <w:tcPr>
            <w:tcW w:w="853" w:type="dxa"/>
            <w:tcBorders>
              <w:top w:val="nil"/>
              <w:left w:val="nil"/>
              <w:bottom w:val="single" w:sz="12" w:space="0" w:color="auto"/>
              <w:right w:val="single" w:sz="8" w:space="0" w:color="auto"/>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7.5</w:t>
            </w:r>
          </w:p>
        </w:tc>
        <w:tc>
          <w:tcPr>
            <w:tcW w:w="853" w:type="dxa"/>
            <w:tcBorders>
              <w:top w:val="nil"/>
              <w:left w:val="nil"/>
              <w:bottom w:val="single" w:sz="12" w:space="0" w:color="auto"/>
              <w:right w:val="single" w:sz="8" w:space="0" w:color="auto"/>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34.1</w:t>
            </w:r>
          </w:p>
        </w:tc>
        <w:tc>
          <w:tcPr>
            <w:tcW w:w="853" w:type="dxa"/>
            <w:tcBorders>
              <w:top w:val="nil"/>
              <w:left w:val="nil"/>
              <w:bottom w:val="single" w:sz="12" w:space="0" w:color="auto"/>
              <w:right w:val="single" w:sz="8" w:space="0" w:color="auto"/>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68700</w:t>
            </w:r>
          </w:p>
        </w:tc>
        <w:tc>
          <w:tcPr>
            <w:tcW w:w="854" w:type="dxa"/>
            <w:tcBorders>
              <w:top w:val="nil"/>
              <w:left w:val="nil"/>
              <w:bottom w:val="single" w:sz="12" w:space="0" w:color="auto"/>
              <w:right w:val="nil"/>
            </w:tcBorders>
            <w:shd w:val="clear" w:color="auto" w:fill="auto"/>
            <w:vAlign w:val="center"/>
          </w:tcPr>
          <w:p>
            <w:pPr>
              <w:pStyle w:val="Normal0"/>
              <w:widowControl/>
              <w:jc w:val="center"/>
              <w:rPr>
                <w:rFonts w:ascii="宋体" w:hAnsi="宋体" w:cs="宋体"/>
                <w:color w:val="000000"/>
                <w:kern w:val="0"/>
                <w:szCs w:val="21"/>
              </w:rPr>
            </w:pPr>
            <w:r>
              <w:rPr>
                <w:rFonts w:ascii="宋体" w:hAnsi="宋体" w:cs="宋体" w:hint="eastAsia"/>
                <w:color w:val="000000"/>
                <w:kern w:val="0"/>
                <w:szCs w:val="21"/>
              </w:rPr>
              <w:t>19.24</w:t>
            </w:r>
          </w:p>
        </w:tc>
      </w:tr>
    </w:tbl>
    <w:p>
      <w:pPr>
        <w:pStyle w:val="Heading2"/>
        <w:rPr>
          <w:rFonts w:hint="eastAsia"/>
        </w:rPr>
      </w:pPr>
      <w:r>
        <w:rPr>
          <w:rFonts w:hint="eastAsia"/>
        </w:rPr>
        <w:t>施工条件</w:t>
      </w:r>
    </w:p>
    <w:p>
      <w:pPr>
        <w:pStyle w:val="Heading3"/>
      </w:pPr>
      <w:r>
        <w:rPr>
          <w:rFonts w:hint="eastAsia"/>
        </w:rPr>
        <w:t>自然条件</w:t>
      </w:r>
    </w:p>
    <w:p>
      <w:pPr>
        <w:pStyle w:val="Normal0"/>
        <w:ind w:firstLine="560" w:firstLineChars="200"/>
        <w:rPr>
          <w:rFonts w:ascii="宋体" w:hAnsi="宋体"/>
          <w:sz w:val="28"/>
          <w:szCs w:val="30"/>
        </w:rPr>
      </w:pPr>
      <w:r>
        <w:rPr>
          <w:rFonts w:ascii="宋体" w:hAnsi="宋体" w:hint="eastAsia"/>
          <w:sz w:val="28"/>
          <w:szCs w:val="30"/>
          <w:lang w:eastAsia="zh-CN"/>
        </w:rPr>
        <w:t>相关项目</w:t>
      </w:r>
      <w:r>
        <w:rPr>
          <w:rFonts w:ascii="宋体" w:hAnsi="宋体" w:hint="eastAsia"/>
          <w:sz w:val="28"/>
          <w:szCs w:val="30"/>
        </w:rPr>
        <w:t>区属于典型北温带大陆性干旱、半干旱季风区气侯区，降雨量少而集中，蒸发量大，年内温差变化大，干燥季风。冬季干燥寒冷，夏季炎热多雨，年内降雨主要集中在</w:t>
      </w:r>
      <w:r>
        <w:rPr>
          <w:rFonts w:ascii="宋体" w:hAnsi="宋体"/>
          <w:sz w:val="28"/>
          <w:szCs w:val="30"/>
        </w:rPr>
        <w:t>6</w:t>
      </w:r>
      <w:r>
        <w:rPr>
          <w:rFonts w:ascii="宋体" w:hAnsi="宋体" w:hint="eastAsia"/>
          <w:sz w:val="28"/>
          <w:szCs w:val="30"/>
        </w:rPr>
        <w:t>—</w:t>
      </w:r>
      <w:r>
        <w:rPr>
          <w:rFonts w:ascii="宋体" w:hAnsi="宋体"/>
          <w:sz w:val="28"/>
          <w:szCs w:val="30"/>
        </w:rPr>
        <w:t>7</w:t>
      </w:r>
      <w:r>
        <w:rPr>
          <w:rFonts w:ascii="宋体" w:hAnsi="宋体" w:hint="eastAsia"/>
          <w:sz w:val="28"/>
          <w:szCs w:val="30"/>
        </w:rPr>
        <w:t>月份，占全年降雨的</w:t>
      </w:r>
      <w:r>
        <w:rPr>
          <w:rFonts w:ascii="宋体" w:hAnsi="宋体"/>
          <w:sz w:val="28"/>
          <w:szCs w:val="30"/>
        </w:rPr>
        <w:t>70%</w:t>
      </w:r>
      <w:r>
        <w:rPr>
          <w:rFonts w:ascii="宋体" w:hAnsi="宋体" w:hint="eastAsia"/>
          <w:sz w:val="28"/>
          <w:szCs w:val="30"/>
        </w:rPr>
        <w:t>左右，且多暴雨，由此造成洪水大，历时短，水土流失严重。</w:t>
      </w:r>
    </w:p>
    <w:p>
      <w:pPr>
        <w:pStyle w:val="Normal0"/>
        <w:ind w:firstLine="560" w:firstLineChars="200"/>
        <w:rPr>
          <w:rFonts w:ascii="宋体" w:hAnsi="宋体"/>
          <w:sz w:val="28"/>
          <w:szCs w:val="30"/>
        </w:rPr>
      </w:pPr>
      <w:r>
        <w:rPr>
          <w:rFonts w:ascii="宋体" w:hAnsi="宋体" w:hint="eastAsia"/>
          <w:sz w:val="28"/>
          <w:szCs w:val="30"/>
        </w:rPr>
        <w:t>因此，工程施工安排在“春、夏、秋”三个季节进行。坡改梯、节水灌溉（低压管道、滴灌管网布设）均安排秋后和春耕前实施。机电井和高低压线路施工春夏秋三个季节均可进行施工。田间道路、农田防护林挖坑利用农闲时完成，植树造林春秋两季进行。冬季不宜施工。</w:t>
      </w:r>
    </w:p>
    <w:p>
      <w:pPr>
        <w:pStyle w:val="Heading3"/>
      </w:pPr>
      <w:r>
        <w:rPr>
          <w:rFonts w:hint="eastAsia"/>
        </w:rPr>
        <w:t>施工交通条件</w:t>
      </w:r>
    </w:p>
    <w:p>
      <w:pPr>
        <w:pStyle w:val="Normal0"/>
        <w:ind w:firstLine="560" w:firstLineChars="200"/>
        <w:rPr>
          <w:rFonts w:ascii="宋体" w:hAnsi="宋体"/>
          <w:sz w:val="28"/>
          <w:szCs w:val="30"/>
        </w:rPr>
        <w:sectPr>
          <w:headerReference w:type="default" r:id="rId80"/>
          <w:footerReference w:type="default" r:id="rId81"/>
          <w:type w:val="nextPage"/>
          <w:pgSz w:w="11907" w:h="16840"/>
          <w:pgMar w:top="1701" w:right="1418" w:bottom="1418" w:left="1418" w:header="1417" w:footer="567" w:gutter="567"/>
          <w:pgNumType w:start="15"/>
          <w:cols w:num="1" w:space="720"/>
          <w:titlePg w:val="0"/>
          <w:docGrid w:type="lines" w:linePitch="312" w:charSpace="0"/>
        </w:sectPr>
      </w:pPr>
      <w:r>
        <w:rPr>
          <w:rFonts w:ascii="宋体" w:hAnsi="宋体" w:hint="eastAsia"/>
          <w:sz w:val="28"/>
          <w:szCs w:val="30"/>
          <w:lang w:eastAsia="zh-CN"/>
        </w:rPr>
        <w:t>相关项目</w:t>
      </w:r>
    </w:p>
    <w:p>
      <w:pPr>
        <w:pStyle w:val="Normal0"/>
        <w:ind w:firstLine="560" w:firstLineChars="200"/>
        <w:rPr>
          <w:rFonts w:ascii="宋体" w:hAnsi="宋体"/>
          <w:sz w:val="28"/>
          <w:szCs w:val="30"/>
        </w:rPr>
      </w:pPr>
      <w:r>
        <w:rPr>
          <w:rFonts w:ascii="宋体" w:hAnsi="宋体" w:hint="eastAsia"/>
          <w:sz w:val="28"/>
          <w:szCs w:val="30"/>
        </w:rPr>
        <w:t>区内外均有省道通过，自然村之间都有简易道路，田间有农田作业路，只需在现有道路的基础上进行维护即可满足工程实施的交通需求。</w:t>
      </w:r>
    </w:p>
    <w:p>
      <w:pPr>
        <w:pStyle w:val="Heading3"/>
      </w:pPr>
      <w:r>
        <w:rPr>
          <w:rFonts w:hint="eastAsia"/>
        </w:rPr>
        <w:t>主要材料来源和供应</w:t>
      </w:r>
      <w:r>
        <w:rPr>
          <w:rFonts w:hint="eastAsia"/>
          <w:lang w:eastAsia="zh-CN"/>
        </w:rPr>
        <w:t>合适的方案</w:t>
      </w:r>
    </w:p>
    <w:p>
      <w:pPr>
        <w:pStyle w:val="Normal0"/>
        <w:ind w:firstLine="560" w:firstLineChars="200"/>
        <w:rPr>
          <w:rFonts w:ascii="宋体" w:hAnsi="宋体" w:hint="eastAsia"/>
          <w:sz w:val="28"/>
          <w:szCs w:val="30"/>
        </w:rPr>
      </w:pPr>
      <w:r>
        <w:rPr>
          <w:rFonts w:ascii="宋体" w:hAnsi="宋体" w:hint="eastAsia"/>
          <w:sz w:val="28"/>
          <w:szCs w:val="30"/>
          <w:lang w:eastAsia="zh-CN"/>
        </w:rPr>
        <w:t>相关项目</w:t>
      </w:r>
      <w:r>
        <w:rPr>
          <w:rFonts w:ascii="宋体" w:hAnsi="宋体" w:hint="eastAsia"/>
          <w:sz w:val="28"/>
          <w:szCs w:val="30"/>
        </w:rPr>
        <w:t>区属于武川县可镇所辖，距离县城不足</w:t>
      </w:r>
      <w:r>
        <w:rPr>
          <w:rFonts w:ascii="宋体" w:hAnsi="宋体"/>
          <w:sz w:val="28"/>
          <w:szCs w:val="30"/>
        </w:rPr>
        <w:t>12km</w:t>
      </w:r>
      <w:r>
        <w:rPr>
          <w:rFonts w:ascii="宋体" w:hAnsi="宋体" w:hint="eastAsia"/>
          <w:sz w:val="28"/>
          <w:szCs w:val="30"/>
        </w:rPr>
        <w:t>。工程所需材料和设备均由县城采购供应。沙、石料就地取材。施工用水、电、风、油由施工承包方自行解决。社会问题业主负责协调。</w:t>
      </w:r>
    </w:p>
    <w:p>
      <w:pPr>
        <w:pStyle w:val="Heading2"/>
      </w:pPr>
      <w:r>
        <w:rPr>
          <w:rFonts w:hint="eastAsia"/>
        </w:rPr>
        <w:t>施工工艺和方法</w:t>
      </w:r>
    </w:p>
    <w:p>
      <w:pPr>
        <w:pStyle w:val="Normal0"/>
        <w:ind w:firstLine="560" w:firstLineChars="200"/>
        <w:jc w:val="left"/>
        <w:rPr>
          <w:rFonts w:ascii="宋体" w:hAnsi="宋体"/>
          <w:sz w:val="28"/>
          <w:szCs w:val="30"/>
        </w:rPr>
      </w:pPr>
      <w:r>
        <w:rPr>
          <w:rFonts w:ascii="宋体" w:hAnsi="宋体" w:hint="eastAsia"/>
          <w:sz w:val="28"/>
          <w:szCs w:val="30"/>
        </w:rPr>
        <w:t>坡式梯田和田间道路工程施工工艺和方法已在工程设计中说明，见第</w:t>
      </w:r>
      <w:r>
        <w:rPr>
          <w:rFonts w:ascii="宋体" w:hAnsi="宋体"/>
          <w:sz w:val="28"/>
          <w:szCs w:val="30"/>
        </w:rPr>
        <w:t>6</w:t>
      </w:r>
      <w:r>
        <w:rPr>
          <w:rFonts w:ascii="宋体" w:hAnsi="宋体" w:hint="eastAsia"/>
          <w:sz w:val="28"/>
          <w:szCs w:val="30"/>
        </w:rPr>
        <w:t>章。</w:t>
      </w:r>
    </w:p>
    <w:p>
      <w:pPr>
        <w:pStyle w:val="Heading3"/>
      </w:pPr>
      <w:r>
        <w:rPr>
          <w:rFonts w:hint="eastAsia"/>
        </w:rPr>
        <w:t>机井施工</w:t>
      </w:r>
    </w:p>
    <w:p>
      <w:pPr>
        <w:pStyle w:val="Normal0"/>
        <w:ind w:firstLine="560" w:firstLineChars="200"/>
        <w:jc w:val="left"/>
        <w:rPr>
          <w:rFonts w:ascii="宋体" w:hAnsi="宋体"/>
          <w:sz w:val="28"/>
          <w:szCs w:val="30"/>
        </w:rPr>
      </w:pPr>
      <w:r>
        <w:rPr>
          <w:rFonts w:ascii="宋体" w:hAnsi="宋体" w:hint="eastAsia"/>
          <w:sz w:val="28"/>
          <w:szCs w:val="30"/>
        </w:rPr>
        <w:t>机井施工必须确保安全，严格执行技术操作规程，严防各种事故发生。</w:t>
      </w:r>
    </w:p>
    <w:p>
      <w:pPr>
        <w:pStyle w:val="Normal0"/>
        <w:ind w:firstLine="560" w:firstLineChars="200"/>
        <w:jc w:val="left"/>
        <w:rPr>
          <w:rFonts w:ascii="宋体" w:hAnsi="宋体"/>
          <w:sz w:val="28"/>
          <w:szCs w:val="30"/>
        </w:rPr>
      </w:pPr>
      <w:r>
        <w:rPr>
          <w:rFonts w:ascii="宋体" w:hAnsi="宋体" w:hint="eastAsia"/>
          <w:sz w:val="28"/>
          <w:szCs w:val="30"/>
        </w:rPr>
        <w:t>井口垂直度偏差：钻机时，应预防井孔发生倾向或弯曲。钻具的弯曲磨损必须定时检查，钻进参数要选用合理，必要时应安装钻铤和导正器，如发现孔斜征兆，必须及时纠正。</w:t>
      </w:r>
    </w:p>
    <w:p>
      <w:pPr>
        <w:pStyle w:val="Normal0"/>
        <w:numPr>
          <w:ilvl w:val="0"/>
          <w:numId w:val="4"/>
        </w:numPr>
        <w:jc w:val="left"/>
        <w:rPr>
          <w:rFonts w:ascii="宋体" w:hAnsi="宋体"/>
          <w:sz w:val="28"/>
          <w:szCs w:val="30"/>
        </w:rPr>
      </w:pPr>
      <w:r>
        <w:rPr>
          <w:rFonts w:ascii="宋体" w:hAnsi="宋体" w:hint="eastAsia"/>
          <w:sz w:val="28"/>
          <w:szCs w:val="30"/>
        </w:rPr>
        <w:t>井管安装：</w:t>
      </w:r>
    </w:p>
    <w:p>
      <w:pPr>
        <w:pStyle w:val="Normal0"/>
        <w:ind w:firstLine="560" w:firstLineChars="200"/>
        <w:jc w:val="left"/>
        <w:rPr>
          <w:rFonts w:ascii="宋体" w:hAnsi="宋体"/>
          <w:sz w:val="28"/>
          <w:szCs w:val="30"/>
        </w:rPr>
      </w:pPr>
      <w:r>
        <w:rPr>
          <w:rFonts w:ascii="宋体" w:hAnsi="宋体" w:hint="eastAsia"/>
          <w:sz w:val="28"/>
          <w:szCs w:val="30"/>
        </w:rPr>
        <w:t>管应无残缺、断裂和弯曲等缺陷。井管管端和管箍的螺纹必须完整、吻合。</w:t>
      </w:r>
    </w:p>
    <w:p>
      <w:pPr>
        <w:pStyle w:val="Normal0"/>
        <w:ind w:firstLine="560" w:firstLineChars="200"/>
        <w:jc w:val="left"/>
        <w:rPr>
          <w:rFonts w:ascii="宋体" w:hAnsi="宋体"/>
          <w:sz w:val="28"/>
          <w:szCs w:val="30"/>
        </w:rPr>
      </w:pPr>
      <w:r>
        <w:rPr>
          <w:rFonts w:ascii="宋体" w:hAnsi="宋体" w:hint="eastAsia"/>
          <w:sz w:val="28"/>
          <w:szCs w:val="30"/>
        </w:rPr>
        <w:t>井管每米弯曲度不得超过</w:t>
      </w:r>
      <w:r>
        <w:rPr>
          <w:rFonts w:ascii="宋体" w:hAnsi="宋体"/>
          <w:sz w:val="28"/>
          <w:szCs w:val="30"/>
        </w:rPr>
        <w:t>1mm</w:t>
      </w:r>
      <w:r>
        <w:rPr>
          <w:rFonts w:ascii="宋体" w:hAnsi="宋体" w:hint="eastAsia"/>
          <w:sz w:val="28"/>
          <w:szCs w:val="30"/>
        </w:rPr>
        <w:t>。</w:t>
      </w:r>
    </w:p>
    <w:p>
      <w:pPr>
        <w:pStyle w:val="Normal0"/>
        <w:ind w:firstLine="560" w:firstLineChars="200"/>
        <w:jc w:val="left"/>
        <w:rPr>
          <w:rFonts w:ascii="宋体" w:hAnsi="宋体"/>
          <w:sz w:val="28"/>
          <w:szCs w:val="30"/>
        </w:rPr>
      </w:pPr>
      <w:r>
        <w:rPr>
          <w:rFonts w:ascii="宋体" w:hAnsi="宋体" w:hint="eastAsia"/>
          <w:sz w:val="28"/>
          <w:szCs w:val="30"/>
        </w:rPr>
        <w:t>井管的上下口平面应垂直井管轴线。</w:t>
      </w:r>
    </w:p>
    <w:p>
      <w:pPr>
        <w:pStyle w:val="Normal0"/>
        <w:ind w:firstLine="560" w:firstLineChars="200"/>
        <w:jc w:val="left"/>
        <w:rPr>
          <w:rFonts w:ascii="宋体" w:hAnsi="宋体"/>
          <w:sz w:val="28"/>
          <w:szCs w:val="30"/>
        </w:rPr>
      </w:pPr>
      <w:r>
        <w:rPr>
          <w:rFonts w:ascii="宋体" w:hAnsi="宋体" w:hint="eastAsia"/>
          <w:sz w:val="28"/>
          <w:szCs w:val="30"/>
        </w:rPr>
        <w:t>管壁厚度偏差不得超过</w:t>
      </w:r>
      <w:r>
        <w:rPr>
          <w:rFonts w:ascii="宋体" w:hAnsi="宋体"/>
          <w:sz w:val="28"/>
          <w:szCs w:val="30"/>
        </w:rPr>
        <w:t xml:space="preserve"> ±1mm</w:t>
      </w:r>
      <w:r>
        <w:rPr>
          <w:rFonts w:ascii="宋体" w:hAnsi="宋体" w:hint="eastAsia"/>
          <w:sz w:val="28"/>
          <w:szCs w:val="30"/>
        </w:rPr>
        <w:t>。</w:t>
      </w:r>
    </w:p>
    <w:p>
      <w:pPr>
        <w:pStyle w:val="Normal0"/>
        <w:ind w:firstLine="560" w:firstLineChars="200"/>
        <w:jc w:val="left"/>
        <w:rPr>
          <w:rFonts w:ascii="宋体" w:hAnsi="宋体"/>
          <w:sz w:val="28"/>
          <w:szCs w:val="30"/>
        </w:rPr>
        <w:sectPr>
          <w:headerReference w:type="default" r:id="rId82"/>
          <w:footerReference w:type="default" r:id="rId83"/>
          <w:type w:val="nextPage"/>
          <w:pgSz w:w="11907" w:h="16840"/>
          <w:pgMar w:top="1701" w:right="1418" w:bottom="1418" w:left="1418" w:header="1417" w:footer="567" w:gutter="567"/>
          <w:pgNumType w:start="16"/>
          <w:cols w:num="1" w:space="720"/>
          <w:titlePg w:val="0"/>
          <w:docGrid w:type="lines" w:linePitch="312" w:charSpace="0"/>
        </w:sectPr>
      </w:pPr>
    </w:p>
    <w:p>
      <w:pPr>
        <w:pStyle w:val="Normal0"/>
        <w:ind w:firstLine="560" w:firstLineChars="200"/>
        <w:jc w:val="left"/>
        <w:rPr>
          <w:rFonts w:ascii="宋体" w:hAnsi="宋体"/>
          <w:sz w:val="28"/>
          <w:szCs w:val="30"/>
        </w:rPr>
      </w:pPr>
      <w:r>
        <w:rPr>
          <w:rFonts w:ascii="宋体" w:hAnsi="宋体" w:hint="eastAsia"/>
          <w:sz w:val="28"/>
          <w:szCs w:val="30"/>
        </w:rPr>
        <w:t>井管安装前，必须按照钻孔的实际地层资料校正管井设计，然后进行井管组合、排列、测量长度、并编号记录。</w:t>
      </w:r>
    </w:p>
    <w:p>
      <w:pPr>
        <w:pStyle w:val="Normal0"/>
        <w:ind w:firstLine="560" w:firstLineChars="200"/>
        <w:jc w:val="left"/>
        <w:rPr>
          <w:rFonts w:ascii="宋体" w:hAnsi="宋体"/>
          <w:sz w:val="28"/>
          <w:szCs w:val="30"/>
        </w:rPr>
      </w:pPr>
      <w:r>
        <w:rPr>
          <w:rFonts w:ascii="宋体" w:hAnsi="宋体" w:hint="eastAsia"/>
          <w:sz w:val="28"/>
          <w:szCs w:val="30"/>
        </w:rPr>
        <w:t>井管的连接，必须做到对正接直，封闭严密，接头处的强度，必须满足下管安全和成井质量的要求。</w:t>
      </w:r>
    </w:p>
    <w:p>
      <w:pPr>
        <w:pStyle w:val="Normal0"/>
        <w:ind w:firstLine="560" w:firstLineChars="200"/>
        <w:jc w:val="left"/>
        <w:rPr>
          <w:rFonts w:ascii="宋体" w:hAnsi="宋体"/>
          <w:sz w:val="28"/>
          <w:szCs w:val="30"/>
        </w:rPr>
      </w:pPr>
      <w:r>
        <w:rPr>
          <w:rFonts w:ascii="宋体" w:hAnsi="宋体" w:hint="eastAsia"/>
          <w:sz w:val="28"/>
          <w:szCs w:val="30"/>
        </w:rPr>
        <w:t>过滤器安装位置的上下偏差不得超过</w:t>
      </w:r>
      <w:r>
        <w:rPr>
          <w:rFonts w:ascii="宋体" w:hAnsi="宋体"/>
          <w:sz w:val="28"/>
          <w:szCs w:val="30"/>
        </w:rPr>
        <w:t>30cm</w:t>
      </w:r>
      <w:r>
        <w:rPr>
          <w:rFonts w:ascii="宋体" w:hAnsi="宋体" w:hint="eastAsia"/>
          <w:sz w:val="28"/>
          <w:szCs w:val="30"/>
        </w:rPr>
        <w:t>。</w:t>
      </w:r>
    </w:p>
    <w:p>
      <w:pPr>
        <w:pStyle w:val="Normal0"/>
        <w:numPr>
          <w:ilvl w:val="0"/>
          <w:numId w:val="4"/>
        </w:numPr>
        <w:jc w:val="left"/>
        <w:rPr>
          <w:rFonts w:ascii="宋体" w:hAnsi="宋体"/>
          <w:sz w:val="28"/>
          <w:szCs w:val="30"/>
        </w:rPr>
      </w:pPr>
      <w:r>
        <w:rPr>
          <w:rFonts w:ascii="宋体" w:hAnsi="宋体" w:hint="eastAsia"/>
          <w:sz w:val="28"/>
          <w:szCs w:val="30"/>
        </w:rPr>
        <w:t>填砾和管外封闭：</w:t>
      </w:r>
    </w:p>
    <w:p>
      <w:pPr>
        <w:pStyle w:val="Normal0"/>
        <w:ind w:firstLine="560" w:firstLineChars="200"/>
        <w:jc w:val="left"/>
        <w:rPr>
          <w:rFonts w:ascii="宋体" w:hAnsi="宋体"/>
          <w:sz w:val="28"/>
          <w:szCs w:val="30"/>
        </w:rPr>
      </w:pPr>
      <w:r>
        <w:rPr>
          <w:rFonts w:ascii="宋体" w:hAnsi="宋体" w:hint="eastAsia"/>
          <w:sz w:val="28"/>
          <w:szCs w:val="30"/>
        </w:rPr>
        <w:t>①滤料必须按标准要求严格筛选，不合格的颗粒量不得超过</w:t>
      </w:r>
      <w:r>
        <w:rPr>
          <w:rFonts w:ascii="宋体" w:hAnsi="宋体"/>
          <w:sz w:val="28"/>
          <w:szCs w:val="30"/>
        </w:rPr>
        <w:t>15%</w:t>
      </w:r>
    </w:p>
    <w:p>
      <w:pPr>
        <w:pStyle w:val="Normal0"/>
        <w:ind w:firstLine="560" w:firstLineChars="200"/>
        <w:jc w:val="left"/>
        <w:rPr>
          <w:rFonts w:ascii="宋体" w:hAnsi="宋体"/>
          <w:sz w:val="28"/>
          <w:szCs w:val="30"/>
        </w:rPr>
      </w:pPr>
      <w:r>
        <w:rPr>
          <w:rFonts w:ascii="宋体" w:hAnsi="宋体" w:hint="eastAsia"/>
          <w:sz w:val="28"/>
          <w:szCs w:val="30"/>
        </w:rPr>
        <w:t>②填砾时必须连续、均匀、速度事宜，严防棚堵，及时测量填砾高度，核对数量，所填虑料应留样备查。填砾时，如发现虑料填入数量和高度同</w:t>
      </w:r>
      <w:r>
        <w:rPr>
          <w:rFonts w:ascii="宋体" w:hAnsi="宋体" w:hint="eastAsia"/>
          <w:sz w:val="28"/>
          <w:szCs w:val="30"/>
          <w:lang w:eastAsia="zh-CN"/>
        </w:rPr>
        <w:t>相关计划</w:t>
      </w:r>
      <w:r>
        <w:rPr>
          <w:rFonts w:ascii="宋体" w:hAnsi="宋体" w:hint="eastAsia"/>
          <w:sz w:val="28"/>
          <w:szCs w:val="30"/>
        </w:rPr>
        <w:t>值出入较大时，应即查明原因，妥善处理，并记录填入结果。</w:t>
      </w:r>
    </w:p>
    <w:p>
      <w:pPr>
        <w:pStyle w:val="Normal0"/>
        <w:ind w:firstLine="560" w:firstLineChars="200"/>
        <w:jc w:val="left"/>
        <w:rPr>
          <w:rFonts w:ascii="宋体" w:hAnsi="宋体"/>
          <w:sz w:val="28"/>
          <w:szCs w:val="30"/>
        </w:rPr>
      </w:pPr>
      <w:r>
        <w:rPr>
          <w:rFonts w:ascii="宋体" w:hAnsi="宋体" w:hint="eastAsia"/>
          <w:sz w:val="28"/>
          <w:szCs w:val="30"/>
        </w:rPr>
        <w:t>洗井时抽水应达到设计降深。洗井完毕后，井水含量应符合设计要求。</w:t>
      </w:r>
    </w:p>
    <w:p>
      <w:pPr>
        <w:pStyle w:val="Heading3"/>
      </w:pPr>
      <w:r>
        <w:rPr>
          <w:rFonts w:hint="eastAsia"/>
        </w:rPr>
        <w:t>管道施工</w:t>
      </w:r>
    </w:p>
    <w:p>
      <w:pPr>
        <w:pStyle w:val="Normal0"/>
        <w:ind w:firstLine="566" w:firstLineChars="202"/>
        <w:rPr>
          <w:rFonts w:ascii="宋体" w:hAnsi="宋体"/>
          <w:sz w:val="28"/>
          <w:szCs w:val="30"/>
        </w:rPr>
      </w:pPr>
      <w:r>
        <w:rPr>
          <w:rFonts w:ascii="宋体" w:hAnsi="宋体" w:hint="eastAsia"/>
          <w:sz w:val="28"/>
          <w:szCs w:val="30"/>
        </w:rPr>
        <w:t>(1)管道土方开挖与回填</w:t>
      </w:r>
    </w:p>
    <w:p>
      <w:pPr>
        <w:pStyle w:val="Normal0"/>
        <w:ind w:firstLine="560" w:firstLineChars="200"/>
        <w:rPr>
          <w:rFonts w:ascii="宋体" w:hAnsi="宋体"/>
          <w:sz w:val="28"/>
          <w:szCs w:val="30"/>
        </w:rPr>
      </w:pPr>
      <w:r>
        <w:rPr>
          <w:rFonts w:ascii="宋体" w:hAnsi="宋体" w:hint="eastAsia"/>
          <w:sz w:val="28"/>
          <w:szCs w:val="30"/>
        </w:rPr>
        <w:t>管道土方开挖采用</w:t>
      </w:r>
      <w:r>
        <w:rPr>
          <w:rFonts w:ascii="宋体" w:hAnsi="宋体"/>
          <w:sz w:val="28"/>
          <w:szCs w:val="30"/>
        </w:rPr>
        <w:t>1m</w:t>
      </w:r>
      <w:r>
        <w:rPr>
          <w:rFonts w:ascii="宋体" w:hAnsi="宋体"/>
          <w:sz w:val="28"/>
          <w:szCs w:val="30"/>
          <w:vertAlign w:val="superscript"/>
        </w:rPr>
        <w:t>3</w:t>
      </w:r>
      <w:r>
        <w:rPr>
          <w:rFonts w:ascii="宋体" w:hAnsi="宋体" w:hint="eastAsia"/>
          <w:sz w:val="28"/>
          <w:szCs w:val="30"/>
        </w:rPr>
        <w:t>反产挖掘开挖，就近堆放，部分区段采用人工挖槽开挖土方。</w:t>
      </w:r>
    </w:p>
    <w:p>
      <w:pPr>
        <w:pStyle w:val="Normal0"/>
        <w:ind w:firstLine="560" w:firstLineChars="200"/>
        <w:rPr>
          <w:rFonts w:ascii="宋体" w:hAnsi="宋体"/>
          <w:sz w:val="28"/>
          <w:szCs w:val="30"/>
        </w:rPr>
      </w:pPr>
      <w:r>
        <w:rPr>
          <w:rFonts w:ascii="宋体" w:hAnsi="宋体" w:hint="eastAsia"/>
          <w:sz w:val="28"/>
          <w:szCs w:val="30"/>
        </w:rPr>
        <w:t>土方回填利用开挖土料回填，７４ｋｗ推土机推土，人工配合打夯机夯实。</w:t>
      </w:r>
    </w:p>
    <w:p>
      <w:pPr>
        <w:pStyle w:val="Normal0"/>
        <w:ind w:firstLine="560" w:firstLineChars="200"/>
        <w:rPr>
          <w:rFonts w:ascii="宋体" w:hAnsi="宋体"/>
          <w:sz w:val="28"/>
          <w:szCs w:val="30"/>
        </w:rPr>
      </w:pPr>
      <w:r>
        <w:rPr>
          <w:rFonts w:ascii="宋体" w:hAnsi="宋体" w:hint="eastAsia"/>
          <w:sz w:val="28"/>
          <w:szCs w:val="30"/>
        </w:rPr>
        <w:t>（２）管道连接</w:t>
      </w:r>
    </w:p>
    <w:p>
      <w:pPr>
        <w:pStyle w:val="Normal0"/>
        <w:ind w:firstLine="560" w:firstLineChars="200"/>
        <w:rPr>
          <w:rFonts w:ascii="宋体" w:hAnsi="宋体"/>
          <w:sz w:val="28"/>
          <w:szCs w:val="30"/>
        </w:rPr>
        <w:sectPr>
          <w:headerReference w:type="default" r:id="rId84"/>
          <w:footerReference w:type="default" r:id="rId85"/>
          <w:type w:val="nextPage"/>
          <w:pgSz w:w="11907" w:h="16840"/>
          <w:pgMar w:top="1701" w:right="1418" w:bottom="1418" w:left="1418" w:header="1417" w:footer="567" w:gutter="567"/>
          <w:pgNumType w:start="17"/>
          <w:cols w:num="1" w:space="720"/>
          <w:titlePg w:val="0"/>
          <w:docGrid w:type="lines" w:linePitch="312" w:charSpace="0"/>
        </w:sectPr>
      </w:pPr>
    </w:p>
    <w:p>
      <w:pPr>
        <w:pStyle w:val="Normal0"/>
        <w:ind w:firstLine="560" w:firstLineChars="200"/>
        <w:rPr>
          <w:rFonts w:ascii="宋体" w:hAnsi="宋体"/>
          <w:sz w:val="28"/>
          <w:szCs w:val="30"/>
        </w:rPr>
      </w:pPr>
      <w:r>
        <w:rPr>
          <w:rFonts w:ascii="宋体" w:hAnsi="宋体" w:hint="eastAsia"/>
          <w:sz w:val="28"/>
          <w:szCs w:val="30"/>
        </w:rPr>
        <w:t>管道采用承插连接，承插时，先检查管材与橡胶圈外观的质量，橡胶圈的外观应粗细均匀，质地柔软，无气泡，无裂缝，无重皮，接头平整牢固，管材表面应无裂缝端口平整牢固，管材表面应无裂缝，端口平整。排管时应使承接口迎着水流方向，打胶圈之前，应先清除管口的杂物，并将胶圈套在插口上，打口时，将胶圈紧贴承口，胶圈模棱应在一个平面上，不能成麻花形。如果接口发生偏心，歪斜厚薄不均、插接太短等现象都会造成漏水、管裂脱口等严重后果。因此</w:t>
      </w:r>
      <w:r>
        <w:rPr>
          <w:rFonts w:ascii="宋体" w:hAnsi="宋体"/>
          <w:sz w:val="28"/>
          <w:szCs w:val="30"/>
        </w:rPr>
        <w:fldChar w:fldCharType="begin"/>
      </w:r>
      <w:r>
        <w:rPr>
          <w:rFonts w:ascii="宋体" w:hAnsi="宋体"/>
          <w:sz w:val="28"/>
          <w:szCs w:val="30"/>
        </w:rPr>
        <w:instrText xml:space="preserve"> EQ </w:instrText>
      </w:r>
      <w:r>
        <w:rPr>
          <w:rFonts w:ascii="宋体" w:hAnsi="宋体"/>
          <w:sz w:val="28"/>
          <w:szCs w:val="30"/>
        </w:rPr>
        <w:fldChar w:fldCharType="separate"/>
      </w:r>
      <w:r>
        <w:rPr>
          <w:rFonts w:ascii="宋体" w:hAnsi="宋体"/>
          <w:sz w:val="28"/>
          <w:szCs w:val="30"/>
        </w:rPr>
        <w:fldChar w:fldCharType="end"/>
      </w:r>
      <w:r>
        <w:rPr>
          <w:rFonts w:ascii="宋体" w:hAnsi="宋体"/>
          <w:sz w:val="28"/>
          <w:szCs w:val="30"/>
        </w:rPr>
        <w:fldChar w:fldCharType="begin"/>
      </w:r>
      <w:r>
        <w:rPr>
          <w:rFonts w:ascii="宋体" w:hAnsi="宋体"/>
          <w:sz w:val="28"/>
          <w:szCs w:val="30"/>
        </w:rPr>
        <w:instrText xml:space="preserve"> EQ </w:instrText>
      </w:r>
      <w:r>
        <w:rPr>
          <w:rFonts w:ascii="宋体" w:hAnsi="宋体"/>
          <w:sz w:val="28"/>
          <w:szCs w:val="30"/>
        </w:rPr>
        <w:fldChar w:fldCharType="separate"/>
      </w:r>
      <w:r>
        <w:rPr>
          <w:rFonts w:ascii="宋体" w:hAnsi="宋体"/>
          <w:sz w:val="28"/>
          <w:szCs w:val="30"/>
        </w:rPr>
        <w:fldChar w:fldCharType="end"/>
      </w:r>
      <w:r>
        <w:rPr>
          <w:rFonts w:ascii="宋体" w:hAnsi="宋体" w:hint="eastAsia"/>
          <w:sz w:val="28"/>
          <w:szCs w:val="30"/>
        </w:rPr>
        <w:t>如果发生上述现象接口，必须重新插接。</w:t>
      </w:r>
    </w:p>
    <w:p>
      <w:pPr>
        <w:pStyle w:val="Normal0"/>
        <w:ind w:firstLine="560" w:firstLineChars="200"/>
        <w:rPr>
          <w:rFonts w:ascii="宋体" w:hAnsi="宋体"/>
          <w:sz w:val="28"/>
          <w:szCs w:val="30"/>
        </w:rPr>
      </w:pPr>
      <w:r>
        <w:rPr>
          <w:rFonts w:ascii="宋体" w:hAnsi="宋体" w:hint="eastAsia"/>
          <w:sz w:val="28"/>
          <w:szCs w:val="30"/>
        </w:rPr>
        <w:t>（</w:t>
      </w:r>
      <w:r>
        <w:rPr>
          <w:rFonts w:ascii="宋体" w:hAnsi="宋体"/>
          <w:sz w:val="28"/>
          <w:szCs w:val="30"/>
        </w:rPr>
        <w:t>3</w:t>
      </w:r>
      <w:r>
        <w:rPr>
          <w:rFonts w:ascii="宋体" w:hAnsi="宋体" w:hint="eastAsia"/>
          <w:sz w:val="28"/>
          <w:szCs w:val="30"/>
        </w:rPr>
        <w:t>）管道安装</w:t>
      </w:r>
    </w:p>
    <w:p>
      <w:pPr>
        <w:pStyle w:val="Normal0"/>
        <w:ind w:firstLine="560" w:firstLineChars="200"/>
        <w:rPr>
          <w:rFonts w:ascii="宋体" w:hAnsi="宋体"/>
          <w:sz w:val="28"/>
          <w:szCs w:val="30"/>
        </w:rPr>
      </w:pPr>
      <w:r>
        <w:rPr>
          <w:rFonts w:ascii="宋体" w:hAnsi="宋体" w:hint="eastAsia"/>
          <w:sz w:val="28"/>
          <w:szCs w:val="30"/>
        </w:rPr>
        <w:t>管道安装前应将管道与管件按施工要求摆放，摆放的位置应变与起吊、下管及运送、并应再次进行外观及启闭等复验。管道下入沟槽时，不得于槽内管道碰撞。管道安装时，将管道的中心对正。管线纵坡大于</w:t>
      </w:r>
      <w:r>
        <w:rPr>
          <w:rFonts w:ascii="宋体" w:hAnsi="宋体"/>
          <w:sz w:val="28"/>
          <w:szCs w:val="30"/>
        </w:rPr>
        <w:t>18%</w:t>
      </w:r>
      <w:r>
        <w:rPr>
          <w:rFonts w:ascii="宋体" w:hAnsi="宋体" w:hint="eastAsia"/>
          <w:sz w:val="28"/>
          <w:szCs w:val="30"/>
        </w:rPr>
        <w:t>时，管道加支镇墩。管道安装因故中段时，用堵头将其敞口封闭。管低与沟槽低面应贴合好。</w:t>
      </w:r>
    </w:p>
    <w:p>
      <w:pPr>
        <w:pStyle w:val="Normal0"/>
        <w:ind w:firstLine="560" w:firstLineChars="200"/>
        <w:rPr>
          <w:rFonts w:ascii="宋体" w:hAnsi="宋体"/>
          <w:sz w:val="28"/>
          <w:szCs w:val="30"/>
        </w:rPr>
      </w:pPr>
      <w:r>
        <w:rPr>
          <w:rFonts w:ascii="宋体" w:hAnsi="宋体" w:hint="eastAsia"/>
          <w:sz w:val="28"/>
          <w:szCs w:val="30"/>
        </w:rPr>
        <w:t>（4）管道的试水</w:t>
      </w:r>
    </w:p>
    <w:p>
      <w:pPr>
        <w:pStyle w:val="Normal0"/>
        <w:ind w:firstLine="560" w:firstLineChars="200"/>
        <w:rPr>
          <w:rFonts w:ascii="宋体" w:hAnsi="宋体"/>
          <w:sz w:val="28"/>
          <w:szCs w:val="30"/>
        </w:rPr>
        <w:sectPr>
          <w:headerReference w:type="default" r:id="rId86"/>
          <w:footerReference w:type="default" r:id="rId87"/>
          <w:type w:val="nextPage"/>
          <w:pgSz w:w="11907" w:h="16840"/>
          <w:pgMar w:top="1701" w:right="1418" w:bottom="1418" w:left="1418" w:header="1417" w:footer="567" w:gutter="567"/>
          <w:pgNumType w:start="18"/>
          <w:cols w:num="1" w:space="720"/>
          <w:titlePg w:val="0"/>
          <w:docGrid w:type="lines" w:linePitch="312" w:charSpace="0"/>
        </w:sectPr>
      </w:pPr>
      <w:r>
        <w:rPr>
          <w:rFonts w:ascii="宋体" w:hAnsi="宋体" w:hint="eastAsia"/>
          <w:sz w:val="28"/>
          <w:szCs w:val="30"/>
        </w:rPr>
        <w:t>管网系统安装后，回填前要对管道进行输水检查，看管道是否渗漏、是否安装合格，试水前在每节管子中部填一些土固定管道，（为沟深的</w:t>
      </w:r>
      <w:r>
        <w:rPr>
          <w:rFonts w:ascii="宋体" w:hAnsi="宋体"/>
          <w:sz w:val="28"/>
          <w:szCs w:val="30"/>
        </w:rPr>
        <w:t>1/2</w:t>
      </w:r>
      <w:r>
        <w:rPr>
          <w:rFonts w:ascii="宋体" w:hAnsi="宋体" w:hint="eastAsia"/>
          <w:sz w:val="28"/>
          <w:szCs w:val="30"/>
        </w:rPr>
        <w:t>，埋长为</w:t>
      </w:r>
      <w:r>
        <w:rPr>
          <w:rFonts w:ascii="宋体" w:hAnsi="宋体"/>
          <w:sz w:val="28"/>
          <w:szCs w:val="30"/>
        </w:rPr>
        <w:t>0.8m</w:t>
      </w:r>
      <w:r>
        <w:rPr>
          <w:rFonts w:ascii="宋体" w:hAnsi="宋体" w:hint="eastAsia"/>
          <w:sz w:val="28"/>
          <w:szCs w:val="30"/>
        </w:rPr>
        <w:t>左右）。开泵前打开管道最远端给水栓，待远端给水栓出水后，依次打开给水栓出水后，保持</w:t>
      </w:r>
      <w:r>
        <w:rPr>
          <w:rFonts w:ascii="宋体" w:hAnsi="宋体"/>
          <w:sz w:val="28"/>
          <w:szCs w:val="30"/>
        </w:rPr>
        <w:t>1</w:t>
      </w:r>
      <w:r>
        <w:rPr>
          <w:rFonts w:ascii="宋体" w:hAnsi="宋体" w:hint="eastAsia"/>
          <w:sz w:val="28"/>
          <w:szCs w:val="30"/>
        </w:rPr>
        <w:t>—</w:t>
      </w:r>
      <w:r>
        <w:rPr>
          <w:rFonts w:ascii="宋体" w:hAnsi="宋体"/>
          <w:sz w:val="28"/>
          <w:szCs w:val="30"/>
        </w:rPr>
        <w:t>2</w:t>
      </w:r>
    </w:p>
    <w:p>
      <w:pPr>
        <w:pStyle w:val="Normal0"/>
        <w:ind w:firstLine="560" w:firstLineChars="200"/>
        <w:rPr>
          <w:rFonts w:ascii="宋体" w:hAnsi="宋体"/>
          <w:sz w:val="28"/>
          <w:szCs w:val="30"/>
        </w:rPr>
      </w:pPr>
      <w:r>
        <w:rPr>
          <w:rFonts w:ascii="宋体" w:hAnsi="宋体" w:hint="eastAsia"/>
          <w:sz w:val="28"/>
          <w:szCs w:val="30"/>
        </w:rPr>
        <w:t>小时，检查管路所有接口、管道、管件、阀门等，有无渗水、漏水现象。如有漏水时用防水胶带或专用胶粘补，发现裂缝漏水严重无法修补则应更换。修补后再试水，直到管网不渗漏为止。试水成功后，要将管网内所有的退水井阀门打开，进行排水检查管路比降的测设是否正确，有无排水不出的现象，以防管道的冻胀破坏，若有存水现象，需对有水段的部分管道比降进行重新测量，直至不存水为止。最后对管沟进行回填，一般采用踩实或水浸密实，最后填土略高于地面。</w:t>
      </w:r>
    </w:p>
    <w:p>
      <w:pPr>
        <w:pStyle w:val="Heading3"/>
      </w:pPr>
      <w:r>
        <w:rPr>
          <w:rFonts w:hint="eastAsia"/>
        </w:rPr>
        <w:t>其它土建工程</w:t>
      </w:r>
    </w:p>
    <w:p>
      <w:pPr>
        <w:pStyle w:val="Normal0"/>
        <w:ind w:firstLine="560" w:firstLineChars="200"/>
        <w:rPr>
          <w:rFonts w:ascii="宋体" w:hAnsi="宋体"/>
          <w:sz w:val="28"/>
          <w:szCs w:val="30"/>
        </w:rPr>
      </w:pPr>
      <w:r>
        <w:rPr>
          <w:rFonts w:ascii="宋体" w:hAnsi="宋体" w:hint="eastAsia"/>
          <w:sz w:val="28"/>
          <w:szCs w:val="30"/>
        </w:rPr>
        <w:t>(</w:t>
      </w:r>
      <w:r>
        <w:rPr>
          <w:rFonts w:ascii="宋体" w:hAnsi="宋体"/>
          <w:sz w:val="28"/>
          <w:szCs w:val="30"/>
        </w:rPr>
        <w:t>1</w:t>
      </w:r>
      <w:r>
        <w:rPr>
          <w:rFonts w:ascii="宋体" w:hAnsi="宋体" w:hint="eastAsia"/>
          <w:sz w:val="28"/>
          <w:szCs w:val="30"/>
        </w:rPr>
        <w:t>)混泥土施工</w:t>
      </w:r>
    </w:p>
    <w:p>
      <w:pPr>
        <w:pStyle w:val="Normal0"/>
        <w:ind w:firstLine="560" w:firstLineChars="200"/>
        <w:rPr>
          <w:rFonts w:ascii="宋体" w:hAnsi="宋体"/>
          <w:sz w:val="28"/>
          <w:szCs w:val="30"/>
        </w:rPr>
      </w:pPr>
      <w:r>
        <w:rPr>
          <w:rFonts w:ascii="宋体" w:hAnsi="宋体" w:hint="eastAsia"/>
          <w:sz w:val="28"/>
          <w:szCs w:val="30"/>
        </w:rPr>
        <w:t>该</w:t>
      </w:r>
      <w:r>
        <w:rPr>
          <w:rFonts w:ascii="宋体" w:hAnsi="宋体" w:hint="eastAsia"/>
          <w:sz w:val="28"/>
          <w:szCs w:val="30"/>
          <w:lang w:eastAsia="zh-CN"/>
        </w:rPr>
        <w:t>相关项目</w:t>
      </w:r>
      <w:r>
        <w:rPr>
          <w:rFonts w:ascii="宋体" w:hAnsi="宋体" w:hint="eastAsia"/>
          <w:sz w:val="28"/>
          <w:szCs w:val="30"/>
        </w:rPr>
        <w:t>区砼浇筑量较小，现场设置一台</w:t>
      </w:r>
      <w:r>
        <w:rPr>
          <w:rFonts w:ascii="宋体" w:hAnsi="宋体"/>
          <w:sz w:val="28"/>
          <w:szCs w:val="30"/>
        </w:rPr>
        <w:t>0.4</w:t>
      </w:r>
      <w:r>
        <w:rPr>
          <w:rFonts w:ascii="宋体" w:hAnsi="宋体" w:hint="eastAsia"/>
          <w:sz w:val="28"/>
          <w:szCs w:val="30"/>
        </w:rPr>
        <w:t>拌合机拌制，人工运输，振动器振捣，洒水养护。</w:t>
      </w:r>
    </w:p>
    <w:p>
      <w:pPr>
        <w:pStyle w:val="Normal0"/>
        <w:ind w:firstLine="560" w:firstLineChars="200"/>
        <w:rPr>
          <w:rFonts w:ascii="宋体" w:hAnsi="宋体"/>
          <w:sz w:val="28"/>
          <w:szCs w:val="30"/>
        </w:rPr>
      </w:pPr>
      <w:r>
        <w:rPr>
          <w:rFonts w:ascii="宋体" w:hAnsi="宋体" w:hint="eastAsia"/>
          <w:sz w:val="28"/>
          <w:szCs w:val="30"/>
        </w:rPr>
        <w:t>(</w:t>
      </w:r>
      <w:r>
        <w:rPr>
          <w:rFonts w:ascii="宋体" w:hAnsi="宋体"/>
          <w:sz w:val="28"/>
          <w:szCs w:val="30"/>
        </w:rPr>
        <w:t>2</w:t>
      </w:r>
      <w:r>
        <w:rPr>
          <w:rFonts w:ascii="宋体" w:hAnsi="宋体" w:hint="eastAsia"/>
          <w:sz w:val="28"/>
          <w:szCs w:val="30"/>
        </w:rPr>
        <w:t>)房建施工</w:t>
      </w:r>
    </w:p>
    <w:p>
      <w:pPr>
        <w:pStyle w:val="Normal0"/>
        <w:ind w:firstLine="560" w:firstLineChars="200"/>
        <w:rPr>
          <w:rFonts w:ascii="宋体" w:hAnsi="宋体"/>
          <w:sz w:val="28"/>
          <w:szCs w:val="30"/>
        </w:rPr>
      </w:pPr>
      <w:r>
        <w:rPr>
          <w:rFonts w:ascii="宋体" w:hAnsi="宋体" w:hint="eastAsia"/>
          <w:sz w:val="28"/>
          <w:szCs w:val="30"/>
        </w:rPr>
        <w:t>该</w:t>
      </w:r>
      <w:r>
        <w:rPr>
          <w:rFonts w:ascii="宋体" w:hAnsi="宋体" w:hint="eastAsia"/>
          <w:sz w:val="28"/>
          <w:szCs w:val="30"/>
          <w:lang w:eastAsia="zh-CN"/>
        </w:rPr>
        <w:t>相关项目</w:t>
      </w:r>
      <w:r>
        <w:rPr>
          <w:rFonts w:ascii="宋体" w:hAnsi="宋体" w:hint="eastAsia"/>
          <w:sz w:val="28"/>
          <w:szCs w:val="30"/>
        </w:rPr>
        <w:t>工程工作量大，比较集中，根据这个特点，采取集中突击主体工程，以保证主体工程按期完成。</w:t>
      </w:r>
    </w:p>
    <w:p>
      <w:pPr>
        <w:pStyle w:val="Normal0"/>
        <w:ind w:firstLine="560" w:firstLineChars="200"/>
        <w:rPr>
          <w:rFonts w:ascii="宋体" w:hAnsi="宋体"/>
          <w:sz w:val="28"/>
          <w:szCs w:val="30"/>
        </w:rPr>
      </w:pPr>
      <w:r>
        <w:rPr>
          <w:rFonts w:ascii="宋体" w:hAnsi="宋体" w:hint="eastAsia"/>
          <w:sz w:val="28"/>
          <w:szCs w:val="30"/>
        </w:rPr>
        <w:t>砌体工程施工采用的标准、规程和规范：</w:t>
      </w:r>
    </w:p>
    <w:p>
      <w:pPr>
        <w:pStyle w:val="Normal0"/>
        <w:ind w:firstLine="560" w:firstLineChars="200"/>
        <w:rPr>
          <w:rFonts w:ascii="宋体" w:hAnsi="宋体"/>
          <w:color w:val="FF00FF"/>
          <w:sz w:val="28"/>
          <w:szCs w:val="30"/>
        </w:rPr>
      </w:pPr>
      <w:r>
        <w:rPr>
          <w:rFonts w:ascii="宋体" w:hAnsi="宋体" w:hint="eastAsia"/>
          <w:color w:val="FF00FF"/>
          <w:sz w:val="28"/>
          <w:szCs w:val="30"/>
        </w:rPr>
        <w:t>砌体工程施工及验收规范》（</w:t>
      </w:r>
      <w:r>
        <w:rPr>
          <w:rFonts w:ascii="宋体" w:hAnsi="宋体"/>
          <w:color w:val="FF00FF"/>
          <w:sz w:val="28"/>
          <w:szCs w:val="30"/>
        </w:rPr>
        <w:t>GB50203-98</w:t>
      </w:r>
      <w:r>
        <w:rPr>
          <w:rFonts w:ascii="宋体" w:hAnsi="宋体" w:hint="eastAsia"/>
          <w:color w:val="FF00FF"/>
          <w:sz w:val="28"/>
          <w:szCs w:val="30"/>
        </w:rPr>
        <w:t>）</w:t>
      </w:r>
    </w:p>
    <w:p>
      <w:pPr>
        <w:pStyle w:val="Normal0"/>
        <w:ind w:firstLine="560" w:firstLineChars="200"/>
        <w:rPr>
          <w:rFonts w:ascii="宋体" w:hAnsi="宋体"/>
          <w:color w:val="FF00FF"/>
          <w:sz w:val="28"/>
          <w:szCs w:val="30"/>
        </w:rPr>
      </w:pPr>
      <w:r>
        <w:rPr>
          <w:rFonts w:ascii="宋体" w:hAnsi="宋体" w:hint="eastAsia"/>
          <w:color w:val="FF00FF"/>
          <w:sz w:val="28"/>
          <w:szCs w:val="30"/>
        </w:rPr>
        <w:t>建筑工程质量检验评定标准》（</w:t>
      </w:r>
      <w:r>
        <w:rPr>
          <w:rFonts w:ascii="宋体" w:hAnsi="宋体"/>
          <w:color w:val="FF00FF"/>
          <w:sz w:val="28"/>
          <w:szCs w:val="30"/>
        </w:rPr>
        <w:t>GBJ301-88</w:t>
      </w:r>
      <w:r>
        <w:rPr>
          <w:rFonts w:ascii="宋体" w:hAnsi="宋体" w:hint="eastAsia"/>
          <w:color w:val="FF00FF"/>
          <w:sz w:val="28"/>
          <w:szCs w:val="30"/>
        </w:rPr>
        <w:t>）</w:t>
      </w:r>
    </w:p>
    <w:p>
      <w:pPr>
        <w:pStyle w:val="Normal0"/>
        <w:ind w:firstLine="560" w:firstLineChars="200"/>
        <w:rPr>
          <w:rFonts w:ascii="宋体" w:hAnsi="宋体"/>
          <w:sz w:val="28"/>
          <w:szCs w:val="30"/>
        </w:rPr>
      </w:pPr>
      <w:r>
        <w:rPr>
          <w:rFonts w:ascii="宋体" w:hAnsi="宋体" w:hint="eastAsia"/>
          <w:sz w:val="28"/>
          <w:szCs w:val="30"/>
        </w:rPr>
        <w:t>基础施工：工程基槽采用机械开挖，人工修槽，砼低浇筑和砌毛石基础同时施工。预留及埋地管线在回填过程中完成，人员根据工程量及具体条件合理配置。</w:t>
      </w:r>
    </w:p>
    <w:p>
      <w:pPr>
        <w:pStyle w:val="Normal0"/>
        <w:ind w:firstLine="560" w:firstLineChars="200"/>
        <w:rPr>
          <w:rFonts w:ascii="宋体" w:hAnsi="宋体"/>
          <w:sz w:val="28"/>
          <w:szCs w:val="30"/>
        </w:rPr>
      </w:pPr>
      <w:r>
        <w:rPr>
          <w:rFonts w:ascii="宋体" w:hAnsi="宋体" w:hint="eastAsia"/>
          <w:sz w:val="28"/>
          <w:szCs w:val="30"/>
        </w:rPr>
        <w:t>主体结构段：混泥土浇筑、钢筋绑扎、砌砖和预制构件安装交叉作业，中间穿插装修工程。</w:t>
      </w:r>
    </w:p>
    <w:p>
      <w:pPr>
        <w:pStyle w:val="Heading2"/>
      </w:pPr>
      <w:r>
        <w:rPr>
          <w:rFonts w:hint="eastAsia"/>
        </w:rPr>
        <w:t>施工布置和组织形式</w:t>
      </w:r>
    </w:p>
    <w:p>
      <w:pPr>
        <w:pStyle w:val="Heading3"/>
      </w:pPr>
      <w:r>
        <w:rPr>
          <w:rFonts w:hint="eastAsia"/>
        </w:rPr>
        <w:t>施工组织形式</w:t>
      </w:r>
    </w:p>
    <w:p>
      <w:pPr>
        <w:pStyle w:val="Normal0"/>
        <w:ind w:firstLine="560" w:firstLineChars="200"/>
        <w:rPr>
          <w:rFonts w:ascii="宋体" w:hAnsi="宋体"/>
          <w:sz w:val="28"/>
          <w:szCs w:val="30"/>
        </w:rPr>
      </w:pPr>
      <w:r>
        <w:rPr>
          <w:rFonts w:ascii="宋体" w:hAnsi="宋体" w:hint="eastAsia"/>
          <w:sz w:val="28"/>
          <w:szCs w:val="30"/>
        </w:rPr>
        <w:t>该工程</w:t>
      </w:r>
      <w:r>
        <w:rPr>
          <w:rFonts w:ascii="宋体" w:hAnsi="宋体" w:hint="eastAsia"/>
          <w:sz w:val="28"/>
          <w:szCs w:val="30"/>
          <w:lang w:eastAsia="zh-CN"/>
        </w:rPr>
        <w:t>相关项目</w:t>
      </w:r>
      <w:r>
        <w:rPr>
          <w:rFonts w:ascii="宋体" w:hAnsi="宋体" w:hint="eastAsia"/>
          <w:sz w:val="28"/>
          <w:szCs w:val="30"/>
        </w:rPr>
        <w:t>采用有资质的施工单位施工，专业队治理与群众承包治理相结合的方式进行。</w:t>
      </w:r>
    </w:p>
    <w:p>
      <w:pPr>
        <w:pStyle w:val="Normal0"/>
        <w:ind w:firstLine="560" w:firstLineChars="200"/>
        <w:rPr>
          <w:rFonts w:ascii="宋体" w:hAnsi="宋体"/>
          <w:sz w:val="28"/>
          <w:szCs w:val="30"/>
        </w:rPr>
        <w:sectPr>
          <w:headerReference w:type="default" r:id="rId88"/>
          <w:footerReference w:type="default" r:id="rId89"/>
          <w:type w:val="nextPage"/>
          <w:pgSz w:w="11907" w:h="16840"/>
          <w:pgMar w:top="1701" w:right="1418" w:bottom="1418" w:left="1418" w:header="1417" w:footer="567" w:gutter="567"/>
          <w:pgNumType w:start="19"/>
          <w:cols w:num="1" w:space="720"/>
          <w:titlePg w:val="0"/>
          <w:docGrid w:type="lines" w:linePitch="312" w:charSpace="0"/>
        </w:sectPr>
      </w:pPr>
    </w:p>
    <w:p>
      <w:pPr>
        <w:pStyle w:val="Normal0"/>
        <w:ind w:firstLine="560" w:firstLineChars="200"/>
        <w:rPr>
          <w:rFonts w:ascii="宋体" w:hAnsi="宋体"/>
          <w:sz w:val="28"/>
          <w:szCs w:val="30"/>
        </w:rPr>
      </w:pPr>
      <w:r>
        <w:rPr>
          <w:rFonts w:ascii="宋体" w:hAnsi="宋体" w:hint="eastAsia"/>
          <w:sz w:val="28"/>
          <w:szCs w:val="30"/>
        </w:rPr>
        <w:t>节水灌溉工程（低压管道、滴灌管网布设安装）、机电井、高低压线路架设、谷坊等</w:t>
      </w:r>
      <w:r>
        <w:rPr>
          <w:rFonts w:ascii="宋体" w:hAnsi="宋体" w:hint="eastAsia"/>
          <w:sz w:val="28"/>
          <w:szCs w:val="30"/>
          <w:lang w:eastAsia="zh-CN"/>
        </w:rPr>
        <w:t>相关项目</w:t>
      </w:r>
      <w:r>
        <w:rPr>
          <w:rFonts w:ascii="宋体" w:hAnsi="宋体" w:hint="eastAsia"/>
          <w:sz w:val="28"/>
          <w:szCs w:val="30"/>
        </w:rPr>
        <w:t>均通过招标方式，由具有一定资质的施工单位组织施工。</w:t>
      </w:r>
    </w:p>
    <w:p>
      <w:pPr>
        <w:pStyle w:val="Normal0"/>
        <w:ind w:firstLine="560" w:firstLineChars="200"/>
        <w:rPr>
          <w:rFonts w:ascii="宋体" w:hAnsi="宋体"/>
          <w:sz w:val="28"/>
          <w:szCs w:val="30"/>
        </w:rPr>
      </w:pPr>
      <w:r>
        <w:rPr>
          <w:rFonts w:ascii="宋体" w:hAnsi="宋体" w:hint="eastAsia"/>
          <w:sz w:val="28"/>
          <w:szCs w:val="30"/>
        </w:rPr>
        <w:t>坡改梯的地埂、田间道路、防护林由</w:t>
      </w:r>
      <w:r>
        <w:rPr>
          <w:rFonts w:ascii="宋体" w:hAnsi="宋体" w:hint="eastAsia"/>
          <w:sz w:val="28"/>
          <w:szCs w:val="30"/>
          <w:lang w:eastAsia="zh-CN"/>
        </w:rPr>
        <w:t>相关项目</w:t>
      </w:r>
      <w:r>
        <w:rPr>
          <w:rFonts w:ascii="宋体" w:hAnsi="宋体" w:hint="eastAsia"/>
          <w:sz w:val="28"/>
          <w:szCs w:val="30"/>
        </w:rPr>
        <w:t>所在区的镇政府协调组织受益村群众投入劳动力完成。</w:t>
      </w:r>
    </w:p>
    <w:p>
      <w:pPr>
        <w:pStyle w:val="Heading3"/>
      </w:pPr>
      <w:r>
        <w:rPr>
          <w:rFonts w:hint="eastAsia"/>
        </w:rPr>
        <w:t>施工布置</w:t>
      </w:r>
    </w:p>
    <w:p>
      <w:pPr>
        <w:pStyle w:val="Normal0"/>
        <w:ind w:firstLine="560" w:firstLineChars="200"/>
        <w:rPr>
          <w:rFonts w:ascii="宋体" w:hAnsi="宋体"/>
          <w:sz w:val="28"/>
          <w:szCs w:val="30"/>
        </w:rPr>
      </w:pPr>
      <w:r>
        <w:rPr>
          <w:rFonts w:ascii="宋体" w:hAnsi="宋体" w:hint="eastAsia"/>
          <w:sz w:val="28"/>
          <w:szCs w:val="30"/>
        </w:rPr>
        <w:t>按照本工程施工年度的安排，每年的</w:t>
      </w:r>
      <w:r>
        <w:rPr>
          <w:rFonts w:ascii="宋体" w:hAnsi="宋体" w:hint="eastAsia"/>
          <w:sz w:val="28"/>
          <w:szCs w:val="30"/>
          <w:lang w:eastAsia="zh-CN"/>
        </w:rPr>
        <w:t>相关项目</w:t>
      </w:r>
      <w:r>
        <w:rPr>
          <w:rFonts w:ascii="宋体" w:hAnsi="宋体" w:hint="eastAsia"/>
          <w:sz w:val="28"/>
          <w:szCs w:val="30"/>
        </w:rPr>
        <w:t>工程尽量集中连片。但是根据本工程的特点，各施工区还是比较分散，因此，施工</w:t>
      </w:r>
      <w:r>
        <w:rPr>
          <w:rFonts w:ascii="宋体" w:hAnsi="宋体" w:hint="eastAsia"/>
          <w:sz w:val="28"/>
          <w:szCs w:val="30"/>
          <w:lang w:eastAsia="zh-CN"/>
        </w:rPr>
        <w:t>管理管控</w:t>
      </w:r>
      <w:r>
        <w:rPr>
          <w:rFonts w:ascii="宋体" w:hAnsi="宋体" w:hint="eastAsia"/>
          <w:sz w:val="28"/>
          <w:szCs w:val="30"/>
        </w:rPr>
        <w:t>办公室及总仓库设置在年度</w:t>
      </w:r>
      <w:r>
        <w:rPr>
          <w:rFonts w:ascii="宋体" w:hAnsi="宋体" w:hint="eastAsia"/>
          <w:sz w:val="28"/>
          <w:szCs w:val="30"/>
          <w:lang w:eastAsia="zh-CN"/>
        </w:rPr>
        <w:t>相关项目</w:t>
      </w:r>
      <w:r>
        <w:rPr>
          <w:rFonts w:ascii="宋体" w:hAnsi="宋体" w:hint="eastAsia"/>
          <w:sz w:val="28"/>
          <w:szCs w:val="30"/>
        </w:rPr>
        <w:t>区中心位置村内。其它各施工区生活安排及材料仓库就近村内设置，可租用村内民房。机械修配就近城镇机械厂修理，钢筋、木材加工厂及砼制备随建筑物设置。</w:t>
      </w:r>
    </w:p>
    <w:p>
      <w:pPr>
        <w:pStyle w:val="Heading2"/>
      </w:pPr>
      <w:r>
        <w:rPr>
          <w:rFonts w:hint="eastAsia"/>
        </w:rPr>
        <w:t>施工进度要求</w:t>
      </w:r>
    </w:p>
    <w:p>
      <w:pPr>
        <w:pStyle w:val="Normal0"/>
        <w:ind w:firstLine="560" w:firstLineChars="200"/>
        <w:rPr>
          <w:rFonts w:ascii="宋体" w:hAnsi="宋体"/>
          <w:sz w:val="28"/>
          <w:szCs w:val="30"/>
        </w:rPr>
      </w:pPr>
      <w:r>
        <w:rPr>
          <w:rFonts w:ascii="宋体" w:hAnsi="宋体" w:hint="eastAsia"/>
          <w:sz w:val="28"/>
          <w:szCs w:val="30"/>
        </w:rPr>
        <w:t>本</w:t>
      </w:r>
      <w:r>
        <w:rPr>
          <w:rFonts w:ascii="宋体" w:hAnsi="宋体" w:hint="eastAsia"/>
          <w:sz w:val="28"/>
          <w:szCs w:val="30"/>
          <w:lang w:eastAsia="zh-CN"/>
        </w:rPr>
        <w:t>相关项目</w:t>
      </w:r>
      <w:r>
        <w:rPr>
          <w:rFonts w:ascii="宋体" w:hAnsi="宋体" w:hint="eastAsia"/>
          <w:sz w:val="28"/>
          <w:szCs w:val="30"/>
        </w:rPr>
        <w:t>实施期为三年。具体措施安排见表</w:t>
      </w:r>
      <w:r>
        <w:rPr>
          <w:rFonts w:ascii="宋体" w:hAnsi="宋体"/>
          <w:sz w:val="28"/>
          <w:szCs w:val="30"/>
        </w:rPr>
        <w:t>8</w:t>
      </w:r>
      <w:r>
        <w:rPr>
          <w:rFonts w:ascii="宋体" w:hAnsi="宋体" w:hint="eastAsia"/>
          <w:sz w:val="28"/>
          <w:szCs w:val="30"/>
        </w:rPr>
        <w:t>-2、8-3。</w:t>
      </w:r>
    </w:p>
    <w:p>
      <w:pPr>
        <w:pStyle w:val="Normal0"/>
        <w:ind w:firstLine="560" w:firstLineChars="200"/>
        <w:rPr>
          <w:rFonts w:ascii="宋体" w:hAnsi="宋体"/>
          <w:sz w:val="28"/>
          <w:szCs w:val="30"/>
        </w:rPr>
      </w:pPr>
    </w:p>
    <w:p>
      <w:pPr>
        <w:pStyle w:val="Heading1"/>
        <w:numPr>
          <w:ilvl w:val="0"/>
          <w:numId w:val="0"/>
        </w:numPr>
        <w:ind w:left="431"/>
        <w:jc w:val="both"/>
      </w:pPr>
      <w:r>
        <w:rPr>
          <w:rFonts w:hint="eastAsia"/>
        </w:rPr>
        <w:t>7水土保持监测</w:t>
      </w:r>
    </w:p>
    <w:p>
      <w:pPr>
        <w:pStyle w:val="Heading2"/>
        <w:rPr>
          <w:rFonts w:hint="eastAsia"/>
        </w:rPr>
      </w:pPr>
      <w:bookmarkStart w:id="2" w:name="_Toc248746837"/>
      <w:bookmarkStart w:id="3" w:name="_Toc188889869"/>
      <w:bookmarkStart w:id="4" w:name="_Toc188889999"/>
      <w:r>
        <w:rPr>
          <w:rFonts w:hint="eastAsia"/>
        </w:rPr>
        <w:t>7.1水土保持监测任务和</w:t>
      </w:r>
      <w:r>
        <w:rPr>
          <w:rStyle w:val="111Char"/>
          <w:rFonts w:ascii="黑体" w:hAnsi="Arial" w:hint="eastAsia"/>
          <w:b w:val="0"/>
          <w:bCs w:val="0"/>
          <w:sz w:val="32"/>
        </w:rPr>
        <w:t>监测</w:t>
      </w:r>
      <w:bookmarkEnd w:id="2"/>
      <w:r>
        <w:rPr>
          <w:rStyle w:val="111Char"/>
          <w:rFonts w:hint="eastAsia"/>
          <w:b w:val="0"/>
          <w:bCs w:val="0"/>
          <w:sz w:val="32"/>
          <w:lang w:eastAsia="zh-CN"/>
        </w:rPr>
        <w:t>合适的内容</w:t>
      </w:r>
    </w:p>
    <w:bookmarkEnd w:id="3"/>
    <w:bookmarkEnd w:id="4"/>
    <w:p>
      <w:pPr>
        <w:pStyle w:val="Normal0"/>
        <w:ind w:firstLine="560" w:firstLineChars="200"/>
        <w:rPr>
          <w:rFonts w:ascii="宋体" w:hAnsi="宋体" w:hint="eastAsia"/>
          <w:sz w:val="28"/>
          <w:szCs w:val="28"/>
        </w:rPr>
        <w:sectPr>
          <w:headerReference w:type="default" r:id="rId90"/>
          <w:footerReference w:type="default" r:id="rId91"/>
          <w:type w:val="nextPage"/>
          <w:pgSz w:w="11907" w:h="16840"/>
          <w:pgMar w:top="1701" w:right="1418" w:bottom="1418" w:left="1418" w:header="1417" w:footer="567" w:gutter="567"/>
          <w:pgNumType w:start="20"/>
          <w:cols w:num="1" w:space="720"/>
          <w:titlePg w:val="0"/>
          <w:docGrid w:type="lines" w:linePitch="312" w:charSpace="0"/>
        </w:sectPr>
      </w:pPr>
      <w:r>
        <w:rPr>
          <w:rFonts w:ascii="宋体" w:hAnsi="宋体"/>
          <w:sz w:val="28"/>
          <w:szCs w:val="28"/>
        </w:rPr>
        <w:t>水土保持监测是水土保持工作的重要组成部分。为了及时掌握工程建设信息和水土流失动态，确保建设目标的实现，全面提高水土保持生态建设的质量、科技含量、投资效益，为水土保持建设提供技术支持和科学依据，根据《水土保持监测技术规范》（SL277—2000），</w:t>
      </w:r>
      <w:r>
        <w:rPr>
          <w:rFonts w:ascii="宋体" w:hAnsi="宋体" w:hint="eastAsia"/>
          <w:sz w:val="28"/>
          <w:szCs w:val="28"/>
        </w:rPr>
        <w:t>流域</w:t>
      </w:r>
      <w:r>
        <w:rPr>
          <w:rFonts w:ascii="宋体" w:hAnsi="宋体"/>
          <w:sz w:val="28"/>
          <w:szCs w:val="28"/>
        </w:rPr>
        <w:t>水土保持</w:t>
      </w:r>
      <w:r>
        <w:rPr>
          <w:rFonts w:ascii="宋体" w:hAnsi="宋体" w:hint="eastAsia"/>
          <w:sz w:val="28"/>
          <w:szCs w:val="28"/>
        </w:rPr>
        <w:t>工程</w:t>
      </w:r>
      <w:r>
        <w:rPr>
          <w:rFonts w:ascii="宋体" w:hAnsi="宋体"/>
          <w:sz w:val="28"/>
          <w:szCs w:val="28"/>
        </w:rPr>
        <w:t>建设</w:t>
      </w:r>
      <w:r>
        <w:rPr>
          <w:rFonts w:ascii="宋体" w:hAnsi="宋体" w:hint="eastAsia"/>
          <w:sz w:val="28"/>
          <w:szCs w:val="28"/>
        </w:rPr>
        <w:t>中，需</w:t>
      </w:r>
      <w:r>
        <w:rPr>
          <w:rFonts w:ascii="宋体" w:hAnsi="宋体"/>
          <w:sz w:val="28"/>
          <w:szCs w:val="28"/>
        </w:rPr>
        <w:t>对</w:t>
      </w:r>
      <w:r>
        <w:rPr>
          <w:rFonts w:ascii="宋体" w:hAnsi="宋体" w:hint="eastAsia"/>
          <w:sz w:val="28"/>
          <w:szCs w:val="28"/>
        </w:rPr>
        <w:t>流域</w:t>
      </w:r>
      <w:r>
        <w:rPr>
          <w:rFonts w:ascii="宋体" w:hAnsi="宋体"/>
          <w:sz w:val="28"/>
          <w:szCs w:val="28"/>
        </w:rPr>
        <w:t>水土流失动态、进度</w:t>
      </w:r>
      <w:r>
        <w:rPr>
          <w:rFonts w:ascii="宋体" w:hAnsi="宋体" w:hint="eastAsia"/>
          <w:sz w:val="28"/>
          <w:szCs w:val="28"/>
          <w:lang w:eastAsia="zh-CN"/>
        </w:rPr>
        <w:t>相关计划</w:t>
      </w:r>
    </w:p>
    <w:p>
      <w:pPr>
        <w:pStyle w:val="Normal0"/>
        <w:ind w:firstLine="560" w:firstLineChars="200"/>
        <w:rPr>
          <w:rFonts w:ascii="宋体" w:hAnsi="宋体" w:hint="eastAsia"/>
          <w:sz w:val="28"/>
          <w:szCs w:val="28"/>
        </w:rPr>
      </w:pPr>
      <w:r>
        <w:rPr>
          <w:rFonts w:ascii="宋体" w:hAnsi="宋体"/>
          <w:sz w:val="28"/>
          <w:szCs w:val="28"/>
        </w:rPr>
        <w:t>、质量控制、投资控制情况以及经济效益、社会效益和生态效益进行全面监测。</w:t>
      </w:r>
    </w:p>
    <w:p>
      <w:pPr>
        <w:pStyle w:val="Heading3"/>
        <w:rPr>
          <w:rFonts w:hint="eastAsia"/>
        </w:rPr>
      </w:pPr>
      <w:r>
        <w:t>监测任务</w:t>
      </w:r>
    </w:p>
    <w:p>
      <w:pPr>
        <w:pStyle w:val="Normal0"/>
        <w:ind w:firstLine="560" w:firstLineChars="200"/>
        <w:jc w:val="left"/>
        <w:rPr>
          <w:rFonts w:ascii="宋体" w:hAnsi="宋体" w:hint="eastAsia"/>
          <w:sz w:val="28"/>
          <w:szCs w:val="28"/>
        </w:rPr>
      </w:pPr>
      <w:r>
        <w:rPr>
          <w:rFonts w:ascii="宋体" w:hAnsi="宋体"/>
          <w:sz w:val="28"/>
          <w:szCs w:val="28"/>
        </w:rPr>
        <w:t>对</w:t>
      </w:r>
      <w:r>
        <w:rPr>
          <w:rFonts w:ascii="宋体" w:hAnsi="宋体" w:hint="eastAsia"/>
          <w:sz w:val="28"/>
          <w:szCs w:val="28"/>
          <w:lang w:eastAsia="zh-CN"/>
        </w:rPr>
        <w:t>相关项目</w:t>
      </w:r>
      <w:r>
        <w:rPr>
          <w:rFonts w:ascii="宋体" w:hAnsi="宋体"/>
          <w:sz w:val="28"/>
          <w:szCs w:val="28"/>
        </w:rPr>
        <w:t>执行进度与质量，投资与效益，环境变化，经济财务，物资</w:t>
      </w:r>
      <w:r>
        <w:rPr>
          <w:rFonts w:ascii="宋体" w:hAnsi="宋体" w:hint="eastAsia"/>
          <w:sz w:val="28"/>
          <w:szCs w:val="28"/>
          <w:lang w:eastAsia="zh-CN"/>
        </w:rPr>
        <w:t>管理管控</w:t>
      </w:r>
      <w:r>
        <w:rPr>
          <w:rFonts w:ascii="宋体" w:hAnsi="宋体"/>
          <w:sz w:val="28"/>
          <w:szCs w:val="28"/>
        </w:rPr>
        <w:t>和社会影响等方面进行动态监测。搜集整理</w:t>
      </w:r>
      <w:r>
        <w:rPr>
          <w:rFonts w:ascii="宋体" w:hAnsi="宋体" w:hint="eastAsia"/>
          <w:sz w:val="28"/>
          <w:szCs w:val="28"/>
          <w:lang w:eastAsia="zh-CN"/>
        </w:rPr>
        <w:t>相关项目</w:t>
      </w:r>
      <w:r>
        <w:rPr>
          <w:rFonts w:ascii="宋体" w:hAnsi="宋体"/>
          <w:sz w:val="28"/>
          <w:szCs w:val="28"/>
        </w:rPr>
        <w:t>执行信息，对</w:t>
      </w:r>
      <w:r>
        <w:rPr>
          <w:rFonts w:ascii="宋体" w:hAnsi="宋体" w:hint="eastAsia"/>
          <w:sz w:val="28"/>
          <w:szCs w:val="28"/>
          <w:lang w:eastAsia="zh-CN"/>
        </w:rPr>
        <w:t>相关项目</w:t>
      </w:r>
      <w:r>
        <w:rPr>
          <w:rFonts w:ascii="宋体" w:hAnsi="宋体"/>
          <w:sz w:val="28"/>
          <w:szCs w:val="28"/>
        </w:rPr>
        <w:t>实施情况从技术上、经济上和组织</w:t>
      </w:r>
      <w:r>
        <w:rPr>
          <w:rFonts w:ascii="宋体" w:hAnsi="宋体" w:hint="eastAsia"/>
          <w:sz w:val="28"/>
          <w:szCs w:val="28"/>
          <w:lang w:eastAsia="zh-CN"/>
        </w:rPr>
        <w:t>管理管控</w:t>
      </w:r>
      <w:r>
        <w:rPr>
          <w:rFonts w:ascii="宋体" w:hAnsi="宋体"/>
          <w:sz w:val="28"/>
          <w:szCs w:val="28"/>
        </w:rPr>
        <w:t>上进行评价，及时发现问题，总结经验，以确保</w:t>
      </w:r>
      <w:r>
        <w:rPr>
          <w:rFonts w:ascii="宋体" w:hAnsi="宋体" w:hint="eastAsia"/>
          <w:sz w:val="28"/>
          <w:szCs w:val="28"/>
          <w:lang w:eastAsia="zh-CN"/>
        </w:rPr>
        <w:t>相关项目</w:t>
      </w:r>
      <w:r>
        <w:rPr>
          <w:rFonts w:ascii="宋体" w:hAnsi="宋体"/>
          <w:sz w:val="28"/>
          <w:szCs w:val="28"/>
        </w:rPr>
        <w:t>顺利实现目标。</w:t>
      </w:r>
    </w:p>
    <w:p>
      <w:pPr>
        <w:pStyle w:val="Heading3"/>
        <w:rPr>
          <w:rFonts w:hint="eastAsia"/>
        </w:rPr>
      </w:pPr>
      <w:r>
        <w:rPr>
          <w:rFonts w:hint="eastAsia"/>
        </w:rPr>
        <w:t>监测</w:t>
      </w:r>
      <w:r>
        <w:rPr>
          <w:rFonts w:hint="eastAsia"/>
          <w:lang w:eastAsia="zh-CN"/>
        </w:rPr>
        <w:t>合适的内容</w:t>
      </w:r>
    </w:p>
    <w:p>
      <w:pPr>
        <w:pStyle w:val="Normal0"/>
        <w:ind w:firstLine="560" w:firstLineChars="200"/>
        <w:rPr>
          <w:rFonts w:ascii="宋体" w:hAnsi="宋体"/>
          <w:sz w:val="28"/>
          <w:szCs w:val="28"/>
        </w:rPr>
      </w:pPr>
      <w:r>
        <w:rPr>
          <w:rFonts w:ascii="宋体" w:hAnsi="宋体"/>
          <w:sz w:val="28"/>
          <w:szCs w:val="28"/>
        </w:rPr>
        <w:t>（1）水土流失防治区监测。主要监测重点治理区内水土流失的分布、面积、危害及土壤侵蚀的逐年变化情况</w:t>
      </w:r>
      <w:r>
        <w:rPr>
          <w:rFonts w:ascii="宋体" w:hAnsi="宋体" w:hint="eastAsia"/>
          <w:sz w:val="28"/>
          <w:szCs w:val="28"/>
        </w:rPr>
        <w:t>；</w:t>
      </w:r>
      <w:r>
        <w:rPr>
          <w:rFonts w:ascii="宋体" w:hAnsi="宋体"/>
          <w:sz w:val="28"/>
          <w:szCs w:val="28"/>
        </w:rPr>
        <w:t>监测重点治理区</w:t>
      </w:r>
      <w:r>
        <w:rPr>
          <w:rFonts w:ascii="宋体" w:hAnsi="宋体"/>
          <w:color w:val="000000"/>
          <w:sz w:val="28"/>
          <w:szCs w:val="28"/>
        </w:rPr>
        <w:t>内面源污</w:t>
      </w:r>
      <w:r>
        <w:rPr>
          <w:rFonts w:ascii="宋体" w:hAnsi="宋体"/>
          <w:sz w:val="28"/>
          <w:szCs w:val="28"/>
        </w:rPr>
        <w:t>染情况；监测预防保护区内各类植被面积的增减状况、植被结构变化情况、植物群落演变方向等；监测各类开发建设</w:t>
      </w:r>
      <w:r>
        <w:rPr>
          <w:rFonts w:ascii="宋体" w:hAnsi="宋体" w:hint="eastAsia"/>
          <w:sz w:val="28"/>
          <w:szCs w:val="28"/>
          <w:lang w:eastAsia="zh-CN"/>
        </w:rPr>
        <w:t>相关项目</w:t>
      </w:r>
      <w:r>
        <w:rPr>
          <w:rFonts w:ascii="宋体" w:hAnsi="宋体"/>
          <w:sz w:val="28"/>
          <w:szCs w:val="28"/>
        </w:rPr>
        <w:t>(包括采矿、修路、兴建开发区等)的分布、影响面积、造成的水土流失危害等的动态变化。</w:t>
      </w:r>
    </w:p>
    <w:p>
      <w:pPr>
        <w:pStyle w:val="Normal0"/>
        <w:ind w:firstLine="560" w:firstLineChars="200"/>
        <w:rPr>
          <w:rFonts w:ascii="宋体" w:hAnsi="宋体"/>
          <w:sz w:val="28"/>
          <w:szCs w:val="28"/>
        </w:rPr>
      </w:pPr>
      <w:r>
        <w:rPr>
          <w:rFonts w:ascii="宋体" w:hAnsi="宋体"/>
          <w:sz w:val="28"/>
          <w:szCs w:val="28"/>
        </w:rPr>
        <w:t>（2）水土流失成因监测。监测降水、</w:t>
      </w:r>
      <w:r>
        <w:rPr>
          <w:rFonts w:ascii="宋体" w:hAnsi="宋体" w:hint="eastAsia"/>
          <w:sz w:val="28"/>
          <w:szCs w:val="28"/>
        </w:rPr>
        <w:t>风力、</w:t>
      </w:r>
      <w:r>
        <w:rPr>
          <w:rFonts w:ascii="宋体" w:hAnsi="宋体"/>
          <w:sz w:val="28"/>
          <w:szCs w:val="28"/>
        </w:rPr>
        <w:t>径流、泥沙等自然因素及人为因素在不同的侵蚀类型区对水土流失的影响。</w:t>
      </w:r>
    </w:p>
    <w:p>
      <w:pPr>
        <w:pStyle w:val="Normal0"/>
        <w:ind w:firstLine="560" w:firstLineChars="200"/>
        <w:rPr>
          <w:rFonts w:ascii="宋体" w:hAnsi="宋体"/>
          <w:sz w:val="28"/>
          <w:szCs w:val="28"/>
        </w:rPr>
      </w:pPr>
      <w:r>
        <w:rPr>
          <w:rFonts w:ascii="宋体" w:hAnsi="宋体"/>
          <w:sz w:val="28"/>
          <w:szCs w:val="28"/>
        </w:rPr>
        <w:t>（3）水土保持治理措施的动态监测。对各</w:t>
      </w:r>
      <w:r>
        <w:rPr>
          <w:rFonts w:ascii="宋体" w:hAnsi="宋体" w:hint="eastAsia"/>
          <w:sz w:val="28"/>
          <w:szCs w:val="28"/>
        </w:rPr>
        <w:t>类</w:t>
      </w:r>
      <w:r>
        <w:rPr>
          <w:rFonts w:ascii="宋体" w:hAnsi="宋体"/>
          <w:sz w:val="28"/>
          <w:szCs w:val="28"/>
        </w:rPr>
        <w:t>治理措施的质量、数量、保存率等进行动态监测，并分析其生态效益、经济效益、社会效益及保水保土效益。</w:t>
      </w:r>
    </w:p>
    <w:p>
      <w:pPr>
        <w:pStyle w:val="Normal0"/>
        <w:ind w:firstLine="560" w:firstLineChars="200"/>
        <w:rPr>
          <w:rFonts w:ascii="宋体" w:hAnsi="宋体" w:hint="eastAsia"/>
          <w:sz w:val="28"/>
          <w:szCs w:val="28"/>
        </w:rPr>
        <w:sectPr>
          <w:headerReference w:type="default" r:id="rId92"/>
          <w:footerReference w:type="default" r:id="rId93"/>
          <w:type w:val="nextPage"/>
          <w:pgSz w:w="11907" w:h="16840"/>
          <w:pgMar w:top="1701" w:right="1418" w:bottom="1418" w:left="1418" w:header="1417" w:footer="567" w:gutter="567"/>
          <w:pgNumType w:start="21"/>
          <w:cols w:num="1" w:space="720"/>
          <w:titlePg w:val="0"/>
          <w:docGrid w:type="lines" w:linePitch="312" w:charSpace="0"/>
        </w:sectPr>
      </w:pPr>
      <w:r>
        <w:rPr>
          <w:rFonts w:ascii="宋体" w:hAnsi="宋体"/>
          <w:sz w:val="28"/>
          <w:szCs w:val="28"/>
        </w:rPr>
        <w:t>（4）其它监测。对入河入库泥沙量进行监测，对大型水库的泥沙量及淤积情况进行监测等。</w:t>
      </w:r>
    </w:p>
    <w:p>
      <w:pPr>
        <w:pStyle w:val="Heading2"/>
        <w:rPr>
          <w:rFonts w:hint="eastAsia"/>
        </w:rPr>
      </w:pPr>
      <w:bookmarkStart w:id="5" w:name="_Toc248746838"/>
      <w:r>
        <w:rPr>
          <w:rFonts w:hint="eastAsia"/>
        </w:rPr>
        <w:t>监测站点的布设</w:t>
      </w:r>
      <w:bookmarkEnd w:id="5"/>
    </w:p>
    <w:p>
      <w:pPr>
        <w:pStyle w:val="Heading3"/>
      </w:pPr>
      <w:r>
        <w:t>经济效益、社会效益监测网点布设</w:t>
      </w:r>
    </w:p>
    <w:p>
      <w:pPr>
        <w:pStyle w:val="Normal0"/>
        <w:ind w:firstLine="560" w:firstLineChars="200"/>
        <w:jc w:val="left"/>
        <w:rPr>
          <w:rFonts w:ascii="宋体" w:hAnsi="宋体" w:hint="eastAsia"/>
          <w:sz w:val="28"/>
          <w:szCs w:val="28"/>
        </w:rPr>
      </w:pPr>
      <w:r>
        <w:rPr>
          <w:rFonts w:ascii="宋体" w:hAnsi="宋体"/>
          <w:sz w:val="28"/>
          <w:szCs w:val="28"/>
        </w:rPr>
        <w:t>为准确地反映</w:t>
      </w:r>
      <w:r>
        <w:rPr>
          <w:rFonts w:ascii="宋体" w:hAnsi="宋体" w:hint="eastAsia"/>
          <w:sz w:val="28"/>
          <w:szCs w:val="28"/>
          <w:lang w:eastAsia="zh-CN"/>
        </w:rPr>
        <w:t>相关项目</w:t>
      </w:r>
      <w:r>
        <w:rPr>
          <w:rFonts w:ascii="宋体" w:hAnsi="宋体"/>
          <w:sz w:val="28"/>
          <w:szCs w:val="28"/>
        </w:rPr>
        <w:t>实施后的经济效益与社会效益，在</w:t>
      </w:r>
      <w:r>
        <w:rPr>
          <w:rFonts w:ascii="宋体" w:hAnsi="宋体" w:hint="eastAsia"/>
          <w:sz w:val="28"/>
          <w:szCs w:val="28"/>
          <w:lang w:eastAsia="zh-CN"/>
        </w:rPr>
        <w:t>相关项目</w:t>
      </w:r>
      <w:r>
        <w:rPr>
          <w:rFonts w:ascii="宋体" w:hAnsi="宋体" w:hint="eastAsia"/>
          <w:sz w:val="28"/>
          <w:szCs w:val="28"/>
        </w:rPr>
        <w:t>区</w:t>
      </w:r>
      <w:r>
        <w:rPr>
          <w:rFonts w:ascii="宋体" w:hAnsi="宋体"/>
          <w:sz w:val="28"/>
          <w:szCs w:val="28"/>
        </w:rPr>
        <w:t>范围内以</w:t>
      </w:r>
      <w:r>
        <w:rPr>
          <w:rFonts w:ascii="宋体" w:hAnsi="宋体" w:hint="eastAsia"/>
          <w:sz w:val="28"/>
          <w:szCs w:val="28"/>
        </w:rPr>
        <w:t>行政村</w:t>
      </w:r>
      <w:r>
        <w:rPr>
          <w:rFonts w:ascii="宋体" w:hAnsi="宋体"/>
          <w:sz w:val="28"/>
          <w:szCs w:val="28"/>
        </w:rPr>
        <w:t>为单元，分典型农户和典型地块两个层次布设监测网点，布设时既要考虑地貌类型与措施种类，又要考虑</w:t>
      </w:r>
      <w:r>
        <w:rPr>
          <w:rFonts w:ascii="宋体" w:hAnsi="宋体" w:hint="eastAsia"/>
          <w:sz w:val="28"/>
          <w:szCs w:val="28"/>
        </w:rPr>
        <w:t>流域</w:t>
      </w:r>
      <w:r>
        <w:rPr>
          <w:rFonts w:ascii="宋体" w:hAnsi="宋体"/>
          <w:sz w:val="28"/>
          <w:szCs w:val="28"/>
        </w:rPr>
        <w:t>内与</w:t>
      </w:r>
      <w:r>
        <w:rPr>
          <w:rFonts w:ascii="宋体" w:hAnsi="宋体" w:hint="eastAsia"/>
          <w:sz w:val="28"/>
          <w:szCs w:val="28"/>
        </w:rPr>
        <w:t>流域外</w:t>
      </w:r>
      <w:r>
        <w:rPr>
          <w:rFonts w:ascii="宋体" w:hAnsi="宋体"/>
          <w:sz w:val="28"/>
          <w:szCs w:val="28"/>
        </w:rPr>
        <w:t>的差异，监测网点长期固定，连续监测。</w:t>
      </w:r>
    </w:p>
    <w:p>
      <w:pPr>
        <w:pStyle w:val="Heading3"/>
      </w:pPr>
      <w:r>
        <w:rPr>
          <w:rFonts w:hint="eastAsia"/>
        </w:rPr>
        <w:t xml:space="preserve"> </w:t>
      </w:r>
      <w:r>
        <w:t>生态效益监测网点布</w:t>
      </w:r>
      <w:r>
        <w:rPr>
          <w:rFonts w:hint="eastAsia"/>
        </w:rPr>
        <w:t>设</w:t>
      </w:r>
    </w:p>
    <w:p>
      <w:pPr>
        <w:pStyle w:val="Normal0"/>
        <w:ind w:firstLine="560" w:firstLineChars="200"/>
        <w:rPr>
          <w:rFonts w:ascii="宋体" w:hAnsi="宋体"/>
          <w:sz w:val="28"/>
          <w:szCs w:val="28"/>
        </w:rPr>
      </w:pPr>
      <w:r>
        <w:rPr>
          <w:rFonts w:ascii="宋体" w:hAnsi="宋体"/>
          <w:sz w:val="28"/>
          <w:szCs w:val="28"/>
        </w:rPr>
        <w:t>根据不同的土壤理化性质，在</w:t>
      </w:r>
      <w:r>
        <w:rPr>
          <w:rFonts w:ascii="宋体" w:hAnsi="宋体" w:hint="eastAsia"/>
          <w:sz w:val="28"/>
          <w:szCs w:val="28"/>
          <w:lang w:eastAsia="zh-CN"/>
        </w:rPr>
        <w:t>相关项目</w:t>
      </w:r>
      <w:r>
        <w:rPr>
          <w:rFonts w:ascii="宋体" w:hAnsi="宋体" w:hint="eastAsia"/>
          <w:sz w:val="28"/>
          <w:szCs w:val="28"/>
        </w:rPr>
        <w:t>区</w:t>
      </w:r>
      <w:r>
        <w:rPr>
          <w:rFonts w:ascii="宋体" w:hAnsi="宋体"/>
          <w:sz w:val="28"/>
          <w:szCs w:val="28"/>
        </w:rPr>
        <w:t>内的</w:t>
      </w:r>
      <w:r>
        <w:rPr>
          <w:rFonts w:ascii="宋体" w:hAnsi="宋体" w:hint="eastAsia"/>
          <w:sz w:val="28"/>
          <w:szCs w:val="28"/>
        </w:rPr>
        <w:t>节水灌溉农田、</w:t>
      </w:r>
      <w:r>
        <w:rPr>
          <w:rFonts w:ascii="宋体" w:hAnsi="宋体"/>
          <w:sz w:val="28"/>
          <w:szCs w:val="28"/>
        </w:rPr>
        <w:t>坡耕地、荒坡地、乔木林地、灌木林地等不同地类中分别布设</w:t>
      </w:r>
      <w:r>
        <w:rPr>
          <w:rFonts w:ascii="宋体" w:hAnsi="宋体" w:hint="eastAsia"/>
          <w:sz w:val="28"/>
          <w:szCs w:val="28"/>
        </w:rPr>
        <w:t>5</w:t>
      </w:r>
      <w:r>
        <w:rPr>
          <w:rFonts w:ascii="宋体" w:hAnsi="宋体"/>
          <w:sz w:val="28"/>
          <w:szCs w:val="28"/>
        </w:rPr>
        <w:t>个监测站点；在沟口设立水沙、水质监测站，监测水质变化情况，并设立小气候观测点。</w:t>
      </w:r>
    </w:p>
    <w:p>
      <w:pPr>
        <w:pStyle w:val="Heading3"/>
      </w:pPr>
      <w:r>
        <w:t>保水保土效益监测网点布设</w:t>
      </w:r>
    </w:p>
    <w:p>
      <w:pPr>
        <w:pStyle w:val="Normal0"/>
        <w:ind w:firstLine="560" w:firstLineChars="200"/>
        <w:rPr>
          <w:rFonts w:ascii="宋体" w:hAnsi="宋体" w:hint="eastAsia"/>
          <w:sz w:val="28"/>
          <w:szCs w:val="28"/>
        </w:rPr>
      </w:pPr>
      <w:r>
        <w:rPr>
          <w:rFonts w:ascii="宋体" w:hAnsi="宋体" w:hint="eastAsia"/>
          <w:sz w:val="28"/>
          <w:szCs w:val="28"/>
        </w:rPr>
        <w:t>流域</w:t>
      </w:r>
      <w:r>
        <w:rPr>
          <w:rFonts w:ascii="宋体" w:hAnsi="宋体"/>
          <w:sz w:val="28"/>
          <w:szCs w:val="28"/>
        </w:rPr>
        <w:t>建设各项水土保持措施目的就是拦蓄洪水泥沙，减少入黄泥沙，因此</w:t>
      </w:r>
      <w:r>
        <w:rPr>
          <w:rFonts w:ascii="宋体" w:hAnsi="宋体" w:hint="eastAsia"/>
          <w:sz w:val="28"/>
          <w:szCs w:val="28"/>
        </w:rPr>
        <w:t>流域</w:t>
      </w:r>
      <w:r>
        <w:rPr>
          <w:rFonts w:ascii="宋体" w:hAnsi="宋体"/>
          <w:sz w:val="28"/>
          <w:szCs w:val="28"/>
        </w:rPr>
        <w:t>治理前与治理后水沙动态的变化是</w:t>
      </w:r>
      <w:r>
        <w:rPr>
          <w:rFonts w:ascii="宋体" w:hAnsi="宋体" w:hint="eastAsia"/>
          <w:sz w:val="28"/>
          <w:szCs w:val="28"/>
          <w:lang w:eastAsia="zh-CN"/>
        </w:rPr>
        <w:t>相关项目</w:t>
      </w:r>
      <w:r>
        <w:rPr>
          <w:rFonts w:ascii="宋体" w:hAnsi="宋体"/>
          <w:sz w:val="28"/>
          <w:szCs w:val="28"/>
        </w:rPr>
        <w:t>区重点监测的</w:t>
      </w:r>
      <w:r>
        <w:rPr>
          <w:rFonts w:ascii="宋体" w:hAnsi="宋体" w:hint="eastAsia"/>
          <w:sz w:val="28"/>
          <w:szCs w:val="28"/>
          <w:lang w:eastAsia="zh-CN"/>
        </w:rPr>
        <w:t>相关项目</w:t>
      </w:r>
      <w:r>
        <w:rPr>
          <w:rFonts w:ascii="宋体" w:hAnsi="宋体"/>
          <w:sz w:val="28"/>
          <w:szCs w:val="28"/>
        </w:rPr>
        <w:t>。在</w:t>
      </w:r>
      <w:r>
        <w:rPr>
          <w:rFonts w:ascii="宋体" w:hAnsi="宋体" w:hint="eastAsia"/>
          <w:sz w:val="28"/>
          <w:szCs w:val="28"/>
        </w:rPr>
        <w:t>两个流域（抢盘河、卯独庆河）</w:t>
      </w:r>
      <w:r>
        <w:rPr>
          <w:rFonts w:ascii="宋体" w:hAnsi="宋体"/>
          <w:sz w:val="28"/>
          <w:szCs w:val="28"/>
        </w:rPr>
        <w:t>沟口</w:t>
      </w:r>
      <w:r>
        <w:rPr>
          <w:rFonts w:ascii="宋体" w:hAnsi="宋体" w:hint="eastAsia"/>
          <w:sz w:val="28"/>
          <w:szCs w:val="28"/>
        </w:rPr>
        <w:t>各</w:t>
      </w:r>
      <w:r>
        <w:rPr>
          <w:rFonts w:ascii="宋体" w:hAnsi="宋体"/>
          <w:sz w:val="28"/>
          <w:szCs w:val="28"/>
        </w:rPr>
        <w:t>设水沙监测站1个，监测降雨与径流泥沙的变化情况。</w:t>
      </w:r>
    </w:p>
    <w:p>
      <w:pPr>
        <w:pStyle w:val="Heading2"/>
        <w:rPr>
          <w:rFonts w:hint="eastAsia"/>
        </w:rPr>
      </w:pPr>
      <w:bookmarkStart w:id="6" w:name="_Toc248746839"/>
      <w:r>
        <w:rPr>
          <w:rFonts w:hint="eastAsia"/>
        </w:rPr>
        <w:t>监测方法及要求</w:t>
      </w:r>
      <w:bookmarkEnd w:id="6"/>
    </w:p>
    <w:p>
      <w:pPr>
        <w:pStyle w:val="Heading3"/>
        <w:rPr>
          <w:rFonts w:hint="eastAsia"/>
          <w:color w:val="000000"/>
        </w:rPr>
      </w:pPr>
      <w:r>
        <w:rPr>
          <w:rFonts w:hint="eastAsia"/>
        </w:rPr>
        <w:t>监测方法</w:t>
      </w:r>
    </w:p>
    <w:p>
      <w:pPr>
        <w:pStyle w:val="Normal0"/>
        <w:ind w:firstLine="560" w:firstLineChars="200"/>
        <w:rPr>
          <w:rFonts w:ascii="宋体" w:hAnsi="宋体" w:hint="eastAsia"/>
          <w:sz w:val="28"/>
          <w:szCs w:val="28"/>
        </w:rPr>
      </w:pPr>
      <w:r>
        <w:rPr>
          <w:rFonts w:ascii="宋体" w:hAnsi="宋体" w:hint="eastAsia"/>
          <w:sz w:val="28"/>
          <w:szCs w:val="28"/>
        </w:rPr>
        <w:t>根据不同的监测</w:t>
      </w:r>
      <w:r>
        <w:rPr>
          <w:rFonts w:ascii="宋体" w:hAnsi="宋体" w:hint="eastAsia"/>
          <w:sz w:val="28"/>
          <w:szCs w:val="28"/>
          <w:lang w:eastAsia="zh-CN"/>
        </w:rPr>
        <w:t>合适的内容</w:t>
      </w:r>
      <w:r>
        <w:rPr>
          <w:rFonts w:ascii="宋体" w:hAnsi="宋体" w:hint="eastAsia"/>
          <w:sz w:val="28"/>
          <w:szCs w:val="28"/>
        </w:rPr>
        <w:t>，所采取的具体监测方法如下：</w:t>
      </w:r>
    </w:p>
    <w:p>
      <w:pPr>
        <w:pStyle w:val="Normal0"/>
        <w:ind w:firstLine="560" w:firstLineChars="200"/>
        <w:rPr>
          <w:rFonts w:ascii="宋体" w:hAnsi="宋体" w:hint="eastAsia"/>
          <w:sz w:val="28"/>
          <w:szCs w:val="28"/>
        </w:rPr>
      </w:pPr>
      <w:r>
        <w:rPr>
          <w:rFonts w:ascii="宋体" w:hAnsi="宋体" w:hint="eastAsia"/>
          <w:sz w:val="28"/>
          <w:szCs w:val="28"/>
        </w:rPr>
        <w:t>⑴措施质量进度监测</w:t>
      </w:r>
    </w:p>
    <w:p>
      <w:pPr>
        <w:pStyle w:val="Normal0"/>
        <w:ind w:firstLine="560" w:firstLineChars="200"/>
        <w:rPr>
          <w:rFonts w:ascii="宋体" w:hAnsi="宋体" w:hint="eastAsia"/>
          <w:sz w:val="28"/>
          <w:szCs w:val="28"/>
        </w:rPr>
      </w:pPr>
      <w:r>
        <w:rPr>
          <w:rFonts w:ascii="宋体" w:hAnsi="宋体" w:hint="eastAsia"/>
          <w:sz w:val="28"/>
          <w:szCs w:val="28"/>
        </w:rPr>
        <w:br/>
      </w:r>
      <w:r>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4" w:history="1">
        <w:r>
          <w:rPr>
            <w:rFonts w:ascii="SimSun" w:eastAsia="SimSun" w:hAnsi="SimSun" w:cs="SimSun"/>
            <w:b/>
            <w:bCs/>
            <w:color w:val="0000EE"/>
            <w:kern w:val="0"/>
            <w:sz w:val="30"/>
            <w:szCs w:val="30"/>
            <w:u w:val="single" w:color="0000EE"/>
          </w:rPr>
          <w:t>https://d.book118.com/757023042103006045</w:t>
        </w:r>
      </w:hyperlink>
    </w:p>
    <w:p>
      <w:pPr>
        <w:pStyle w:val="Normal0"/>
        <w:ind w:firstLine="560" w:firstLineChars="200"/>
        <w:rPr>
          <w:rFonts w:ascii="宋体" w:hAnsi="宋体" w:hint="eastAsia"/>
          <w:sz w:val="28"/>
          <w:szCs w:val="28"/>
        </w:rPr>
      </w:pPr>
    </w:p>
    <w:sectPr>
      <w:headerReference w:type="default" r:id="rId95"/>
      <w:footerReference w:type="default" r:id="rId96"/>
      <w:type w:val="nextPage"/>
      <w:pgSz w:w="11907" w:h="16840"/>
      <w:pgMar w:top="1701" w:right="1418" w:bottom="1418" w:left="1418" w:header="1417" w:footer="567" w:gutter="567"/>
      <w:pgNumType w:start="2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华文行楷">
    <w:panose1 w:val="02010800040101010101"/>
    <w:charset w:val="86"/>
    <w:family w:val="auto"/>
    <w:pitch w:val="default"/>
    <w:sig w:usb0="00000001" w:usb1="080F0000" w:usb2="00000000" w:usb3="00000000" w:csb0="00040000" w:csb1="00000000"/>
  </w:font>
  <w:font w:name="隶书">
    <w:panose1 w:val="0201050906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46</w:t>
    </w:r>
    <w:r>
      <w:fldChar w:fldCharType="end"/>
    </w:r>
  </w:p>
  <w:p>
    <w:pPr>
      <w:pStyle w:val="Footer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w:t>
    </w:r>
    <w:r>
      <w:fldChar w:fldCharType="end"/>
    </w:r>
  </w:p>
  <w:p>
    <w:pPr>
      <w:pStyle w:val="Footer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2</w:t>
    </w:r>
    <w:r>
      <w:fldChar w:fldCharType="end"/>
    </w:r>
  </w:p>
  <w:p>
    <w:pPr>
      <w:pStyle w:val="Foo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3</w:t>
    </w:r>
    <w:r>
      <w:fldChar w:fldCharType="end"/>
    </w:r>
  </w:p>
  <w:p>
    <w:pPr>
      <w:pStyle w:val="Footer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4</w:t>
    </w:r>
    <w:r>
      <w:fldChar w:fldCharType="end"/>
    </w:r>
  </w:p>
  <w:p>
    <w:pPr>
      <w:pStyle w:val="Footer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5</w:t>
    </w:r>
    <w:r>
      <w:fldChar w:fldCharType="end"/>
    </w:r>
  </w:p>
  <w:p>
    <w:pPr>
      <w:pStyle w:val="Footer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6</w:t>
    </w:r>
    <w:r>
      <w:fldChar w:fldCharType="end"/>
    </w:r>
  </w:p>
  <w:p>
    <w:pPr>
      <w:pStyle w:val="Footer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8</w:t>
    </w:r>
    <w:r>
      <w:fldChar w:fldCharType="end"/>
    </w:r>
  </w:p>
  <w:p>
    <w:pPr>
      <w:pStyle w:val="Footer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9</w:t>
    </w:r>
    <w:r>
      <w:fldChar w:fldCharType="end"/>
    </w:r>
  </w:p>
  <w:p>
    <w:pPr>
      <w:pStyle w:val="Footer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9</w:t>
    </w:r>
    <w:r>
      <w:fldChar w:fldCharType="end"/>
    </w:r>
  </w:p>
  <w:p>
    <w:pPr>
      <w:pStyle w:val="Footer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10</w:t>
    </w:r>
    <w:r>
      <w:fldChar w:fldCharType="end"/>
    </w:r>
  </w:p>
  <w:p>
    <w:pPr>
      <w:pStyle w:val="Footer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12</w:t>
    </w:r>
    <w:r>
      <w:fldChar w:fldCharType="end"/>
    </w:r>
  </w:p>
  <w:p>
    <w:pPr>
      <w:pStyle w:val="Footer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13</w:t>
    </w:r>
    <w:r>
      <w:fldChar w:fldCharType="end"/>
    </w:r>
  </w:p>
  <w:p>
    <w:pPr>
      <w:pStyle w:val="Footer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13</w:t>
    </w:r>
    <w:r>
      <w:fldChar w:fldCharType="end"/>
    </w:r>
  </w:p>
  <w:p>
    <w:pPr>
      <w:pStyle w:val="Footer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14</w:t>
    </w:r>
    <w:r>
      <w:fldChar w:fldCharType="end"/>
    </w:r>
  </w:p>
  <w:p>
    <w:pPr>
      <w:pStyle w:val="Footer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15</w:t>
    </w:r>
    <w:r>
      <w:fldChar w:fldCharType="end"/>
    </w:r>
  </w:p>
  <w:p>
    <w:pPr>
      <w:pStyle w:val="Footer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17</w:t>
    </w:r>
    <w:r>
      <w:fldChar w:fldCharType="end"/>
    </w:r>
  </w:p>
  <w:p>
    <w:pPr>
      <w:pStyle w:val="Footer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17</w:t>
    </w:r>
    <w:r>
      <w:fldChar w:fldCharType="end"/>
    </w:r>
  </w:p>
  <w:p>
    <w:pPr>
      <w:pStyle w:val="Footer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18</w:t>
    </w:r>
    <w:r>
      <w:fldChar w:fldCharType="end"/>
    </w:r>
  </w:p>
  <w:p>
    <w:pPr>
      <w:pStyle w:val="Footer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20</w:t>
    </w:r>
    <w:r>
      <w:fldChar w:fldCharType="end"/>
    </w:r>
  </w:p>
  <w:p>
    <w:pPr>
      <w:pStyle w:val="Footer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21</w:t>
    </w:r>
    <w:r>
      <w:fldChar w:fldCharType="end"/>
    </w:r>
  </w:p>
  <w:p>
    <w:pPr>
      <w:pStyle w:val="Footer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21</w:t>
    </w:r>
    <w:r>
      <w:fldChar w:fldCharType="end"/>
    </w:r>
  </w:p>
  <w:p>
    <w:pPr>
      <w:pStyle w:val="Footer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instrText xml:space="preserve"> PAGE   \* MERGEFORMAT </w:instrText>
    </w:r>
    <w:r>
      <w:fldChar w:fldCharType="separate"/>
    </w:r>
    <w:r>
      <w:rPr>
        <w:lang w:val="zh-CN"/>
      </w:rPr>
      <w:t>22</w:t>
    </w:r>
    <w:r>
      <w:fldChar w:fldCharType="end"/>
    </w:r>
  </w:p>
  <w:p>
    <w:pPr>
      <w:pStyle w:val="Footer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rPr>
        <w:b/>
        <w:sz w:val="21"/>
        <w:szCs w:val="21"/>
      </w:rPr>
    </w:pPr>
    <w:r>
      <w:rPr>
        <w:rFonts w:ascii="宋体" w:hAnsi="宋体" w:hint="eastAsia"/>
        <w:b/>
        <w:sz w:val="21"/>
        <w:szCs w:val="21"/>
      </w:rPr>
      <w:t>清水河县坡耕地水土流失综合治理工程实施方案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5058C1"/>
    <w:multiLevelType w:val="multilevel"/>
    <w:tmpl w:val="0A5058C1"/>
    <w:lvl w:ilvl="0">
      <w:start w:val="1"/>
      <w:numFmt w:val="decimalEnclosedParen"/>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nsid w:val="1E092518"/>
    <w:multiLevelType w:val="multilevel"/>
    <w:tmpl w:val="7E554700"/>
    <w:lvl w:ilvl="0">
      <w:start w:val="1"/>
      <w:numFmt w:val="lowerLetter"/>
      <w:lvlText w:val="%1."/>
      <w:lvlJc w:val="left"/>
      <w:pPr>
        <w:tabs>
          <w:tab w:val="left" w:pos="1140"/>
        </w:tabs>
        <w:ind w:left="1140" w:hanging="705"/>
      </w:pPr>
      <w:rPr>
        <w:rFonts w:hint="default"/>
      </w:rPr>
    </w:lvl>
    <w:lvl w:ilvl="1">
      <w:start w:val="1"/>
      <w:numFmt w:val="decimal"/>
      <w:lvlText w:val="（%2）"/>
      <w:lvlJc w:val="left"/>
      <w:pPr>
        <w:tabs>
          <w:tab w:val="left" w:pos="1575"/>
        </w:tabs>
        <w:ind w:left="1575" w:hanging="720"/>
      </w:pPr>
      <w:rPr>
        <w:rFonts w:hint="eastAsia"/>
      </w:rPr>
    </w:lvl>
    <w:lvl w:ilvl="2">
      <w:start w:val="5"/>
      <w:numFmt w:val="decimal"/>
      <w:lvlText w:val="%3．"/>
      <w:lvlJc w:val="left"/>
      <w:pPr>
        <w:tabs>
          <w:tab w:val="left" w:pos="1635"/>
        </w:tabs>
        <w:ind w:left="1635" w:hanging="360"/>
      </w:pPr>
      <w:rPr>
        <w:rFonts w:hint="eastAsia"/>
      </w:rPr>
    </w:lvl>
    <w:lvl w:ilvl="3">
      <w:start w:val="1"/>
      <w:numFmt w:val="japaneseCounting"/>
      <w:lvlText w:val="第%4章"/>
      <w:lvlJc w:val="left"/>
      <w:pPr>
        <w:tabs>
          <w:tab w:val="left" w:pos="2985"/>
        </w:tabs>
        <w:ind w:left="2985" w:hanging="1290"/>
      </w:pPr>
      <w:rPr>
        <w:rFonts w:hint="eastAsia"/>
      </w:rPr>
    </w:lvl>
    <w:lvl w:ilvl="4">
      <w:start w:val="1"/>
      <w:numFmt w:val="lowerLetter"/>
      <w:lvlText w:val="%5)"/>
      <w:lvlJc w:val="left"/>
      <w:pPr>
        <w:tabs>
          <w:tab w:val="left" w:pos="2535"/>
        </w:tabs>
        <w:ind w:left="2535" w:hanging="420"/>
      </w:pPr>
    </w:lvl>
    <w:lvl w:ilvl="5">
      <w:start w:val="1"/>
      <w:numFmt w:val="lowerRoman"/>
      <w:lvlText w:val="%6."/>
      <w:lvlJc w:val="right"/>
      <w:pPr>
        <w:tabs>
          <w:tab w:val="left" w:pos="2955"/>
        </w:tabs>
        <w:ind w:left="2955" w:hanging="420"/>
      </w:pPr>
    </w:lvl>
    <w:lvl w:ilvl="6">
      <w:start w:val="1"/>
      <w:numFmt w:val="decimal"/>
      <w:lvlText w:val="%7."/>
      <w:lvlJc w:val="left"/>
      <w:pPr>
        <w:tabs>
          <w:tab w:val="left" w:pos="3375"/>
        </w:tabs>
        <w:ind w:left="3375" w:hanging="420"/>
      </w:pPr>
    </w:lvl>
    <w:lvl w:ilvl="7">
      <w:start w:val="1"/>
      <w:numFmt w:val="lowerLetter"/>
      <w:lvlText w:val="%8)"/>
      <w:lvlJc w:val="left"/>
      <w:pPr>
        <w:tabs>
          <w:tab w:val="left" w:pos="3795"/>
        </w:tabs>
        <w:ind w:left="3795" w:hanging="420"/>
      </w:pPr>
    </w:lvl>
    <w:lvl w:ilvl="8">
      <w:start w:val="1"/>
      <w:numFmt w:val="lowerRoman"/>
      <w:lvlText w:val="%9."/>
      <w:lvlJc w:val="right"/>
      <w:pPr>
        <w:tabs>
          <w:tab w:val="left" w:pos="4215"/>
        </w:tabs>
        <w:ind w:left="4215" w:hanging="420"/>
      </w:pPr>
    </w:lvl>
  </w:abstractNum>
  <w:abstractNum w:abstractNumId="2">
    <w:nsid w:val="1F497DC9"/>
    <w:multiLevelType w:val="multilevel"/>
    <w:tmpl w:val="1F497DC9"/>
    <w:lvl w:ilvl="0">
      <w:start w:val="1"/>
      <w:numFmt w:val="decimalEnclosedCircle"/>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
    <w:nsid w:val="2BB503CA"/>
    <w:multiLevelType w:val="multilevel"/>
    <w:tmpl w:val="2BB503CA"/>
    <w:lvl w:ilvl="0">
      <w:start w:val="1"/>
      <w:numFmt w:val="decimalEnclosedParen"/>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nsid w:val="339C1B96"/>
    <w:multiLevelType w:val="multilevel"/>
    <w:tmpl w:val="339C1B96"/>
    <w:lvl w:ilvl="0">
      <w:start w:val="1"/>
      <w:numFmt w:val="decimal"/>
      <w:pStyle w:val="Heading1"/>
      <w:lvlText w:val="%1"/>
      <w:lvlJc w:val="left"/>
      <w:pPr>
        <w:tabs>
          <w:tab w:val="left" w:pos="3582"/>
        </w:tabs>
        <w:ind w:left="3582" w:hanging="432"/>
      </w:pPr>
      <w:rPr>
        <w:rFonts w:hint="eastAsia"/>
      </w:rPr>
    </w:lvl>
    <w:lvl w:ilvl="1">
      <w:start w:val="1"/>
      <w:numFmt w:val="decimal"/>
      <w:pStyle w:val="Heading2"/>
      <w:lvlText w:val="%1.%2"/>
      <w:lvlJc w:val="left"/>
      <w:pPr>
        <w:tabs>
          <w:tab w:val="left" w:pos="724"/>
        </w:tabs>
        <w:ind w:left="724" w:hanging="576"/>
      </w:pPr>
      <w:rPr>
        <w:rFonts w:hint="eastAsia"/>
        <w:sz w:val="32"/>
        <w:szCs w:val="32"/>
      </w:rPr>
    </w:lvl>
    <w:lvl w:ilvl="2">
      <w:start w:val="1"/>
      <w:numFmt w:val="decimal"/>
      <w:pStyle w:val="Heading3"/>
      <w:lvlText w:val="%1.%2.%3"/>
      <w:lvlJc w:val="left"/>
      <w:pPr>
        <w:tabs>
          <w:tab w:val="left" w:pos="300"/>
        </w:tabs>
        <w:ind w:left="300" w:hanging="720"/>
      </w:pPr>
      <w:rPr>
        <w:rFonts w:ascii="Times New Roman" w:eastAsia="宋体" w:hAnsi="Times New Roman" w:cs="Times New Roman" w:hint="default"/>
      </w:rPr>
    </w:lvl>
    <w:lvl w:ilvl="3">
      <w:start w:val="1"/>
      <w:numFmt w:val="decimal"/>
      <w:pStyle w:val="Heading4"/>
      <w:lvlText w:val="%1.%2.%3.%4"/>
      <w:lvlJc w:val="left"/>
      <w:pPr>
        <w:tabs>
          <w:tab w:val="left" w:pos="444"/>
        </w:tabs>
        <w:ind w:left="444" w:hanging="864"/>
      </w:pPr>
      <w:rPr>
        <w:rFonts w:hint="eastAsia"/>
      </w:rPr>
    </w:lvl>
    <w:lvl w:ilvl="4">
      <w:start w:val="1"/>
      <w:numFmt w:val="decimal"/>
      <w:pStyle w:val="Heading5"/>
      <w:lvlText w:val="%1.%2.%3.%4.%5"/>
      <w:lvlJc w:val="left"/>
      <w:pPr>
        <w:tabs>
          <w:tab w:val="left" w:pos="588"/>
        </w:tabs>
        <w:ind w:left="588" w:hanging="1008"/>
      </w:pPr>
      <w:rPr>
        <w:rFonts w:hint="eastAsia"/>
      </w:rPr>
    </w:lvl>
    <w:lvl w:ilvl="5">
      <w:start w:val="1"/>
      <w:numFmt w:val="decimal"/>
      <w:pStyle w:val="Heading6"/>
      <w:lvlText w:val="%1.%2.%3.%4.%5.%6"/>
      <w:lvlJc w:val="left"/>
      <w:pPr>
        <w:tabs>
          <w:tab w:val="left" w:pos="732"/>
        </w:tabs>
        <w:ind w:left="732" w:hanging="1152"/>
      </w:pPr>
      <w:rPr>
        <w:rFonts w:hint="eastAsia"/>
      </w:rPr>
    </w:lvl>
    <w:lvl w:ilvl="6">
      <w:start w:val="1"/>
      <w:numFmt w:val="decimal"/>
      <w:pStyle w:val="Heading7"/>
      <w:lvlText w:val="%1.%2.%3.%4.%5.%6.%7"/>
      <w:lvlJc w:val="left"/>
      <w:pPr>
        <w:tabs>
          <w:tab w:val="left" w:pos="876"/>
        </w:tabs>
        <w:ind w:left="876" w:hanging="1296"/>
      </w:pPr>
      <w:rPr>
        <w:rFonts w:hint="eastAsia"/>
      </w:rPr>
    </w:lvl>
    <w:lvl w:ilvl="7">
      <w:start w:val="1"/>
      <w:numFmt w:val="decimal"/>
      <w:pStyle w:val="Heading8"/>
      <w:lvlText w:val="%1.%2.%3.%4.%5.%6.%7.%8"/>
      <w:lvlJc w:val="left"/>
      <w:pPr>
        <w:tabs>
          <w:tab w:val="left" w:pos="1020"/>
        </w:tabs>
        <w:ind w:left="1020" w:hanging="1440"/>
      </w:pPr>
      <w:rPr>
        <w:rFonts w:hint="eastAsia"/>
      </w:rPr>
    </w:lvl>
    <w:lvl w:ilvl="8">
      <w:start w:val="1"/>
      <w:numFmt w:val="decimal"/>
      <w:pStyle w:val="Heading9"/>
      <w:lvlText w:val="%1.%2.%3.%4.%5.%6.%7.%8.%9"/>
      <w:lvlJc w:val="left"/>
      <w:pPr>
        <w:tabs>
          <w:tab w:val="left" w:pos="1164"/>
        </w:tabs>
        <w:ind w:left="1164" w:hanging="1584"/>
      </w:pPr>
      <w:rPr>
        <w:rFonts w:hint="eastAsia"/>
      </w:rPr>
    </w:lvl>
  </w:abstractNum>
  <w:abstractNum w:abstractNumId="5">
    <w:nsid w:val="37905B1B"/>
    <w:multiLevelType w:val="multilevel"/>
    <w:tmpl w:val="37905B1B"/>
    <w:lvl w:ilvl="0">
      <w:start w:val="1"/>
      <w:numFmt w:val="decimalEnclosedParen"/>
      <w:lvlText w:val="%1"/>
      <w:lvlJc w:val="left"/>
      <w:pPr>
        <w:ind w:left="987" w:hanging="360"/>
      </w:pPr>
      <w:rPr>
        <w:rFonts w:hint="default"/>
      </w:rPr>
    </w:lvl>
    <w:lvl w:ilvl="1">
      <w:start w:val="1"/>
      <w:numFmt w:val="lowerLetter"/>
      <w:lvlText w:val="%2)"/>
      <w:lvlJc w:val="left"/>
      <w:pPr>
        <w:ind w:left="1467" w:hanging="420"/>
      </w:pPr>
    </w:lvl>
    <w:lvl w:ilvl="2">
      <w:start w:val="1"/>
      <w:numFmt w:val="lowerRoman"/>
      <w:lvlText w:val="%3."/>
      <w:lvlJc w:val="right"/>
      <w:pPr>
        <w:ind w:left="1887" w:hanging="420"/>
      </w:pPr>
    </w:lvl>
    <w:lvl w:ilvl="3">
      <w:start w:val="1"/>
      <w:numFmt w:val="decimal"/>
      <w:lvlText w:val="%4."/>
      <w:lvlJc w:val="left"/>
      <w:pPr>
        <w:ind w:left="2307" w:hanging="420"/>
      </w:pPr>
    </w:lvl>
    <w:lvl w:ilvl="4">
      <w:start w:val="1"/>
      <w:numFmt w:val="lowerLetter"/>
      <w:lvlText w:val="%5)"/>
      <w:lvlJc w:val="left"/>
      <w:pPr>
        <w:ind w:left="2727" w:hanging="420"/>
      </w:pPr>
    </w:lvl>
    <w:lvl w:ilvl="5">
      <w:start w:val="1"/>
      <w:numFmt w:val="lowerRoman"/>
      <w:lvlText w:val="%6."/>
      <w:lvlJc w:val="right"/>
      <w:pPr>
        <w:ind w:left="3147" w:hanging="420"/>
      </w:pPr>
    </w:lvl>
    <w:lvl w:ilvl="6">
      <w:start w:val="1"/>
      <w:numFmt w:val="decimal"/>
      <w:lvlText w:val="%7."/>
      <w:lvlJc w:val="left"/>
      <w:pPr>
        <w:ind w:left="3567" w:hanging="420"/>
      </w:pPr>
    </w:lvl>
    <w:lvl w:ilvl="7">
      <w:start w:val="1"/>
      <w:numFmt w:val="lowerLetter"/>
      <w:lvlText w:val="%8)"/>
      <w:lvlJc w:val="left"/>
      <w:pPr>
        <w:ind w:left="3987" w:hanging="420"/>
      </w:pPr>
    </w:lvl>
    <w:lvl w:ilvl="8">
      <w:start w:val="1"/>
      <w:numFmt w:val="lowerRoman"/>
      <w:lvlText w:val="%9."/>
      <w:lvlJc w:val="right"/>
      <w:pPr>
        <w:ind w:left="4407" w:hanging="420"/>
      </w:pPr>
    </w:lvl>
  </w:abstractNum>
  <w:abstractNum w:abstractNumId="6">
    <w:nsid w:val="3ADF39A8"/>
    <w:multiLevelType w:val="multilevel"/>
    <w:tmpl w:val="3ADF39A8"/>
    <w:lvl w:ilvl="0">
      <w:start w:val="1"/>
      <w:numFmt w:val="lowerLetter"/>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7">
    <w:nsid w:val="57494A04"/>
    <w:multiLevelType w:val="multilevel"/>
    <w:tmpl w:val="57494A04"/>
    <w:lvl w:ilvl="0">
      <w:start w:val="1"/>
      <w:numFmt w:val="decimalEnclosedParen"/>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65500A7F"/>
    <w:multiLevelType w:val="multilevel"/>
    <w:tmpl w:val="65500A7F"/>
    <w:lvl w:ilvl="0">
      <w:start w:val="1"/>
      <w:numFmt w:val="decimalEnclosedCircle"/>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9">
    <w:nsid w:val="7E554700"/>
    <w:multiLevelType w:val="multilevel"/>
    <w:tmpl w:val="7E554700"/>
    <w:lvl w:ilvl="0">
      <w:start w:val="1"/>
      <w:numFmt w:val="lowerLetter"/>
      <w:lvlText w:val="%1."/>
      <w:lvlJc w:val="left"/>
      <w:pPr>
        <w:tabs>
          <w:tab w:val="left" w:pos="1140"/>
        </w:tabs>
        <w:ind w:left="1140" w:hanging="705"/>
      </w:pPr>
      <w:rPr>
        <w:rFonts w:hint="default"/>
      </w:rPr>
    </w:lvl>
    <w:lvl w:ilvl="1">
      <w:start w:val="1"/>
      <w:numFmt w:val="decimal"/>
      <w:lvlText w:val="（%2）"/>
      <w:lvlJc w:val="left"/>
      <w:pPr>
        <w:tabs>
          <w:tab w:val="left" w:pos="1575"/>
        </w:tabs>
        <w:ind w:left="1575" w:hanging="720"/>
      </w:pPr>
      <w:rPr>
        <w:rFonts w:hint="eastAsia"/>
      </w:rPr>
    </w:lvl>
    <w:lvl w:ilvl="2">
      <w:start w:val="5"/>
      <w:numFmt w:val="decimal"/>
      <w:lvlText w:val="%3．"/>
      <w:lvlJc w:val="left"/>
      <w:pPr>
        <w:tabs>
          <w:tab w:val="left" w:pos="1635"/>
        </w:tabs>
        <w:ind w:left="1635" w:hanging="360"/>
      </w:pPr>
      <w:rPr>
        <w:rFonts w:hint="eastAsia"/>
      </w:rPr>
    </w:lvl>
    <w:lvl w:ilvl="3">
      <w:start w:val="1"/>
      <w:numFmt w:val="japaneseCounting"/>
      <w:lvlText w:val="第%4章"/>
      <w:lvlJc w:val="left"/>
      <w:pPr>
        <w:tabs>
          <w:tab w:val="left" w:pos="2985"/>
        </w:tabs>
        <w:ind w:left="2985" w:hanging="1290"/>
      </w:pPr>
      <w:rPr>
        <w:rFonts w:hint="eastAsia"/>
      </w:rPr>
    </w:lvl>
    <w:lvl w:ilvl="4">
      <w:start w:val="1"/>
      <w:numFmt w:val="lowerLetter"/>
      <w:lvlText w:val="%5)"/>
      <w:lvlJc w:val="left"/>
      <w:pPr>
        <w:tabs>
          <w:tab w:val="left" w:pos="2535"/>
        </w:tabs>
        <w:ind w:left="2535" w:hanging="420"/>
      </w:pPr>
    </w:lvl>
    <w:lvl w:ilvl="5">
      <w:start w:val="1"/>
      <w:numFmt w:val="lowerRoman"/>
      <w:lvlText w:val="%6."/>
      <w:lvlJc w:val="right"/>
      <w:pPr>
        <w:tabs>
          <w:tab w:val="left" w:pos="2955"/>
        </w:tabs>
        <w:ind w:left="2955" w:hanging="420"/>
      </w:pPr>
    </w:lvl>
    <w:lvl w:ilvl="6">
      <w:start w:val="1"/>
      <w:numFmt w:val="decimal"/>
      <w:lvlText w:val="%7."/>
      <w:lvlJc w:val="left"/>
      <w:pPr>
        <w:tabs>
          <w:tab w:val="left" w:pos="3375"/>
        </w:tabs>
        <w:ind w:left="3375" w:hanging="420"/>
      </w:pPr>
    </w:lvl>
    <w:lvl w:ilvl="7">
      <w:start w:val="1"/>
      <w:numFmt w:val="lowerLetter"/>
      <w:lvlText w:val="%8)"/>
      <w:lvlJc w:val="left"/>
      <w:pPr>
        <w:tabs>
          <w:tab w:val="left" w:pos="3795"/>
        </w:tabs>
        <w:ind w:left="3795" w:hanging="420"/>
      </w:pPr>
    </w:lvl>
    <w:lvl w:ilvl="8">
      <w:start w:val="1"/>
      <w:numFmt w:val="lowerRoman"/>
      <w:lvlText w:val="%9."/>
      <w:lvlJc w:val="right"/>
      <w:pPr>
        <w:tabs>
          <w:tab w:val="left" w:pos="4215"/>
        </w:tabs>
        <w:ind w:left="4215" w:hanging="420"/>
      </w:pPr>
    </w:lvl>
  </w:abstractNum>
  <w:num w:numId="1">
    <w:abstractNumId w:val="4"/>
  </w:num>
  <w:num w:numId="2">
    <w:abstractNumId w:val="9"/>
  </w:num>
  <w:num w:numId="3">
    <w:abstractNumId w:val="6"/>
  </w:num>
  <w:num w:numId="4">
    <w:abstractNumId w:val="0"/>
  </w:num>
  <w:num w:numId="5">
    <w:abstractNumId w:val="7"/>
  </w:num>
  <w:num w:numId="6">
    <w:abstractNumId w:val="2"/>
  </w:num>
  <w:num w:numId="7">
    <w:abstractNumId w:val="3"/>
  </w:num>
  <w:num w:numId="8">
    <w:abstractNumId w:val="8"/>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41E7E"/>
    <w:rsid w:val="00045B4B"/>
    <w:rsid w:val="00047847"/>
    <w:rsid w:val="00051313"/>
    <w:rsid w:val="00085666"/>
    <w:rsid w:val="000A08DA"/>
    <w:rsid w:val="000B15D8"/>
    <w:rsid w:val="000E4824"/>
    <w:rsid w:val="00126347"/>
    <w:rsid w:val="00184924"/>
    <w:rsid w:val="00184E7B"/>
    <w:rsid w:val="001909D0"/>
    <w:rsid w:val="00190B01"/>
    <w:rsid w:val="00196C45"/>
    <w:rsid w:val="001A108D"/>
    <w:rsid w:val="001D08A6"/>
    <w:rsid w:val="001E0C1A"/>
    <w:rsid w:val="00233714"/>
    <w:rsid w:val="00252B25"/>
    <w:rsid w:val="00287973"/>
    <w:rsid w:val="002F0962"/>
    <w:rsid w:val="002F5062"/>
    <w:rsid w:val="003502CD"/>
    <w:rsid w:val="003505C2"/>
    <w:rsid w:val="003A1303"/>
    <w:rsid w:val="003A6074"/>
    <w:rsid w:val="003B2C35"/>
    <w:rsid w:val="003E5287"/>
    <w:rsid w:val="004915C9"/>
    <w:rsid w:val="004E4645"/>
    <w:rsid w:val="004E4C4C"/>
    <w:rsid w:val="004E762A"/>
    <w:rsid w:val="00523EE4"/>
    <w:rsid w:val="00555A88"/>
    <w:rsid w:val="005675B5"/>
    <w:rsid w:val="00581B4B"/>
    <w:rsid w:val="00641246"/>
    <w:rsid w:val="00651C7C"/>
    <w:rsid w:val="00655CCA"/>
    <w:rsid w:val="006702B9"/>
    <w:rsid w:val="006854C9"/>
    <w:rsid w:val="006A23DC"/>
    <w:rsid w:val="006B7A0C"/>
    <w:rsid w:val="006C76FF"/>
    <w:rsid w:val="006F3763"/>
    <w:rsid w:val="00735784"/>
    <w:rsid w:val="00737D2D"/>
    <w:rsid w:val="0077029E"/>
    <w:rsid w:val="007745EF"/>
    <w:rsid w:val="007A27A6"/>
    <w:rsid w:val="007D1BB9"/>
    <w:rsid w:val="007E3E60"/>
    <w:rsid w:val="00812977"/>
    <w:rsid w:val="008A6DE2"/>
    <w:rsid w:val="008A77E4"/>
    <w:rsid w:val="008C6F96"/>
    <w:rsid w:val="008D0C63"/>
    <w:rsid w:val="008D2211"/>
    <w:rsid w:val="008F2613"/>
    <w:rsid w:val="009312E8"/>
    <w:rsid w:val="009832B0"/>
    <w:rsid w:val="00986B0D"/>
    <w:rsid w:val="009E711F"/>
    <w:rsid w:val="009F6C9B"/>
    <w:rsid w:val="00A17E7A"/>
    <w:rsid w:val="00A453DA"/>
    <w:rsid w:val="00A713B4"/>
    <w:rsid w:val="00A84522"/>
    <w:rsid w:val="00B0531E"/>
    <w:rsid w:val="00B11D39"/>
    <w:rsid w:val="00B53DF0"/>
    <w:rsid w:val="00B62565"/>
    <w:rsid w:val="00BA79CF"/>
    <w:rsid w:val="00BF2447"/>
    <w:rsid w:val="00BF3C5F"/>
    <w:rsid w:val="00C02B0C"/>
    <w:rsid w:val="00C16F91"/>
    <w:rsid w:val="00C1729B"/>
    <w:rsid w:val="00C30DBF"/>
    <w:rsid w:val="00C3480A"/>
    <w:rsid w:val="00C35466"/>
    <w:rsid w:val="00C44830"/>
    <w:rsid w:val="00C84123"/>
    <w:rsid w:val="00CA3997"/>
    <w:rsid w:val="00CA7BD9"/>
    <w:rsid w:val="00CC63CC"/>
    <w:rsid w:val="00D16826"/>
    <w:rsid w:val="00D34EA3"/>
    <w:rsid w:val="00D37CD6"/>
    <w:rsid w:val="00D747C0"/>
    <w:rsid w:val="00DB141F"/>
    <w:rsid w:val="00E05085"/>
    <w:rsid w:val="00E20844"/>
    <w:rsid w:val="00E37AAD"/>
    <w:rsid w:val="00E73211"/>
    <w:rsid w:val="00EC4CB1"/>
    <w:rsid w:val="00EE6CBB"/>
    <w:rsid w:val="00EF34AA"/>
    <w:rsid w:val="00EF55CE"/>
    <w:rsid w:val="00F12A97"/>
    <w:rsid w:val="00F12B9F"/>
    <w:rsid w:val="00FB66A2"/>
    <w:rsid w:val="00FC25C7"/>
    <w:rsid w:val="00FC674E"/>
    <w:rsid w:val="00FE5468"/>
    <w:rsid w:val="00FF684A"/>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autoRedefine/>
    <w:uiPriority w:val="9"/>
    <w:qFormat/>
    <w:pPr>
      <w:keepNext/>
      <w:keepLines/>
      <w:numPr>
        <w:ilvl w:val="0"/>
        <w:numId w:val="1"/>
      </w:numPr>
      <w:tabs>
        <w:tab w:val="left" w:pos="851"/>
      </w:tabs>
      <w:spacing w:before="200" w:after="330" w:line="578" w:lineRule="auto"/>
      <w:ind w:left="431"/>
      <w:jc w:val="center"/>
      <w:outlineLvl w:val="0"/>
    </w:pPr>
    <w:rPr>
      <w:rFonts w:ascii="新宋体" w:eastAsia="新宋体" w:hAnsi="新宋体"/>
      <w:b/>
      <w:bCs/>
      <w:kern w:val="44"/>
      <w:sz w:val="36"/>
      <w:szCs w:val="36"/>
    </w:rPr>
  </w:style>
  <w:style w:type="paragraph" w:styleId="Heading2">
    <w:name w:val="heading 2"/>
    <w:basedOn w:val="Normal"/>
    <w:next w:val="Normal0"/>
    <w:autoRedefine/>
    <w:uiPriority w:val="9"/>
    <w:qFormat/>
    <w:pPr>
      <w:keepNext/>
      <w:keepLines/>
      <w:numPr>
        <w:ilvl w:val="1"/>
        <w:numId w:val="1"/>
      </w:numPr>
      <w:spacing w:before="312" w:beforeLines="100" w:line="415" w:lineRule="auto"/>
      <w:ind w:left="725" w:hanging="578"/>
      <w:jc w:val="left"/>
      <w:outlineLvl w:val="1"/>
    </w:pPr>
    <w:rPr>
      <w:rFonts w:ascii="黑体" w:eastAsia="黑体" w:hAnsi="Arial"/>
      <w:b/>
      <w:bCs/>
      <w:sz w:val="32"/>
      <w:szCs w:val="32"/>
    </w:rPr>
  </w:style>
  <w:style w:type="paragraph" w:styleId="Heading3">
    <w:name w:val="heading 3"/>
    <w:basedOn w:val="Normal"/>
    <w:next w:val="Normal0"/>
    <w:link w:val="111Char"/>
    <w:autoRedefine/>
    <w:qFormat/>
    <w:pPr>
      <w:keepNext/>
      <w:keepLines/>
      <w:numPr>
        <w:ilvl w:val="2"/>
        <w:numId w:val="1"/>
      </w:numPr>
      <w:spacing w:line="415" w:lineRule="auto"/>
      <w:ind w:left="300" w:hanging="720"/>
      <w:jc w:val="left"/>
      <w:outlineLvl w:val="2"/>
    </w:pPr>
    <w:rPr>
      <w:rFonts w:ascii="宋体"/>
      <w:b/>
      <w:bCs/>
      <w:sz w:val="30"/>
      <w:szCs w:val="28"/>
    </w:rPr>
  </w:style>
  <w:style w:type="paragraph" w:styleId="Heading4">
    <w:name w:val="heading 4"/>
    <w:basedOn w:val="Normal"/>
    <w:next w:val="Normal0"/>
    <w:autoRedefine/>
    <w:qFormat/>
    <w:pPr>
      <w:keepNext/>
      <w:keepLines/>
      <w:numPr>
        <w:ilvl w:val="3"/>
        <w:numId w:val="1"/>
      </w:numPr>
      <w:spacing w:line="377" w:lineRule="auto"/>
      <w:ind w:left="-2" w:leftChars="-1"/>
      <w:jc w:val="left"/>
      <w:outlineLvl w:val="3"/>
    </w:pPr>
    <w:rPr>
      <w:rFonts w:ascii="Arial" w:eastAsia="黑体" w:hAnsi="Arial"/>
      <w:b/>
      <w:bCs/>
      <w:sz w:val="28"/>
      <w:szCs w:val="28"/>
    </w:rPr>
  </w:style>
  <w:style w:type="paragraph" w:styleId="Heading5">
    <w:name w:val="heading 5"/>
    <w:basedOn w:val="Normal"/>
    <w:next w:val="Normal0"/>
    <w:link w:val="CharChar"/>
    <w:autoRedefine/>
    <w:qFormat/>
    <w:pPr>
      <w:keepNext/>
      <w:keepLines/>
      <w:numPr>
        <w:ilvl w:val="4"/>
        <w:numId w:val="1"/>
      </w:numPr>
      <w:spacing w:before="280" w:after="290" w:line="376" w:lineRule="auto"/>
      <w:ind w:left="588"/>
      <w:outlineLvl w:val="4"/>
    </w:pPr>
    <w:rPr>
      <w:b/>
      <w:bCs/>
      <w:szCs w:val="28"/>
    </w:rPr>
  </w:style>
  <w:style w:type="paragraph" w:styleId="Heading6">
    <w:name w:val="heading 6"/>
    <w:basedOn w:val="Normal"/>
    <w:next w:val="Normal0"/>
    <w:qFormat/>
    <w:pPr>
      <w:keepNext/>
      <w:keepLines/>
      <w:numPr>
        <w:ilvl w:val="5"/>
        <w:numId w:val="1"/>
      </w:numPr>
      <w:spacing w:before="240" w:after="64" w:line="320" w:lineRule="auto"/>
      <w:ind w:left="732"/>
      <w:outlineLvl w:val="5"/>
    </w:pPr>
    <w:rPr>
      <w:rFonts w:ascii="Arial" w:eastAsia="黑体" w:hAnsi="Arial"/>
      <w:b/>
      <w:bCs/>
      <w:sz w:val="24"/>
    </w:rPr>
  </w:style>
  <w:style w:type="paragraph" w:styleId="Heading7">
    <w:name w:val="heading 7"/>
    <w:basedOn w:val="Normal"/>
    <w:next w:val="Normal0"/>
    <w:qFormat/>
    <w:pPr>
      <w:keepNext/>
      <w:keepLines/>
      <w:numPr>
        <w:ilvl w:val="6"/>
        <w:numId w:val="1"/>
      </w:numPr>
      <w:spacing w:before="240" w:after="64" w:line="320" w:lineRule="auto"/>
      <w:ind w:left="876"/>
      <w:outlineLvl w:val="6"/>
    </w:pPr>
    <w:rPr>
      <w:b/>
      <w:bCs/>
      <w:sz w:val="24"/>
    </w:rPr>
  </w:style>
  <w:style w:type="paragraph" w:styleId="Heading8">
    <w:name w:val="heading 8"/>
    <w:basedOn w:val="Normal"/>
    <w:next w:val="Normal0"/>
    <w:qFormat/>
    <w:pPr>
      <w:keepNext/>
      <w:keepLines/>
      <w:numPr>
        <w:ilvl w:val="7"/>
        <w:numId w:val="1"/>
      </w:numPr>
      <w:spacing w:before="240" w:after="64" w:line="320" w:lineRule="auto"/>
      <w:ind w:left="1020"/>
      <w:outlineLvl w:val="7"/>
    </w:pPr>
    <w:rPr>
      <w:rFonts w:ascii="Arial" w:eastAsia="黑体" w:hAnsi="Arial"/>
      <w:sz w:val="24"/>
    </w:rPr>
  </w:style>
  <w:style w:type="paragraph" w:styleId="Heading9">
    <w:name w:val="heading 9"/>
    <w:basedOn w:val="Normal"/>
    <w:next w:val="Normal0"/>
    <w:qFormat/>
    <w:pPr>
      <w:keepNext/>
      <w:keepLines/>
      <w:numPr>
        <w:ilvl w:val="8"/>
        <w:numId w:val="1"/>
      </w:numPr>
      <w:spacing w:before="240" w:after="64" w:line="320" w:lineRule="auto"/>
      <w:ind w:left="1164"/>
      <w:outlineLvl w:val="8"/>
    </w:pPr>
    <w:rPr>
      <w:rFonts w:ascii="Arial" w:eastAsia="黑体" w:hAnsi="Arial"/>
      <w:szCs w:val="21"/>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Normal0">
    <w:name w:val="Normal_0"/>
    <w:autoRedefine/>
    <w:qFormat/>
    <w:pPr>
      <w:widowControl w:val="0"/>
      <w:jc w:val="both"/>
    </w:pPr>
    <w:rPr>
      <w:rFonts w:ascii="Calibri" w:eastAsia="宋体" w:hAnsi="Calibri" w:cstheme="minorBidi"/>
      <w:kern w:val="2"/>
      <w:sz w:val="21"/>
      <w:szCs w:val="22"/>
      <w:lang w:val="en-US" w:eastAsia="zh-CN" w:bidi="ar-SA"/>
    </w:rPr>
  </w:style>
  <w:style w:type="paragraph" w:styleId="NormalIndent">
    <w:name w:val="Normal Indent"/>
    <w:basedOn w:val="Normal"/>
    <w:link w:val="s4Char"/>
    <w:autoRedefine/>
    <w:pPr>
      <w:spacing w:line="360" w:lineRule="auto"/>
      <w:ind w:firstLine="980" w:firstLineChars="35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autoRedefine/>
  </w:style>
  <w:style w:type="paragraph" w:customStyle="1" w:styleId="Header0">
    <w:name w:val="Header_0"/>
    <w:basedOn w:val="Normal0"/>
    <w:link w:val="CharCharChar"/>
    <w:autoRedefine/>
    <w:uiPriority w:val="99"/>
    <w:pPr>
      <w:pBdr>
        <w:bottom w:val="single" w:sz="6" w:space="1" w:color="auto"/>
      </w:pBdr>
      <w:tabs>
        <w:tab w:val="center" w:pos="4153"/>
        <w:tab w:val="right" w:pos="8306"/>
      </w:tabs>
      <w:snapToGrid w:val="0"/>
      <w:jc w:val="center"/>
    </w:pPr>
    <w:rPr>
      <w:sz w:val="18"/>
      <w:szCs w:val="18"/>
    </w:rPr>
  </w:style>
  <w:style w:type="character" w:customStyle="1" w:styleId="CharCharChar">
    <w:name w:val="页眉 Char Char Char"/>
    <w:basedOn w:val="DefaultParagraphFont"/>
    <w:link w:val="Header0"/>
    <w:autoRedefine/>
    <w:qFormat/>
    <w:rPr>
      <w:kern w:val="2"/>
      <w:sz w:val="18"/>
      <w:szCs w:val="18"/>
    </w:rPr>
  </w:style>
  <w:style w:type="paragraph" w:customStyle="1" w:styleId="Footer0">
    <w:name w:val="Footer_0"/>
    <w:basedOn w:val="Normal0"/>
    <w:link w:val="Footer1CharChar"/>
    <w:uiPriority w:val="99"/>
    <w:qFormat/>
    <w:pPr>
      <w:tabs>
        <w:tab w:val="center" w:pos="4153"/>
        <w:tab w:val="right" w:pos="8306"/>
      </w:tabs>
      <w:snapToGrid w:val="0"/>
      <w:jc w:val="left"/>
    </w:pPr>
    <w:rPr>
      <w:sz w:val="18"/>
      <w:szCs w:val="18"/>
    </w:rPr>
  </w:style>
  <w:style w:type="character" w:customStyle="1" w:styleId="Footer1CharChar">
    <w:name w:val="Footer1 Char Char"/>
    <w:basedOn w:val="DefaultParagraphFont"/>
    <w:link w:val="Footer0"/>
    <w:uiPriority w:val="99"/>
    <w:qFormat/>
    <w:rPr>
      <w:kern w:val="2"/>
      <w:sz w:val="18"/>
      <w:szCs w:val="18"/>
    </w:rPr>
  </w:style>
  <w:style w:type="character" w:customStyle="1" w:styleId="111Char">
    <w:name w:val="条标题1.1.1 Char"/>
    <w:basedOn w:val="DefaultParagraphFont"/>
    <w:link w:val="Heading3"/>
    <w:qFormat/>
    <w:rPr>
      <w:rFonts w:ascii="宋体" w:hAnsi="Calibri"/>
      <w:b/>
      <w:bCs/>
      <w:kern w:val="2"/>
      <w:sz w:val="30"/>
      <w:szCs w:val="28"/>
    </w:rPr>
  </w:style>
  <w:style w:type="character" w:customStyle="1" w:styleId="CharChar">
    <w:name w:val="前言 Char Char"/>
    <w:basedOn w:val="DefaultParagraphFont"/>
    <w:link w:val="Heading5"/>
    <w:rPr>
      <w:rFonts w:ascii="Calibri" w:hAnsi="Calibri"/>
      <w:b/>
      <w:bCs/>
      <w:kern w:val="2"/>
      <w:sz w:val="21"/>
      <w:szCs w:val="28"/>
    </w:rPr>
  </w:style>
  <w:style w:type="paragraph" w:customStyle="1" w:styleId="a">
    <w:name w:val="表格名称"/>
    <w:basedOn w:val="Normal"/>
    <w:link w:val="Char"/>
    <w:autoRedefine/>
    <w:qFormat/>
    <w:pPr>
      <w:keepNext/>
      <w:keepLines/>
      <w:widowControl/>
      <w:tabs>
        <w:tab w:val="left" w:pos="8358"/>
      </w:tabs>
      <w:ind w:firstLine="357"/>
      <w:jc w:val="left"/>
      <w:outlineLvl w:val="6"/>
    </w:pPr>
    <w:rPr>
      <w:rFonts w:ascii="宋体" w:hAnsi="宋体" w:cs="宋体"/>
      <w:b/>
      <w:bCs/>
      <w:kern w:val="0"/>
      <w:sz w:val="24"/>
      <w:szCs w:val="24"/>
    </w:rPr>
  </w:style>
  <w:style w:type="character" w:customStyle="1" w:styleId="Char">
    <w:name w:val="表格名称 Char"/>
    <w:basedOn w:val="DefaultParagraphFont"/>
    <w:link w:val="a"/>
    <w:locked/>
    <w:rPr>
      <w:rFonts w:ascii="宋体" w:hAnsi="宋体" w:cs="宋体"/>
      <w:b/>
      <w:bCs/>
      <w:sz w:val="24"/>
      <w:szCs w:val="24"/>
    </w:rPr>
  </w:style>
  <w:style w:type="paragraph" w:customStyle="1" w:styleId="5">
    <w:name w:val="表格文字居中5号"/>
    <w:basedOn w:val="a0"/>
    <w:link w:val="5Char"/>
    <w:autoRedefine/>
    <w:pPr>
      <w:widowControl w:val="0"/>
      <w:outlineLvl w:val="9"/>
    </w:pPr>
    <w:rPr>
      <w:rFonts w:cs="Times New Roman"/>
      <w:sz w:val="21"/>
      <w:szCs w:val="18"/>
    </w:rPr>
  </w:style>
  <w:style w:type="paragraph" w:customStyle="1" w:styleId="a0">
    <w:name w:val="表格文字居中"/>
    <w:basedOn w:val="Normal"/>
    <w:link w:val="Char0"/>
    <w:autoRedefine/>
    <w:qFormat/>
    <w:pPr>
      <w:widowControl/>
      <w:spacing w:line="240" w:lineRule="exact"/>
      <w:jc w:val="center"/>
      <w:outlineLvl w:val="7"/>
    </w:pPr>
    <w:rPr>
      <w:rFonts w:ascii="宋体" w:hAnsi="宋体" w:cs="宋体"/>
      <w:kern w:val="0"/>
      <w:sz w:val="20"/>
      <w:szCs w:val="20"/>
    </w:rPr>
  </w:style>
  <w:style w:type="character" w:customStyle="1" w:styleId="Char0">
    <w:name w:val="表格文字居中 Char"/>
    <w:basedOn w:val="DefaultParagraphFont"/>
    <w:link w:val="a0"/>
    <w:autoRedefine/>
    <w:qFormat/>
    <w:rPr>
      <w:rFonts w:ascii="宋体" w:hAnsi="宋体" w:cs="宋体"/>
    </w:rPr>
  </w:style>
  <w:style w:type="character" w:customStyle="1" w:styleId="5Char">
    <w:name w:val="表格文字居中5号 Char"/>
    <w:basedOn w:val="Char0"/>
    <w:link w:val="5"/>
    <w:autoRedefine/>
    <w:rPr>
      <w:sz w:val="21"/>
      <w:szCs w:val="18"/>
    </w:rPr>
  </w:style>
  <w:style w:type="character" w:customStyle="1" w:styleId="s4Char">
    <w:name w:val="s4 Char"/>
    <w:basedOn w:val="DefaultParagraphFont"/>
    <w:link w:val="NormalIndent"/>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3.wmf" /><Relationship Id="rId12" Type="http://schemas.openxmlformats.org/officeDocument/2006/relationships/oleObject" Target="embeddings/oleObject3.bin" /><Relationship Id="rId13" Type="http://schemas.openxmlformats.org/officeDocument/2006/relationships/image" Target="media/image4.wmf" /><Relationship Id="rId14" Type="http://schemas.openxmlformats.org/officeDocument/2006/relationships/oleObject" Target="embeddings/oleObject4.bin" /><Relationship Id="rId15" Type="http://schemas.openxmlformats.org/officeDocument/2006/relationships/image" Target="media/image5.wmf" /><Relationship Id="rId16" Type="http://schemas.openxmlformats.org/officeDocument/2006/relationships/oleObject" Target="embeddings/oleObject5.bin" /><Relationship Id="rId17" Type="http://schemas.openxmlformats.org/officeDocument/2006/relationships/image" Target="media/image6.wmf" /><Relationship Id="rId18" Type="http://schemas.openxmlformats.org/officeDocument/2006/relationships/oleObject" Target="embeddings/oleObject6.bin" /><Relationship Id="rId19" Type="http://schemas.openxmlformats.org/officeDocument/2006/relationships/image" Target="media/image7.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8.wmf" /><Relationship Id="rId22" Type="http://schemas.openxmlformats.org/officeDocument/2006/relationships/oleObject" Target="embeddings/oleObject8.bin" /><Relationship Id="rId23" Type="http://schemas.openxmlformats.org/officeDocument/2006/relationships/image" Target="media/image9.wmf" /><Relationship Id="rId24" Type="http://schemas.openxmlformats.org/officeDocument/2006/relationships/oleObject" Target="embeddings/oleObject9.bin" /><Relationship Id="rId25" Type="http://schemas.openxmlformats.org/officeDocument/2006/relationships/header" Target="header2.xml" /><Relationship Id="rId26" Type="http://schemas.openxmlformats.org/officeDocument/2006/relationships/footer" Target="footer2.xml" /><Relationship Id="rId27" Type="http://schemas.openxmlformats.org/officeDocument/2006/relationships/header" Target="header3.xml" /><Relationship Id="rId28" Type="http://schemas.openxmlformats.org/officeDocument/2006/relationships/footer" Target="footer3.xml" /><Relationship Id="rId29" Type="http://schemas.openxmlformats.org/officeDocument/2006/relationships/image" Target="media/image10.wmf"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1.wmf" /><Relationship Id="rId32" Type="http://schemas.openxmlformats.org/officeDocument/2006/relationships/oleObject" Target="embeddings/oleObject11.bin" /><Relationship Id="rId33" Type="http://schemas.openxmlformats.org/officeDocument/2006/relationships/image" Target="media/image12.wmf" /><Relationship Id="rId34" Type="http://schemas.openxmlformats.org/officeDocument/2006/relationships/oleObject" Target="embeddings/oleObject12.bin" /><Relationship Id="rId35" Type="http://schemas.openxmlformats.org/officeDocument/2006/relationships/image" Target="media/image13.wmf" /><Relationship Id="rId36" Type="http://schemas.openxmlformats.org/officeDocument/2006/relationships/oleObject" Target="embeddings/oleObject13.bin" /><Relationship Id="rId37" Type="http://schemas.openxmlformats.org/officeDocument/2006/relationships/image" Target="media/image14.wmf" /><Relationship Id="rId38" Type="http://schemas.openxmlformats.org/officeDocument/2006/relationships/oleObject" Target="embeddings/oleObject14.bin" /><Relationship Id="rId39" Type="http://schemas.openxmlformats.org/officeDocument/2006/relationships/image" Target="media/image15.wmf" /><Relationship Id="rId4" Type="http://schemas.openxmlformats.org/officeDocument/2006/relationships/customXml" Target="../customXml/item1.xml" /><Relationship Id="rId40" Type="http://schemas.openxmlformats.org/officeDocument/2006/relationships/oleObject" Target="embeddings/oleObject15.bin" /><Relationship Id="rId41" Type="http://schemas.openxmlformats.org/officeDocument/2006/relationships/oleObject" Target="embeddings/oleObject16.bin" /><Relationship Id="rId42" Type="http://schemas.openxmlformats.org/officeDocument/2006/relationships/header" Target="header4.xml" /><Relationship Id="rId43" Type="http://schemas.openxmlformats.org/officeDocument/2006/relationships/footer" Target="footer4.xml" /><Relationship Id="rId44" Type="http://schemas.openxmlformats.org/officeDocument/2006/relationships/image" Target="media/image16.wmf" /><Relationship Id="rId45" Type="http://schemas.openxmlformats.org/officeDocument/2006/relationships/oleObject" Target="embeddings/oleObject17.bin" /><Relationship Id="rId46" Type="http://schemas.openxmlformats.org/officeDocument/2006/relationships/image" Target="media/image17.wmf" /><Relationship Id="rId47" Type="http://schemas.openxmlformats.org/officeDocument/2006/relationships/oleObject" Target="embeddings/oleObject18.bin" /><Relationship Id="rId48" Type="http://schemas.openxmlformats.org/officeDocument/2006/relationships/header" Target="header5.xml" /><Relationship Id="rId49" Type="http://schemas.openxmlformats.org/officeDocument/2006/relationships/footer" Target="footer5.xml" /><Relationship Id="rId5" Type="http://schemas.openxmlformats.org/officeDocument/2006/relationships/header" Target="header1.xml" /><Relationship Id="rId50" Type="http://schemas.openxmlformats.org/officeDocument/2006/relationships/image" Target="media/image18.wmf" /><Relationship Id="rId51" Type="http://schemas.openxmlformats.org/officeDocument/2006/relationships/oleObject" Target="embeddings/oleObject19.bin" /><Relationship Id="rId52" Type="http://schemas.openxmlformats.org/officeDocument/2006/relationships/header" Target="header6.xml" /><Relationship Id="rId53" Type="http://schemas.openxmlformats.org/officeDocument/2006/relationships/footer" Target="footer6.xml" /><Relationship Id="rId54" Type="http://schemas.openxmlformats.org/officeDocument/2006/relationships/image" Target="media/image19.wmf" /><Relationship Id="rId55" Type="http://schemas.openxmlformats.org/officeDocument/2006/relationships/oleObject" Target="embeddings/oleObject20.bin" /><Relationship Id="rId56" Type="http://schemas.openxmlformats.org/officeDocument/2006/relationships/image" Target="media/image20.wmf" /><Relationship Id="rId57" Type="http://schemas.openxmlformats.org/officeDocument/2006/relationships/oleObject" Target="embeddings/oleObject21.bin" /><Relationship Id="rId58" Type="http://schemas.openxmlformats.org/officeDocument/2006/relationships/image" Target="media/image21.wmf" /><Relationship Id="rId59" Type="http://schemas.openxmlformats.org/officeDocument/2006/relationships/oleObject" Target="embeddings/oleObject22.bin" /><Relationship Id="rId6" Type="http://schemas.openxmlformats.org/officeDocument/2006/relationships/footer" Target="footer1.xml" /><Relationship Id="rId60" Type="http://schemas.openxmlformats.org/officeDocument/2006/relationships/header" Target="header7.xml" /><Relationship Id="rId61" Type="http://schemas.openxmlformats.org/officeDocument/2006/relationships/footer" Target="footer7.xml" /><Relationship Id="rId62" Type="http://schemas.openxmlformats.org/officeDocument/2006/relationships/header" Target="header8.xml" /><Relationship Id="rId63" Type="http://schemas.openxmlformats.org/officeDocument/2006/relationships/footer" Target="footer8.xml" /><Relationship Id="rId64" Type="http://schemas.openxmlformats.org/officeDocument/2006/relationships/header" Target="header9.xml" /><Relationship Id="rId65" Type="http://schemas.openxmlformats.org/officeDocument/2006/relationships/footer" Target="footer9.xml" /><Relationship Id="rId66" Type="http://schemas.openxmlformats.org/officeDocument/2006/relationships/image" Target="media/image22.wmf" /><Relationship Id="rId67" Type="http://schemas.openxmlformats.org/officeDocument/2006/relationships/oleObject" Target="embeddings/oleObject23.bin" /><Relationship Id="rId68" Type="http://schemas.openxmlformats.org/officeDocument/2006/relationships/header" Target="header10.xml" /><Relationship Id="rId69" Type="http://schemas.openxmlformats.org/officeDocument/2006/relationships/footer" Target="footer10.xml" /><Relationship Id="rId7" Type="http://schemas.openxmlformats.org/officeDocument/2006/relationships/image" Target="media/image1.wmf" /><Relationship Id="rId70" Type="http://schemas.openxmlformats.org/officeDocument/2006/relationships/header" Target="header11.xml" /><Relationship Id="rId71" Type="http://schemas.openxmlformats.org/officeDocument/2006/relationships/footer" Target="footer11.xml" /><Relationship Id="rId72" Type="http://schemas.openxmlformats.org/officeDocument/2006/relationships/header" Target="header12.xml" /><Relationship Id="rId73" Type="http://schemas.openxmlformats.org/officeDocument/2006/relationships/footer" Target="footer12.xml" /><Relationship Id="rId74" Type="http://schemas.openxmlformats.org/officeDocument/2006/relationships/header" Target="header13.xml" /><Relationship Id="rId75" Type="http://schemas.openxmlformats.org/officeDocument/2006/relationships/footer" Target="footer13.xml" /><Relationship Id="rId76" Type="http://schemas.openxmlformats.org/officeDocument/2006/relationships/header" Target="header14.xml" /><Relationship Id="rId77" Type="http://schemas.openxmlformats.org/officeDocument/2006/relationships/footer" Target="footer14.xml" /><Relationship Id="rId78" Type="http://schemas.openxmlformats.org/officeDocument/2006/relationships/header" Target="header15.xml" /><Relationship Id="rId79" Type="http://schemas.openxmlformats.org/officeDocument/2006/relationships/footer" Target="footer15.xml" /><Relationship Id="rId8" Type="http://schemas.openxmlformats.org/officeDocument/2006/relationships/oleObject" Target="embeddings/oleObject1.bin" /><Relationship Id="rId80" Type="http://schemas.openxmlformats.org/officeDocument/2006/relationships/header" Target="header16.xml" /><Relationship Id="rId81" Type="http://schemas.openxmlformats.org/officeDocument/2006/relationships/footer" Target="footer16.xml" /><Relationship Id="rId82" Type="http://schemas.openxmlformats.org/officeDocument/2006/relationships/header" Target="header17.xml" /><Relationship Id="rId83" Type="http://schemas.openxmlformats.org/officeDocument/2006/relationships/footer" Target="footer17.xml" /><Relationship Id="rId84" Type="http://schemas.openxmlformats.org/officeDocument/2006/relationships/header" Target="header18.xml" /><Relationship Id="rId85" Type="http://schemas.openxmlformats.org/officeDocument/2006/relationships/footer" Target="footer18.xml" /><Relationship Id="rId86" Type="http://schemas.openxmlformats.org/officeDocument/2006/relationships/header" Target="header19.xml" /><Relationship Id="rId87" Type="http://schemas.openxmlformats.org/officeDocument/2006/relationships/footer" Target="footer19.xml" /><Relationship Id="rId88" Type="http://schemas.openxmlformats.org/officeDocument/2006/relationships/header" Target="header20.xml" /><Relationship Id="rId89" Type="http://schemas.openxmlformats.org/officeDocument/2006/relationships/footer" Target="footer20.xml" /><Relationship Id="rId9" Type="http://schemas.openxmlformats.org/officeDocument/2006/relationships/image" Target="media/image2.wmf" /><Relationship Id="rId90" Type="http://schemas.openxmlformats.org/officeDocument/2006/relationships/header" Target="header21.xml" /><Relationship Id="rId91" Type="http://schemas.openxmlformats.org/officeDocument/2006/relationships/footer" Target="footer21.xml" /><Relationship Id="rId92" Type="http://schemas.openxmlformats.org/officeDocument/2006/relationships/header" Target="header22.xml" /><Relationship Id="rId93" Type="http://schemas.openxmlformats.org/officeDocument/2006/relationships/footer" Target="footer22.xml" /><Relationship Id="rId94" Type="http://schemas.openxmlformats.org/officeDocument/2006/relationships/hyperlink" Target="https://d.book118.com/757023042103006045" TargetMode="External" /><Relationship Id="rId95" Type="http://schemas.openxmlformats.org/officeDocument/2006/relationships/header" Target="header23.xml" /><Relationship Id="rId96" Type="http://schemas.openxmlformats.org/officeDocument/2006/relationships/footer" Target="footer23.xml" /><Relationship Id="rId97" Type="http://schemas.openxmlformats.org/officeDocument/2006/relationships/theme" Target="theme/theme1.xml" /><Relationship Id="rId98" Type="http://schemas.openxmlformats.org/officeDocument/2006/relationships/numbering" Target="numbering.xml" /><Relationship Id="rId9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customShpInfo spid="_x0000_s2050"/>
    <customShpInfo spid="_x0000_s1049"/>
    <customShpInfo spid="_x0000_s1051"/>
    <customShpInfo spid="_x0000_s1054"/>
    <customShpInfo spid="_x0000_s1055"/>
    <customShpInfo spid="_x0000_s1056"/>
    <customShpInfo spid="_x0000_s1053"/>
    <customShpInfo spid="_x0000_s1057"/>
    <customShpInfo spid="_x0000_s1058"/>
    <customShpInfo spid="_x0000_s1059"/>
    <customShpInfo spid="_x0000_s1060"/>
    <customShpInfo spid="_x0000_s1062"/>
    <customShpInfo spid="_x0000_s1063"/>
    <customShpInfo spid="_x0000_s1061"/>
    <customShpInfo spid="_x0000_s1065"/>
    <customShpInfo spid="_x0000_s1066"/>
    <customShpInfo spid="_x0000_s1067"/>
    <customShpInfo spid="_x0000_s1064"/>
    <customShpInfo spid="_x0000_s1069"/>
    <customShpInfo spid="_x0000_s1070"/>
    <customShpInfo spid="_x0000_s1068"/>
    <customShpInfo spid="_x0000_s1072"/>
    <customShpInfo spid="_x0000_s1073"/>
    <customShpInfo spid="_x0000_s1071"/>
    <customShpInfo spid="_x0000_s1075"/>
    <customShpInfo spid="_x0000_s1076"/>
    <customShpInfo spid="_x0000_s1074"/>
    <customShpInfo spid="_x0000_s1078"/>
    <customShpInfo spid="_x0000_s1079"/>
    <customShpInfo spid="_x0000_s1077"/>
    <customShpInfo spid="_x0000_s1081"/>
    <customShpInfo spid="_x0000_s1082"/>
    <customShpInfo spid="_x0000_s1080"/>
    <customShpInfo spid="_x0000_s1084"/>
    <customShpInfo spid="_x0000_s1085"/>
    <customShpInfo spid="_x0000_s1083"/>
    <customShpInfo spid="_x0000_s1087"/>
    <customShpInfo spid="_x0000_s1088"/>
    <customShpInfo spid="_x0000_s1086"/>
    <customShpInfo spid="_x0000_s1090"/>
    <customShpInfo spid="_x0000_s1091"/>
    <customShpInfo spid="_x0000_s1089"/>
    <customShpInfo spid="_x0000_s1093"/>
    <customShpInfo spid="_x0000_s1094"/>
    <customShpInfo spid="_x0000_s1092"/>
    <customShpInfo spid="_x0000_s1096"/>
    <customShpInfo spid="_x0000_s1097"/>
    <customShpInfo spid="_x0000_s1095"/>
    <customShpInfo spid="_x0000_s1099"/>
    <customShpInfo spid="_x0000_s1100"/>
    <customShpInfo spid="_x0000_s1098"/>
    <customShpInfo spid="_x0000_s1102"/>
    <customShpInfo spid="_x0000_s1103"/>
    <customShpInfo spid="_x0000_s1101"/>
    <customShpInfo spid="_x0000_s1105"/>
    <customShpInfo spid="_x0000_s1106"/>
    <customShpInfo spid="_x0000_s1104"/>
    <customShpInfo spid="_x0000_s1107"/>
    <customShpInfo spid="_x0000_s1108"/>
    <customShpInfo spid="_x0000_s1109"/>
    <customShpInfo spid="_x0000_s1110"/>
    <customShpInfo spid="_x0000_s1111"/>
    <customShpInfo spid="_x0000_s1052"/>
    <customShpInfo spid="_x0000_s1050"/>
    <customShpInfo spid="_x0000_s1026"/>
    <customShpInfo spid="_x0000_s111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30</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DD6F8E6FDC664556972E25B372E7BE48_12</vt:lpwstr>
  </property>
  <property fmtid="{D5CDD505-2E9C-101B-9397-08002B2CF9AE}" pid="3" name="KSOProductBuildVer">
    <vt:lpwstr>2052-12.1.0.16388</vt:lpwstr>
  </property>
</Properties>
</file>