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AA0ADC" w14:paraId="54112502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>第一章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项目基本信息</w:t>
      </w:r>
      <w:r>
        <w:br/>
      </w:r>
    </w:p>
    <w:p w:rsidR="00AA0ADC" w14:paraId="30C5B0D1" w14:textId="77777777">
      <w:r>
        <w:rPr>
          <w:rFonts w:ascii="仿宋" w:eastAsia="仿宋" w:hAnsi="仿宋" w:cs="仿宋"/>
          <w:b/>
          <w:bCs/>
          <w:sz w:val="32"/>
          <w:szCs w:val="32"/>
        </w:rPr>
        <w:t>一、项目概况</w:t>
      </w:r>
    </w:p>
    <w:p w:rsidR="00AA0ADC" w14:paraId="2B1D1BC4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（一）项目名称</w:t>
      </w:r>
    </w:p>
    <w:p w:rsidR="00AA0ADC" w14:paraId="16BEFFE1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沙拉酱项目</w:t>
      </w:r>
    </w:p>
    <w:p w:rsidR="00AA0ADC" w14:paraId="386B0DC4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（二）项目选址</w:t>
      </w:r>
    </w:p>
    <w:p w:rsidR="00AA0ADC" w14:paraId="7DFBE66D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经济园区</w:t>
      </w:r>
    </w:p>
    <w:p w:rsidR="00AA0ADC" w14:paraId="43C3D5B7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项目建设区域以城市总体规划为依据，布局相对独立，便于集中开展科研、生产经营和管理活动，并且统筹考虑用地与城市发展的关系，与项目建设地的建成区有较方便的联系。</w:t>
      </w:r>
    </w:p>
    <w:p w:rsidR="00AA0ADC" w14:paraId="4AEA9988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（三）项目用地规模</w:t>
      </w:r>
    </w:p>
    <w:p w:rsidR="00AA0ADC" w14:paraId="2510DE42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项目总用地面积</w:t>
      </w:r>
      <w:r>
        <w:rPr>
          <w:rFonts w:ascii="仿宋" w:eastAsia="仿宋" w:hAnsi="仿宋" w:cs="仿宋"/>
          <w:sz w:val="30"/>
          <w:szCs w:val="30"/>
        </w:rPr>
        <w:t>10605.30</w:t>
      </w:r>
      <w:r>
        <w:rPr>
          <w:rFonts w:ascii="仿宋" w:eastAsia="仿宋" w:hAnsi="仿宋" w:cs="仿宋"/>
          <w:sz w:val="30"/>
          <w:szCs w:val="30"/>
        </w:rPr>
        <w:t>平方米（折合约</w:t>
      </w:r>
      <w:r>
        <w:rPr>
          <w:rFonts w:ascii="仿宋" w:eastAsia="仿宋" w:hAnsi="仿宋" w:cs="仿宋"/>
          <w:sz w:val="30"/>
          <w:szCs w:val="30"/>
        </w:rPr>
        <w:t>15.90</w:t>
      </w:r>
      <w:r>
        <w:rPr>
          <w:rFonts w:ascii="仿宋" w:eastAsia="仿宋" w:hAnsi="仿宋" w:cs="仿宋"/>
          <w:sz w:val="30"/>
          <w:szCs w:val="30"/>
        </w:rPr>
        <w:t>亩）。</w:t>
      </w:r>
    </w:p>
    <w:p w:rsidR="00AA0ADC" w14:paraId="132B5A61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（四）项目用地控制指标</w:t>
      </w:r>
    </w:p>
    <w:p w:rsidR="00AA0ADC" w14:paraId="0136EAE6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该工程规划建筑系数</w:t>
      </w:r>
      <w:r>
        <w:rPr>
          <w:rFonts w:ascii="仿宋" w:eastAsia="仿宋" w:hAnsi="仿宋" w:cs="仿宋"/>
          <w:sz w:val="30"/>
          <w:szCs w:val="30"/>
        </w:rPr>
        <w:t>66.18%</w:t>
      </w:r>
      <w:r>
        <w:rPr>
          <w:rFonts w:ascii="仿宋" w:eastAsia="仿宋" w:hAnsi="仿宋" w:cs="仿宋"/>
          <w:sz w:val="30"/>
          <w:szCs w:val="30"/>
        </w:rPr>
        <w:t>，建筑容积率</w:t>
      </w:r>
      <w:r>
        <w:rPr>
          <w:rFonts w:ascii="仿宋" w:eastAsia="仿宋" w:hAnsi="仿宋" w:cs="仿宋"/>
          <w:sz w:val="30"/>
          <w:szCs w:val="30"/>
        </w:rPr>
        <w:t>1.65</w:t>
      </w:r>
      <w:r>
        <w:rPr>
          <w:rFonts w:ascii="仿宋" w:eastAsia="仿宋" w:hAnsi="仿宋" w:cs="仿宋"/>
          <w:sz w:val="30"/>
          <w:szCs w:val="30"/>
        </w:rPr>
        <w:t>，建设区域绿化覆盖率</w:t>
      </w:r>
      <w:r>
        <w:rPr>
          <w:rFonts w:ascii="仿宋" w:eastAsia="仿宋" w:hAnsi="仿宋" w:cs="仿宋"/>
          <w:sz w:val="30"/>
          <w:szCs w:val="30"/>
        </w:rPr>
        <w:t>7.44%</w:t>
      </w:r>
      <w:r>
        <w:rPr>
          <w:rFonts w:ascii="仿宋" w:eastAsia="仿宋" w:hAnsi="仿宋" w:cs="仿宋"/>
          <w:sz w:val="30"/>
          <w:szCs w:val="30"/>
        </w:rPr>
        <w:t>，固定资产投资强度</w:t>
      </w:r>
      <w:r>
        <w:rPr>
          <w:rFonts w:ascii="仿宋" w:eastAsia="仿宋" w:hAnsi="仿宋" w:cs="仿宋"/>
          <w:sz w:val="30"/>
          <w:szCs w:val="30"/>
        </w:rPr>
        <w:t>168.11</w:t>
      </w:r>
      <w:r>
        <w:rPr>
          <w:rFonts w:ascii="仿宋" w:eastAsia="仿宋" w:hAnsi="仿宋" w:cs="仿宋"/>
          <w:sz w:val="30"/>
          <w:szCs w:val="30"/>
        </w:rPr>
        <w:t>万元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亩。</w:t>
      </w:r>
    </w:p>
    <w:p w:rsidR="00AA0ADC" w14:paraId="32DE1AC0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（五）土建工程指标</w:t>
      </w:r>
    </w:p>
    <w:p w:rsidR="00AA0ADC" w14:paraId="0DB4FD23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项目净用地面积</w:t>
      </w:r>
      <w:r>
        <w:rPr>
          <w:rFonts w:ascii="仿宋" w:eastAsia="仿宋" w:hAnsi="仿宋" w:cs="仿宋"/>
          <w:sz w:val="30"/>
          <w:szCs w:val="30"/>
        </w:rPr>
        <w:t>10605.30</w:t>
      </w:r>
      <w:r>
        <w:rPr>
          <w:rFonts w:ascii="仿宋" w:eastAsia="仿宋" w:hAnsi="仿宋" w:cs="仿宋"/>
          <w:sz w:val="30"/>
          <w:szCs w:val="30"/>
        </w:rPr>
        <w:t>平方米，建筑物基底占地面积</w:t>
      </w:r>
      <w:r>
        <w:rPr>
          <w:rFonts w:ascii="仿宋" w:eastAsia="仿宋" w:hAnsi="仿宋" w:cs="仿宋"/>
          <w:sz w:val="30"/>
          <w:szCs w:val="30"/>
        </w:rPr>
        <w:t>7018.59</w:t>
      </w:r>
      <w:r>
        <w:rPr>
          <w:rFonts w:ascii="仿宋" w:eastAsia="仿宋" w:hAnsi="仿宋" w:cs="仿宋"/>
          <w:sz w:val="30"/>
          <w:szCs w:val="30"/>
        </w:rPr>
        <w:t>平方米，总建筑面积</w:t>
      </w:r>
      <w:r>
        <w:rPr>
          <w:rFonts w:ascii="仿宋" w:eastAsia="仿宋" w:hAnsi="仿宋" w:cs="仿宋"/>
          <w:sz w:val="30"/>
          <w:szCs w:val="30"/>
        </w:rPr>
        <w:t>17498.74</w:t>
      </w:r>
      <w:r>
        <w:rPr>
          <w:rFonts w:ascii="仿宋" w:eastAsia="仿宋" w:hAnsi="仿宋" w:cs="仿宋"/>
          <w:sz w:val="30"/>
          <w:szCs w:val="30"/>
        </w:rPr>
        <w:t>平方米，其中：规划建设主体工程</w:t>
      </w:r>
      <w:r>
        <w:rPr>
          <w:rFonts w:ascii="仿宋" w:eastAsia="仿宋" w:hAnsi="仿宋" w:cs="仿宋"/>
          <w:sz w:val="30"/>
          <w:szCs w:val="30"/>
        </w:rPr>
        <w:t>13733.50</w:t>
      </w:r>
      <w:r>
        <w:rPr>
          <w:rFonts w:ascii="仿宋" w:eastAsia="仿宋" w:hAnsi="仿宋" w:cs="仿宋"/>
          <w:sz w:val="30"/>
          <w:szCs w:val="30"/>
        </w:rPr>
        <w:t>平方米，项目规划绿化面积</w:t>
      </w:r>
      <w:r>
        <w:rPr>
          <w:rFonts w:ascii="仿宋" w:eastAsia="仿宋" w:hAnsi="仿宋" w:cs="仿宋"/>
          <w:sz w:val="30"/>
          <w:szCs w:val="30"/>
        </w:rPr>
        <w:t>1302.55</w:t>
      </w:r>
      <w:r>
        <w:rPr>
          <w:rFonts w:ascii="仿宋" w:eastAsia="仿宋" w:hAnsi="仿宋" w:cs="仿宋"/>
          <w:sz w:val="30"/>
          <w:szCs w:val="30"/>
        </w:rPr>
        <w:t>平方米。</w:t>
      </w:r>
    </w:p>
    <w:p w:rsidR="00AA0ADC" w14:paraId="735FEE55" w14:textId="5F4B8028">
      <w:pPr>
        <w:ind w:firstLine="600"/>
        <w:sectPr w:rsidSect="00A02F19">
          <w:headerReference w:type="default" r:id="rId4"/>
          <w:pgSz w:w="12240" w:h="15840"/>
          <w:pgMar w:top="1800" w:right="1200" w:bottom="1200" w:left="1200" w:header="720" w:footer="720" w:gutter="0"/>
          <w:cols w:space="720"/>
          <w:docGrid w:linePitch="360"/>
        </w:sectPr>
      </w:pPr>
      <w:r>
        <w:rPr>
          <w:rFonts w:ascii="仿宋" w:eastAsia="仿宋" w:hAnsi="仿宋" w:cs="仿宋"/>
          <w:b/>
          <w:bCs/>
          <w:noProof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ageShape1" o:spid="_x0000_s1025" type="#_x0000_t202" style="width:500pt;height:5pt;margin-top:787pt;margin-left:0;mso-wrap-style:square;position:absolute;visibility:hidden;z-index:251658240">
            <v:textbox>
              <w:txbxContent>
                <w:p w:rsidR="00AA0ADC" w:rsidRPr="00AA0ADC" w14:paraId="2983A5F9" w14:textId="3A83105B">
                  <w:pPr>
                    <w:rPr>
                      <w:rFonts w:ascii="黑体" w:eastAsia="黑体"/>
                      <w:sz w:val="24"/>
                    </w:rPr>
                  </w:pPr>
                  <w:r w:rsidRPr="00AA0ADC">
                    <w:rPr>
                      <w:rFonts w:ascii="黑体" w:eastAsia="黑体" w:hint="eastAsia"/>
                      <w:sz w:val="24"/>
                    </w:rPr>
                    <w:t>沙拉酱项目可行性分析报告 全文共1页，当前为第1页。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30"/>
          <w:szCs w:val="30"/>
        </w:rPr>
        <w:t>（六）设备选型方案</w:t>
      </w:r>
    </w:p>
    <w:p w:rsidR="00AA0ADC" w14:paraId="4247276E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项目计划购置设备共计</w:t>
      </w:r>
      <w:r>
        <w:rPr>
          <w:rFonts w:ascii="仿宋" w:eastAsia="仿宋" w:hAnsi="仿宋" w:cs="仿宋"/>
          <w:sz w:val="30"/>
          <w:szCs w:val="30"/>
        </w:rPr>
        <w:t>70</w:t>
      </w:r>
      <w:r>
        <w:rPr>
          <w:rFonts w:ascii="仿宋" w:eastAsia="仿宋" w:hAnsi="仿宋" w:cs="仿宋"/>
          <w:sz w:val="30"/>
          <w:szCs w:val="30"/>
        </w:rPr>
        <w:t>台（套），设备购置费</w:t>
      </w:r>
      <w:r>
        <w:rPr>
          <w:rFonts w:ascii="仿宋" w:eastAsia="仿宋" w:hAnsi="仿宋" w:cs="仿宋"/>
          <w:sz w:val="30"/>
          <w:szCs w:val="30"/>
        </w:rPr>
        <w:t>942.62</w:t>
      </w:r>
      <w:r>
        <w:rPr>
          <w:rFonts w:ascii="仿宋" w:eastAsia="仿宋" w:hAnsi="仿宋" w:cs="仿宋"/>
          <w:sz w:val="30"/>
          <w:szCs w:val="30"/>
        </w:rPr>
        <w:t>万元。</w:t>
      </w:r>
    </w:p>
    <w:p w:rsidR="00AA0ADC" w14:paraId="3EC08273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（七）节能分析</w:t>
      </w:r>
    </w:p>
    <w:p w:rsidR="00AA0ADC" w14:paraId="7A59474C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、项目年用电量</w:t>
      </w:r>
      <w:r>
        <w:rPr>
          <w:rFonts w:ascii="仿宋" w:eastAsia="仿宋" w:hAnsi="仿宋" w:cs="仿宋"/>
          <w:sz w:val="30"/>
          <w:szCs w:val="30"/>
        </w:rPr>
        <w:t>1226999.28</w:t>
      </w:r>
      <w:r>
        <w:rPr>
          <w:rFonts w:ascii="仿宋" w:eastAsia="仿宋" w:hAnsi="仿宋" w:cs="仿宋"/>
          <w:sz w:val="30"/>
          <w:szCs w:val="30"/>
        </w:rPr>
        <w:t>千瓦时，折合</w:t>
      </w:r>
      <w:r>
        <w:rPr>
          <w:rFonts w:ascii="仿宋" w:eastAsia="仿宋" w:hAnsi="仿宋" w:cs="仿宋"/>
          <w:sz w:val="30"/>
          <w:szCs w:val="30"/>
        </w:rPr>
        <w:t>150.80</w:t>
      </w:r>
      <w:r>
        <w:rPr>
          <w:rFonts w:ascii="仿宋" w:eastAsia="仿宋" w:hAnsi="仿宋" w:cs="仿宋"/>
          <w:sz w:val="30"/>
          <w:szCs w:val="30"/>
        </w:rPr>
        <w:t>吨标准煤。</w:t>
      </w:r>
    </w:p>
    <w:p w:rsidR="00AA0ADC" w14:paraId="4E11206D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/>
          <w:sz w:val="30"/>
          <w:szCs w:val="30"/>
        </w:rPr>
        <w:t>、项目年总用水量</w:t>
      </w:r>
      <w:r>
        <w:rPr>
          <w:rFonts w:ascii="仿宋" w:eastAsia="仿宋" w:hAnsi="仿宋" w:cs="仿宋"/>
          <w:sz w:val="30"/>
          <w:szCs w:val="30"/>
        </w:rPr>
        <w:t>4764.13</w:t>
      </w:r>
      <w:r>
        <w:rPr>
          <w:rFonts w:ascii="仿宋" w:eastAsia="仿宋" w:hAnsi="仿宋" w:cs="仿宋"/>
          <w:sz w:val="30"/>
          <w:szCs w:val="30"/>
        </w:rPr>
        <w:t>立方米，折合</w:t>
      </w:r>
      <w:r>
        <w:rPr>
          <w:rFonts w:ascii="仿宋" w:eastAsia="仿宋" w:hAnsi="仿宋" w:cs="仿宋"/>
          <w:sz w:val="30"/>
          <w:szCs w:val="30"/>
        </w:rPr>
        <w:t>0.41</w:t>
      </w:r>
      <w:r>
        <w:rPr>
          <w:rFonts w:ascii="仿宋" w:eastAsia="仿宋" w:hAnsi="仿宋" w:cs="仿宋"/>
          <w:sz w:val="30"/>
          <w:szCs w:val="30"/>
        </w:rPr>
        <w:t>吨标准煤。</w:t>
      </w:r>
    </w:p>
    <w:p w:rsidR="00AA0ADC" w14:paraId="0215CC25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/>
          <w:sz w:val="30"/>
          <w:szCs w:val="30"/>
        </w:rPr>
        <w:t>、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沙拉酱项目投资建设项目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，年用电量</w:t>
      </w:r>
      <w:r>
        <w:rPr>
          <w:rFonts w:ascii="仿宋" w:eastAsia="仿宋" w:hAnsi="仿宋" w:cs="仿宋"/>
          <w:sz w:val="30"/>
          <w:szCs w:val="30"/>
        </w:rPr>
        <w:t>1226999.28</w:t>
      </w:r>
      <w:r>
        <w:rPr>
          <w:rFonts w:ascii="仿宋" w:eastAsia="仿宋" w:hAnsi="仿宋" w:cs="仿宋"/>
          <w:sz w:val="30"/>
          <w:szCs w:val="30"/>
        </w:rPr>
        <w:t>千瓦时，年总用水量</w:t>
      </w:r>
      <w:r>
        <w:rPr>
          <w:rFonts w:ascii="仿宋" w:eastAsia="仿宋" w:hAnsi="仿宋" w:cs="仿宋"/>
          <w:sz w:val="30"/>
          <w:szCs w:val="30"/>
        </w:rPr>
        <w:t>4764.13</w:t>
      </w:r>
      <w:r>
        <w:rPr>
          <w:rFonts w:ascii="仿宋" w:eastAsia="仿宋" w:hAnsi="仿宋" w:cs="仿宋"/>
          <w:sz w:val="30"/>
          <w:szCs w:val="30"/>
        </w:rPr>
        <w:t>立方米，项目年综合总耗能量（当量值）</w:t>
      </w:r>
      <w:r>
        <w:rPr>
          <w:rFonts w:ascii="仿宋" w:eastAsia="仿宋" w:hAnsi="仿宋" w:cs="仿宋"/>
          <w:sz w:val="30"/>
          <w:szCs w:val="30"/>
        </w:rPr>
        <w:t>151.21</w:t>
      </w:r>
      <w:r>
        <w:rPr>
          <w:rFonts w:ascii="仿宋" w:eastAsia="仿宋" w:hAnsi="仿宋" w:cs="仿宋"/>
          <w:sz w:val="30"/>
          <w:szCs w:val="30"/>
        </w:rPr>
        <w:t>吨标准煤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年。达产年综合节能量</w:t>
      </w:r>
      <w:r>
        <w:rPr>
          <w:rFonts w:ascii="仿宋" w:eastAsia="仿宋" w:hAnsi="仿宋" w:cs="仿宋"/>
          <w:sz w:val="30"/>
          <w:szCs w:val="30"/>
        </w:rPr>
        <w:t>61.76</w:t>
      </w:r>
      <w:r>
        <w:rPr>
          <w:rFonts w:ascii="仿宋" w:eastAsia="仿宋" w:hAnsi="仿宋" w:cs="仿宋"/>
          <w:sz w:val="30"/>
          <w:szCs w:val="30"/>
        </w:rPr>
        <w:t>吨标准煤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年，项目总节能率</w:t>
      </w:r>
      <w:r>
        <w:rPr>
          <w:rFonts w:ascii="仿宋" w:eastAsia="仿宋" w:hAnsi="仿宋" w:cs="仿宋"/>
          <w:sz w:val="30"/>
          <w:szCs w:val="30"/>
        </w:rPr>
        <w:t>21.36%</w:t>
      </w:r>
      <w:r>
        <w:rPr>
          <w:rFonts w:ascii="仿宋" w:eastAsia="仿宋" w:hAnsi="仿宋" w:cs="仿宋"/>
          <w:sz w:val="30"/>
          <w:szCs w:val="30"/>
        </w:rPr>
        <w:t>，能源利用效果良好。</w:t>
      </w:r>
    </w:p>
    <w:p w:rsidR="00AA0ADC" w14:paraId="1945530D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（八）环境保护</w:t>
      </w:r>
    </w:p>
    <w:p w:rsidR="00AA0ADC" w14:paraId="138FE8A1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经济园区发展规划，符合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经济园区产业结构调整规划和国家的产业发展政策；对产生的各类污染物都采取了切实可行的治理措施，严格控制在国家规定的排放标准内，项目建设不会对区域生态环境产生明显的影响。</w:t>
      </w:r>
    </w:p>
    <w:p w:rsidR="00AA0ADC" w14:paraId="12DC16DF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（九）项目总投资及资金构成</w:t>
      </w:r>
    </w:p>
    <w:p w:rsidR="00AA0ADC" w14:paraId="20662D33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项目预计总投资</w:t>
      </w:r>
      <w:r>
        <w:rPr>
          <w:rFonts w:ascii="仿宋" w:eastAsia="仿宋" w:hAnsi="仿宋" w:cs="仿宋"/>
          <w:sz w:val="30"/>
          <w:szCs w:val="30"/>
        </w:rPr>
        <w:t>3808.82</w:t>
      </w:r>
      <w:r>
        <w:rPr>
          <w:rFonts w:ascii="仿宋" w:eastAsia="仿宋" w:hAnsi="仿宋" w:cs="仿宋"/>
          <w:sz w:val="30"/>
          <w:szCs w:val="30"/>
        </w:rPr>
        <w:t>万元，其中：固定资产投资</w:t>
      </w:r>
      <w:r>
        <w:rPr>
          <w:rFonts w:ascii="仿宋" w:eastAsia="仿宋" w:hAnsi="仿宋" w:cs="仿宋"/>
          <w:sz w:val="30"/>
          <w:szCs w:val="30"/>
        </w:rPr>
        <w:t>2672.95</w:t>
      </w:r>
      <w:r>
        <w:rPr>
          <w:rFonts w:ascii="仿宋" w:eastAsia="仿宋" w:hAnsi="仿宋" w:cs="仿宋"/>
          <w:sz w:val="30"/>
          <w:szCs w:val="30"/>
        </w:rPr>
        <w:t>万元，占项目总投资的</w:t>
      </w:r>
      <w:r>
        <w:rPr>
          <w:rFonts w:ascii="仿宋" w:eastAsia="仿宋" w:hAnsi="仿宋" w:cs="仿宋"/>
          <w:sz w:val="30"/>
          <w:szCs w:val="30"/>
        </w:rPr>
        <w:t>70.18%</w:t>
      </w:r>
      <w:r>
        <w:rPr>
          <w:rFonts w:ascii="仿宋" w:eastAsia="仿宋" w:hAnsi="仿宋" w:cs="仿宋"/>
          <w:sz w:val="30"/>
          <w:szCs w:val="30"/>
        </w:rPr>
        <w:t>；流动资金</w:t>
      </w:r>
      <w:r>
        <w:rPr>
          <w:rFonts w:ascii="仿宋" w:eastAsia="仿宋" w:hAnsi="仿宋" w:cs="仿宋"/>
          <w:sz w:val="30"/>
          <w:szCs w:val="30"/>
        </w:rPr>
        <w:t>1135.87</w:t>
      </w:r>
      <w:r>
        <w:rPr>
          <w:rFonts w:ascii="仿宋" w:eastAsia="仿宋" w:hAnsi="仿宋" w:cs="仿宋"/>
          <w:sz w:val="30"/>
          <w:szCs w:val="30"/>
        </w:rPr>
        <w:t>万元，占项目总投资的</w:t>
      </w:r>
      <w:r>
        <w:rPr>
          <w:rFonts w:ascii="仿宋" w:eastAsia="仿宋" w:hAnsi="仿宋" w:cs="仿宋"/>
          <w:sz w:val="30"/>
          <w:szCs w:val="30"/>
        </w:rPr>
        <w:t>29.82%</w:t>
      </w:r>
      <w:r>
        <w:rPr>
          <w:rFonts w:ascii="仿宋" w:eastAsia="仿宋" w:hAnsi="仿宋" w:cs="仿宋"/>
          <w:sz w:val="30"/>
          <w:szCs w:val="30"/>
        </w:rPr>
        <w:t>。</w:t>
      </w:r>
    </w:p>
    <w:p w:rsidR="00AA0ADC" w14:paraId="0AE0BC3F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（十）资金筹措</w:t>
      </w:r>
    </w:p>
    <w:p w:rsidR="00AA0ADC" w14:paraId="6AA271A2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该项目现阶段投资均由企业自筹。</w:t>
      </w:r>
    </w:p>
    <w:p w:rsidR="00AA0ADC" w14:paraId="74EE4F41" w14:textId="51175729">
      <w:pPr>
        <w:ind w:firstLine="600"/>
        <w:sectPr w:rsidSect="00A02F19">
          <w:headerReference w:type="default" r:id="rId5"/>
          <w:type w:val="nextPage"/>
          <w:pgSz w:w="12240" w:h="15840"/>
          <w:pgMar w:top="1800" w:right="1200" w:bottom="1200" w:left="12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仿宋" w:eastAsia="仿宋" w:hAnsi="仿宋" w:cs="仿宋"/>
          <w:b/>
          <w:bCs/>
          <w:noProof/>
          <w:sz w:val="30"/>
          <w:szCs w:val="30"/>
        </w:rPr>
        <w:pict>
          <v:shape id="PageShape2" o:spid="_x0000_s1026" type="#_x0000_t202" style="width:500pt;height:5pt;margin-top:787pt;margin-left:0;mso-wrap-style:square;position:absolute;visibility:hidden;z-index:251659264">
            <v:textbox>
              <w:txbxContent>
                <w:p w:rsidR="00AA0ADC" w:rsidRPr="00AA0ADC" w14:paraId="0D1E57E0" w14:textId="601DE206">
                  <w:pPr>
                    <w:rPr>
                      <w:rFonts w:ascii="黑体" w:eastAsia="黑体"/>
                      <w:sz w:val="24"/>
                    </w:rPr>
                  </w:pPr>
                  <w:r w:rsidRPr="00AA0ADC">
                    <w:rPr>
                      <w:rFonts w:ascii="黑体" w:eastAsia="黑体" w:hint="eastAsia"/>
                      <w:sz w:val="24"/>
                    </w:rPr>
                    <w:t>沙拉酱项目可行性分析报告 全文共2页，当前为第2页。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30"/>
          <w:szCs w:val="30"/>
        </w:rPr>
        <w:t>（十一）项目预期经济效益规划目标</w:t>
      </w:r>
    </w:p>
    <w:p w:rsidR="00AA0ADC" w14:paraId="7563770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预期达产年营业收入</w:t>
      </w:r>
      <w:r>
        <w:rPr>
          <w:rFonts w:ascii="仿宋" w:eastAsia="仿宋" w:hAnsi="仿宋" w:cs="仿宋"/>
          <w:sz w:val="30"/>
          <w:szCs w:val="30"/>
        </w:rPr>
        <w:t>8595.00</w:t>
      </w:r>
      <w:r>
        <w:rPr>
          <w:rFonts w:ascii="仿宋" w:eastAsia="仿宋" w:hAnsi="仿宋" w:cs="仿宋"/>
          <w:sz w:val="30"/>
          <w:szCs w:val="30"/>
        </w:rPr>
        <w:t>万元，总成本费用</w:t>
      </w:r>
      <w:r>
        <w:rPr>
          <w:rFonts w:ascii="仿宋" w:eastAsia="仿宋" w:hAnsi="仿宋" w:cs="仿宋"/>
          <w:sz w:val="30"/>
          <w:szCs w:val="30"/>
        </w:rPr>
        <w:t>6523.32</w:t>
      </w:r>
      <w:r>
        <w:rPr>
          <w:rFonts w:ascii="仿宋" w:eastAsia="仿宋" w:hAnsi="仿宋" w:cs="仿宋"/>
          <w:sz w:val="30"/>
          <w:szCs w:val="30"/>
        </w:rPr>
        <w:t>万元，税金及附加</w:t>
      </w:r>
      <w:r>
        <w:rPr>
          <w:rFonts w:ascii="仿宋" w:eastAsia="仿宋" w:hAnsi="仿宋" w:cs="仿宋"/>
          <w:sz w:val="30"/>
          <w:szCs w:val="30"/>
        </w:rPr>
        <w:t>76.71</w:t>
      </w:r>
      <w:r>
        <w:rPr>
          <w:rFonts w:ascii="仿宋" w:eastAsia="仿宋" w:hAnsi="仿宋" w:cs="仿宋"/>
          <w:sz w:val="30"/>
          <w:szCs w:val="30"/>
        </w:rPr>
        <w:t>万元，利润总额</w:t>
      </w:r>
      <w:r>
        <w:rPr>
          <w:rFonts w:ascii="仿宋" w:eastAsia="仿宋" w:hAnsi="仿宋" w:cs="仿宋"/>
          <w:sz w:val="30"/>
          <w:szCs w:val="30"/>
        </w:rPr>
        <w:t>2071.68</w:t>
      </w:r>
      <w:r>
        <w:rPr>
          <w:rFonts w:ascii="仿宋" w:eastAsia="仿宋" w:hAnsi="仿宋" w:cs="仿宋"/>
          <w:sz w:val="30"/>
          <w:szCs w:val="30"/>
        </w:rPr>
        <w:t>万元，利税总额</w:t>
      </w:r>
      <w:r>
        <w:rPr>
          <w:rFonts w:ascii="仿宋" w:eastAsia="仿宋" w:hAnsi="仿宋" w:cs="仿宋"/>
          <w:sz w:val="30"/>
          <w:szCs w:val="30"/>
        </w:rPr>
        <w:t>2434.14</w:t>
      </w:r>
      <w:r>
        <w:rPr>
          <w:rFonts w:ascii="仿宋" w:eastAsia="仿宋" w:hAnsi="仿宋" w:cs="仿宋"/>
          <w:sz w:val="30"/>
          <w:szCs w:val="30"/>
        </w:rPr>
        <w:t>万元，税后净利润</w:t>
      </w:r>
      <w:r>
        <w:rPr>
          <w:rFonts w:ascii="仿宋" w:eastAsia="仿宋" w:hAnsi="仿宋" w:cs="仿宋"/>
          <w:sz w:val="30"/>
          <w:szCs w:val="30"/>
        </w:rPr>
        <w:t>1553.76</w:t>
      </w:r>
      <w:r>
        <w:rPr>
          <w:rFonts w:ascii="仿宋" w:eastAsia="仿宋" w:hAnsi="仿宋" w:cs="仿宋"/>
          <w:sz w:val="30"/>
          <w:szCs w:val="30"/>
        </w:rPr>
        <w:t>万元，达产年纳税总额</w:t>
      </w:r>
      <w:r>
        <w:rPr>
          <w:rFonts w:ascii="仿宋" w:eastAsia="仿宋" w:hAnsi="仿宋" w:cs="仿宋"/>
          <w:sz w:val="30"/>
          <w:szCs w:val="30"/>
        </w:rPr>
        <w:t>880.38</w:t>
      </w:r>
      <w:r>
        <w:rPr>
          <w:rFonts w:ascii="仿宋" w:eastAsia="仿宋" w:hAnsi="仿宋" w:cs="仿宋"/>
          <w:sz w:val="30"/>
          <w:szCs w:val="30"/>
        </w:rPr>
        <w:t>万元；达产年投资利润率</w:t>
      </w:r>
      <w:r>
        <w:rPr>
          <w:rFonts w:ascii="仿宋" w:eastAsia="仿宋" w:hAnsi="仿宋" w:cs="仿宋"/>
          <w:sz w:val="30"/>
          <w:szCs w:val="30"/>
        </w:rPr>
        <w:t>54.39%</w:t>
      </w:r>
      <w:r>
        <w:rPr>
          <w:rFonts w:ascii="仿宋" w:eastAsia="仿宋" w:hAnsi="仿宋" w:cs="仿宋"/>
          <w:sz w:val="30"/>
          <w:szCs w:val="30"/>
        </w:rPr>
        <w:t>，投资利税率</w:t>
      </w:r>
      <w:r>
        <w:rPr>
          <w:rFonts w:ascii="仿宋" w:eastAsia="仿宋" w:hAnsi="仿宋" w:cs="仿宋"/>
          <w:sz w:val="30"/>
          <w:szCs w:val="30"/>
        </w:rPr>
        <w:t>63.91%</w:t>
      </w:r>
      <w:r>
        <w:rPr>
          <w:rFonts w:ascii="仿宋" w:eastAsia="仿宋" w:hAnsi="仿宋" w:cs="仿宋"/>
          <w:sz w:val="30"/>
          <w:szCs w:val="30"/>
        </w:rPr>
        <w:t>，投资回报率</w:t>
      </w:r>
      <w:r>
        <w:rPr>
          <w:rFonts w:ascii="仿宋" w:eastAsia="仿宋" w:hAnsi="仿宋" w:cs="仿宋"/>
          <w:sz w:val="30"/>
          <w:szCs w:val="30"/>
        </w:rPr>
        <w:t>40.79%</w:t>
      </w:r>
      <w:r>
        <w:rPr>
          <w:rFonts w:ascii="仿宋" w:eastAsia="仿宋" w:hAnsi="仿宋" w:cs="仿宋"/>
          <w:sz w:val="30"/>
          <w:szCs w:val="30"/>
        </w:rPr>
        <w:t>，全部投资回收期</w:t>
      </w:r>
      <w:r>
        <w:rPr>
          <w:rFonts w:ascii="仿宋" w:eastAsia="仿宋" w:hAnsi="仿宋" w:cs="仿宋"/>
          <w:sz w:val="30"/>
          <w:szCs w:val="30"/>
        </w:rPr>
        <w:t>3.95</w:t>
      </w:r>
      <w:r>
        <w:rPr>
          <w:rFonts w:ascii="仿宋" w:eastAsia="仿宋" w:hAnsi="仿宋" w:cs="仿宋"/>
          <w:sz w:val="30"/>
          <w:szCs w:val="30"/>
        </w:rPr>
        <w:t>年，提供就业职位</w:t>
      </w:r>
      <w:r>
        <w:rPr>
          <w:rFonts w:ascii="仿宋" w:eastAsia="仿宋" w:hAnsi="仿宋" w:cs="仿宋"/>
          <w:sz w:val="30"/>
          <w:szCs w:val="30"/>
        </w:rPr>
        <w:t>133</w:t>
      </w:r>
      <w:r>
        <w:rPr>
          <w:rFonts w:ascii="仿宋" w:eastAsia="仿宋" w:hAnsi="仿宋" w:cs="仿宋"/>
          <w:sz w:val="30"/>
          <w:szCs w:val="30"/>
        </w:rPr>
        <w:t>个。</w:t>
      </w:r>
    </w:p>
    <w:p w:rsidR="00AA0ADC" w14:paraId="03DA6904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（十二）进度规划</w:t>
      </w:r>
    </w:p>
    <w:p w:rsidR="00AA0ADC" w14:paraId="6CFB82B6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本期工程项目建设期限规划</w:t>
      </w:r>
      <w:r>
        <w:rPr>
          <w:rFonts w:ascii="仿宋" w:eastAsia="仿宋" w:hAnsi="仿宋" w:cs="仿宋"/>
          <w:sz w:val="30"/>
          <w:szCs w:val="30"/>
        </w:rPr>
        <w:t>12</w:t>
      </w:r>
      <w:r>
        <w:rPr>
          <w:rFonts w:ascii="仿宋" w:eastAsia="仿宋" w:hAnsi="仿宋" w:cs="仿宋"/>
          <w:sz w:val="30"/>
          <w:szCs w:val="30"/>
        </w:rPr>
        <w:t>个月。</w:t>
      </w:r>
    </w:p>
    <w:p w:rsidR="00AA0ADC" w14:paraId="07D26C2B" w14:textId="77777777">
      <w:pPr>
        <w:ind w:firstLine="600"/>
      </w:pPr>
    </w:p>
    <w:p w:rsidR="00AA0ADC" w14:paraId="2E8C5E67" w14:textId="77777777">
      <w:r>
        <w:rPr>
          <w:rFonts w:ascii="仿宋" w:eastAsia="仿宋" w:hAnsi="仿宋" w:cs="仿宋"/>
          <w:b/>
          <w:bCs/>
          <w:sz w:val="32"/>
          <w:szCs w:val="32"/>
        </w:rPr>
        <w:t>二、项目评价</w:t>
      </w:r>
    </w:p>
    <w:p w:rsidR="00AA0ADC" w14:paraId="5A0E5269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、本期工程项目符合国家产业发展政策和规划要求，符合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经济园区及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经济园区沙拉酱行业布局和结构调整政策；项目的建设对促进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经济园区沙拉酱产业结构、技术结构、组织结构、产品结构的调整优化有着积极的推动意义。</w:t>
      </w:r>
    </w:p>
    <w:p w:rsidR="00AA0ADC" w14:paraId="727C5A70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/>
          <w:sz w:val="30"/>
          <w:szCs w:val="30"/>
        </w:rPr>
        <w:t>、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投资公司为适应国内外市场需求，拟建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沙拉酱项目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，本期工程项目的建设能够有力促进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经济园区经济发展，为社会提供就业职位</w:t>
      </w:r>
      <w:r>
        <w:rPr>
          <w:rFonts w:ascii="仿宋" w:eastAsia="仿宋" w:hAnsi="仿宋" w:cs="仿宋"/>
          <w:sz w:val="30"/>
          <w:szCs w:val="30"/>
        </w:rPr>
        <w:t>133</w:t>
      </w:r>
      <w:r>
        <w:rPr>
          <w:rFonts w:ascii="仿宋" w:eastAsia="仿宋" w:hAnsi="仿宋" w:cs="仿宋"/>
          <w:sz w:val="30"/>
          <w:szCs w:val="30"/>
        </w:rPr>
        <w:t>个，达产年纳税总额</w:t>
      </w:r>
      <w:r>
        <w:rPr>
          <w:rFonts w:ascii="仿宋" w:eastAsia="仿宋" w:hAnsi="仿宋" w:cs="仿宋"/>
          <w:sz w:val="30"/>
          <w:szCs w:val="30"/>
        </w:rPr>
        <w:t>880.38</w:t>
      </w:r>
      <w:r>
        <w:rPr>
          <w:rFonts w:ascii="仿宋" w:eastAsia="仿宋" w:hAnsi="仿宋" w:cs="仿宋"/>
          <w:sz w:val="30"/>
          <w:szCs w:val="30"/>
        </w:rPr>
        <w:t>万元，可以促进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经济园区区域经济的繁荣发展和社会稳定，为地方财政收入做出积极的贡献。</w:t>
      </w:r>
    </w:p>
    <w:p w:rsidR="00AA0ADC" w14:paraId="27A661CA" w14:textId="7574DC1D">
      <w:pPr>
        <w:ind w:firstLine="600"/>
        <w:sectPr w:rsidSect="00A02F19">
          <w:headerReference w:type="default" r:id="rId6"/>
          <w:type w:val="nextPage"/>
          <w:pgSz w:w="12240" w:h="15840"/>
          <w:pgMar w:top="1800" w:right="1200" w:bottom="1200" w:left="120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3" o:spid="_x0000_s1027" type="#_x0000_t202" style="width:500pt;height:5pt;margin-top:787pt;margin-left:0;mso-wrap-style:square;position:absolute;visibility:hidden;z-index:251660288">
            <v:textbox>
              <w:txbxContent>
                <w:p w:rsidR="00AA0ADC" w:rsidRPr="00AA0ADC" w14:paraId="3646EB1E" w14:textId="59B6B1E4">
                  <w:pPr>
                    <w:rPr>
                      <w:rFonts w:ascii="黑体" w:eastAsia="黑体"/>
                      <w:sz w:val="24"/>
                    </w:rPr>
                  </w:pPr>
                  <w:r w:rsidRPr="00AA0ADC">
                    <w:rPr>
                      <w:rFonts w:ascii="黑体" w:eastAsia="黑体" w:hint="eastAsia"/>
                      <w:sz w:val="24"/>
                    </w:rPr>
                    <w:t>沙拉酱项目可行性分析报告 全文共3页，当前为第3页。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/>
          <w:sz w:val="30"/>
          <w:szCs w:val="30"/>
        </w:rPr>
        <w:t>、项目达产年投资利润率</w:t>
      </w:r>
      <w:r>
        <w:rPr>
          <w:rFonts w:ascii="仿宋" w:eastAsia="仿宋" w:hAnsi="仿宋" w:cs="仿宋"/>
          <w:sz w:val="30"/>
          <w:szCs w:val="30"/>
        </w:rPr>
        <w:t>54.39%</w:t>
      </w:r>
      <w:r>
        <w:rPr>
          <w:rFonts w:ascii="仿宋" w:eastAsia="仿宋" w:hAnsi="仿宋" w:cs="仿宋"/>
          <w:sz w:val="30"/>
          <w:szCs w:val="30"/>
        </w:rPr>
        <w:t>，投资利税率</w:t>
      </w:r>
      <w:r>
        <w:rPr>
          <w:rFonts w:ascii="仿宋" w:eastAsia="仿宋" w:hAnsi="仿宋" w:cs="仿宋"/>
          <w:sz w:val="30"/>
          <w:szCs w:val="30"/>
        </w:rPr>
        <w:t>63.91%</w:t>
      </w:r>
      <w:r>
        <w:rPr>
          <w:rFonts w:ascii="仿宋" w:eastAsia="仿宋" w:hAnsi="仿宋" w:cs="仿宋"/>
          <w:sz w:val="30"/>
          <w:szCs w:val="30"/>
        </w:rPr>
        <w:t>，全部投资回报率</w:t>
      </w:r>
      <w:r>
        <w:rPr>
          <w:rFonts w:ascii="仿宋" w:eastAsia="仿宋" w:hAnsi="仿宋" w:cs="仿宋"/>
          <w:sz w:val="30"/>
          <w:szCs w:val="30"/>
        </w:rPr>
        <w:t>40.79%</w:t>
      </w:r>
      <w:r>
        <w:rPr>
          <w:rFonts w:ascii="仿宋" w:eastAsia="仿宋" w:hAnsi="仿宋" w:cs="仿宋"/>
          <w:sz w:val="30"/>
          <w:szCs w:val="30"/>
        </w:rPr>
        <w:t>，全部投资回收期</w:t>
      </w:r>
      <w:r>
        <w:rPr>
          <w:rFonts w:ascii="仿宋" w:eastAsia="仿宋" w:hAnsi="仿宋" w:cs="仿宋"/>
          <w:sz w:val="30"/>
          <w:szCs w:val="30"/>
        </w:rPr>
        <w:t>3.95</w:t>
      </w:r>
      <w:r>
        <w:rPr>
          <w:rFonts w:ascii="仿宋" w:eastAsia="仿宋" w:hAnsi="仿宋" w:cs="仿宋"/>
          <w:sz w:val="30"/>
          <w:szCs w:val="30"/>
        </w:rPr>
        <w:t>年，固定资产投资回收期</w:t>
      </w:r>
      <w:r>
        <w:rPr>
          <w:rFonts w:ascii="仿宋" w:eastAsia="仿宋" w:hAnsi="仿宋" w:cs="仿宋"/>
          <w:sz w:val="30"/>
          <w:szCs w:val="30"/>
        </w:rPr>
        <w:t>3.95</w:t>
      </w:r>
      <w:r>
        <w:rPr>
          <w:rFonts w:ascii="仿宋" w:eastAsia="仿宋" w:hAnsi="仿宋" w:cs="仿宋"/>
          <w:sz w:val="30"/>
          <w:szCs w:val="30"/>
        </w:rPr>
        <w:t>年（含建设期），项目具有较强的盈利能力和抗风险能力。</w:t>
      </w:r>
    </w:p>
    <w:p w:rsidR="00AA0ADC" w14:paraId="350259D3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完善产业技术服务体系。工业和信息化部产业技术基础公共服务平台面向《中国制造</w:t>
      </w:r>
      <w:r>
        <w:rPr>
          <w:rFonts w:ascii="仿宋" w:eastAsia="仿宋" w:hAnsi="仿宋" w:cs="仿宋"/>
          <w:sz w:val="30"/>
          <w:szCs w:val="30"/>
        </w:rPr>
        <w:t>2025</w:t>
      </w:r>
      <w:r>
        <w:rPr>
          <w:rFonts w:ascii="仿宋" w:eastAsia="仿宋" w:hAnsi="仿宋" w:cs="仿宋"/>
          <w:sz w:val="30"/>
          <w:szCs w:val="30"/>
        </w:rPr>
        <w:t>》重点领域，计划在</w:t>
      </w:r>
      <w:r>
        <w:rPr>
          <w:rFonts w:ascii="仿宋" w:eastAsia="仿宋" w:hAnsi="仿宋" w:cs="仿宋"/>
          <w:sz w:val="30"/>
          <w:szCs w:val="30"/>
        </w:rPr>
        <w:t>2020</w:t>
      </w:r>
      <w:r>
        <w:rPr>
          <w:rFonts w:ascii="仿宋" w:eastAsia="仿宋" w:hAnsi="仿宋" w:cs="仿宋"/>
          <w:sz w:val="30"/>
          <w:szCs w:val="30"/>
        </w:rPr>
        <w:t>年建立</w:t>
      </w:r>
      <w:r>
        <w:rPr>
          <w:rFonts w:ascii="仿宋" w:eastAsia="仿宋" w:hAnsi="仿宋" w:cs="仿宋"/>
          <w:sz w:val="30"/>
          <w:szCs w:val="30"/>
        </w:rPr>
        <w:t>60</w:t>
      </w:r>
      <w:r>
        <w:rPr>
          <w:rFonts w:ascii="仿宋" w:eastAsia="仿宋" w:hAnsi="仿宋" w:cs="仿宋"/>
          <w:sz w:val="30"/>
          <w:szCs w:val="30"/>
        </w:rPr>
        <w:t>个产业技术基础公共服务平台，其中试验检测类</w:t>
      </w:r>
      <w:r>
        <w:rPr>
          <w:rFonts w:ascii="仿宋" w:eastAsia="仿宋" w:hAnsi="仿宋" w:cs="仿宋"/>
          <w:sz w:val="30"/>
          <w:szCs w:val="30"/>
        </w:rPr>
        <w:t>40</w:t>
      </w:r>
      <w:r>
        <w:rPr>
          <w:rFonts w:ascii="仿宋" w:eastAsia="仿宋" w:hAnsi="仿宋" w:cs="仿宋"/>
          <w:sz w:val="30"/>
          <w:szCs w:val="30"/>
        </w:rPr>
        <w:t>个，信息服务类</w:t>
      </w:r>
      <w:r>
        <w:rPr>
          <w:rFonts w:ascii="仿宋" w:eastAsia="仿宋" w:hAnsi="仿宋" w:cs="仿宋"/>
          <w:sz w:val="30"/>
          <w:szCs w:val="30"/>
        </w:rPr>
        <w:t>20</w:t>
      </w:r>
      <w:r>
        <w:rPr>
          <w:rFonts w:ascii="仿宋" w:eastAsia="仿宋" w:hAnsi="仿宋" w:cs="仿宋"/>
          <w:sz w:val="30"/>
          <w:szCs w:val="30"/>
        </w:rPr>
        <w:t>个。试验检测类平台主要提供试验检测方面的技术基础支撑服务，开展质量可靠性试验验证、标准验证、计量量值溯源与传递、认证认可、综合分析等基础关键技术研究，研究制定试验检测方法和计量技术规范，构建试验检测技术体系，研制试验检测设备和计量标准器具，提供试验检测相关服务。信息服务类平台主要围绕技术成果转化、信息与知识产权服务，按照开放、资源共享原则，以权威性、基础性、公益性、前瞻性为发展目标，建立市场化运作机制，建设成为专业水平高、支撑作用强的技术基础服务平台，为技术创新和产业发展提供优质、高效的服务。质检总局积极发挥产业技术基础服务地方经济发展作用，在上海静安、浙江宁波、江苏苏州、重庆两江等</w:t>
      </w:r>
      <w:r>
        <w:rPr>
          <w:rFonts w:ascii="仿宋" w:eastAsia="仿宋" w:hAnsi="仿宋" w:cs="仿宋"/>
          <w:sz w:val="30"/>
          <w:szCs w:val="30"/>
        </w:rPr>
        <w:t>12</w:t>
      </w:r>
      <w:r>
        <w:rPr>
          <w:rFonts w:ascii="仿宋" w:eastAsia="仿宋" w:hAnsi="仿宋" w:cs="仿宋"/>
          <w:sz w:val="30"/>
          <w:szCs w:val="30"/>
        </w:rPr>
        <w:t>个区域建设了国家检验检测认证公共服务平台示范区，在运载火箭、卫星导航、海洋装备、精密机械、石油化工、节能家电、煤电、光伏、新能源汽车、商用飞机等</w:t>
      </w:r>
      <w:r>
        <w:rPr>
          <w:rFonts w:ascii="仿宋" w:eastAsia="仿宋" w:hAnsi="仿宋" w:cs="仿宋"/>
          <w:sz w:val="30"/>
          <w:szCs w:val="30"/>
        </w:rPr>
        <w:t>19</w:t>
      </w:r>
      <w:r>
        <w:rPr>
          <w:rFonts w:ascii="仿宋" w:eastAsia="仿宋" w:hAnsi="仿宋" w:cs="仿宋"/>
          <w:sz w:val="30"/>
          <w:szCs w:val="30"/>
        </w:rPr>
        <w:t>个重要产业筹建了国家产业计量测试中心，提供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全溯源链、全寿命周期、全产业链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并具有前瞻性的计量测试服务。</w:t>
      </w:r>
    </w:p>
    <w:p w:rsidR="00AA0ADC" w14:paraId="363CCC85" w14:textId="77777777">
      <w:pPr>
        <w:ind w:firstLine="600"/>
      </w:pPr>
    </w:p>
    <w:p w:rsidR="00AA0ADC" w14:paraId="557ECE20" w14:textId="77777777">
      <w:r>
        <w:rPr>
          <w:rFonts w:ascii="仿宋" w:eastAsia="仿宋" w:hAnsi="仿宋" w:cs="仿宋"/>
          <w:b/>
          <w:bCs/>
          <w:sz w:val="32"/>
          <w:szCs w:val="32"/>
        </w:rPr>
        <w:t>三、主要经济指标</w:t>
      </w:r>
      <w:r>
        <w:br/>
      </w:r>
    </w:p>
    <w:p w:rsidR="00AA0ADC" w14:paraId="7CB68A39" w14:textId="50D3696B">
      <w:pPr>
        <w:jc w:val="center"/>
        <w:sectPr w:rsidSect="00A02F19">
          <w:headerReference w:type="default" r:id="rId7"/>
          <w:type w:val="nextPage"/>
          <w:pgSz w:w="12240" w:h="15840"/>
          <w:pgMar w:top="1800" w:right="1200" w:bottom="1200" w:left="120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pict>
          <v:shape id="PageShape4" o:spid="_x0000_s1028" type="#_x0000_t202" style="width:500pt;height:5pt;margin-top:787pt;margin-left:0;mso-wrap-style:square;position:absolute;visibility:hidden;z-index:251661312">
            <v:textbox>
              <w:txbxContent>
                <w:p w:rsidR="00AA0ADC" w:rsidRPr="00AA0ADC" w14:paraId="6B8BBC37" w14:textId="6AC07846">
                  <w:pPr>
                    <w:rPr>
                      <w:rFonts w:ascii="黑体" w:eastAsia="黑体"/>
                      <w:sz w:val="24"/>
                    </w:rPr>
                  </w:pPr>
                  <w:r w:rsidRPr="00AA0ADC">
                    <w:rPr>
                      <w:rFonts w:ascii="黑体" w:eastAsia="黑体" w:hint="eastAsia"/>
                      <w:sz w:val="24"/>
                    </w:rPr>
                    <w:t>沙拉酱项目可行性分析报告 全文共4页，当前为第4页。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28"/>
          <w:szCs w:val="28"/>
        </w:rPr>
        <w:t>主要经济指标一览表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12D2791A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2000" w:type="dxa"/>
            <w:shd w:val="clear" w:color="auto" w:fill="auto"/>
            <w:vAlign w:val="center"/>
          </w:tcPr>
          <w:p w:rsidR="00AA0ADC" w:rsidRPr="00722E63" w14:paraId="01E19C6E" w14:textId="77777777">
            <w:r w:rsidRPr="00722E63">
              <w:rPr>
                <w:rFonts w:ascii="仿宋" w:eastAsia="仿宋" w:hAnsi="仿宋"/>
                <w:b/>
              </w:rPr>
              <w:t>序号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AA0ADC" w:rsidRPr="00722E63" w14:paraId="473AD4D8" w14:textId="77777777">
            <w:r w:rsidRPr="00722E63">
              <w:rPr>
                <w:rFonts w:ascii="仿宋" w:eastAsia="仿宋" w:hAnsi="仿宋"/>
                <w:b/>
              </w:rPr>
              <w:t>项目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AA0ADC" w:rsidRPr="00722E63" w14:paraId="370434BE" w14:textId="77777777">
            <w:r w:rsidRPr="00722E63">
              <w:rPr>
                <w:rFonts w:ascii="仿宋" w:eastAsia="仿宋" w:hAnsi="仿宋"/>
                <w:b/>
              </w:rPr>
              <w:t>单位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AA0ADC" w:rsidRPr="00722E63" w14:paraId="37683870" w14:textId="77777777">
            <w:r w:rsidRPr="00722E63">
              <w:rPr>
                <w:rFonts w:ascii="仿宋" w:eastAsia="仿宋" w:hAnsi="仿宋"/>
                <w:b/>
              </w:rPr>
              <w:t>指标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AA0ADC" w:rsidRPr="00722E63" w14:paraId="3449EB3E" w14:textId="77777777">
            <w:r w:rsidRPr="00722E63">
              <w:rPr>
                <w:rFonts w:ascii="仿宋" w:eastAsia="仿宋" w:hAnsi="仿宋"/>
                <w:b/>
              </w:rPr>
              <w:t>备注</w:t>
            </w:r>
          </w:p>
        </w:tc>
      </w:tr>
      <w:tr w14:paraId="0A53973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2F7C8A2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7CDAED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占地面积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8BA88A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718B71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10605.30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A340FE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15.90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亩</w:t>
            </w:r>
          </w:p>
        </w:tc>
      </w:tr>
      <w:tr w14:paraId="600B78C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43DDFC7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62A498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容积率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F529429" w14:textId="77777777"/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E0AA88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1.65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9EF653C" w14:textId="77777777"/>
        </w:tc>
      </w:tr>
      <w:tr w14:paraId="5F77AF6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3324424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1107B0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建筑系数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04CD3CC" w14:textId="77777777"/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E66168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66.18%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D7BBFBF" w14:textId="77777777"/>
        </w:tc>
      </w:tr>
      <w:tr w14:paraId="011FCD8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0D917C1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151EDC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投资强度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F1C7F7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/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亩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353596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168.11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F9924A7" w14:textId="77777777"/>
        </w:tc>
      </w:tr>
      <w:tr w14:paraId="549B27B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3C1D342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76669C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基底面积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EF5B42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30D8F2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7018.59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A3A2B47" w14:textId="77777777"/>
        </w:tc>
      </w:tr>
      <w:tr w14:paraId="16658AEE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5F4FB16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F54D9E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总建筑面积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537B8C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5B85F9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17498.74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D371D23" w14:textId="77777777"/>
        </w:tc>
      </w:tr>
      <w:tr w14:paraId="534E807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508F7D5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BC7506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863B62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44F443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1302.55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FF7DFB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绿化率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7.44%</w:t>
            </w:r>
          </w:p>
        </w:tc>
      </w:tr>
      <w:tr w14:paraId="354D42E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05A3414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30C17C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1F94F7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469583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3808.82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86A690F" w14:textId="77777777"/>
        </w:tc>
      </w:tr>
      <w:tr w14:paraId="49BF174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700DA68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6BABC3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4D2AFB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1AAF7D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2672.95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6F3959B" w14:textId="77777777"/>
        </w:tc>
      </w:tr>
      <w:tr w14:paraId="385B053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42EBD81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CCD4B5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ACFF47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6E1509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1552.63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CDCA962" w14:textId="77777777"/>
        </w:tc>
      </w:tr>
      <w:tr w14:paraId="6C2F932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16E40F7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632CF3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644D35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96C805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40.76%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283FA8C" w14:textId="77777777"/>
        </w:tc>
      </w:tr>
      <w:tr w14:paraId="40AFFEF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782CB47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613A10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A15701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37B224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942.62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5DF403B" w14:textId="77777777"/>
        </w:tc>
      </w:tr>
      <w:tr w14:paraId="0E3DD45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3AD5E46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AA95CD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E5AF714" w14:textId="77777777"/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2C5675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24.75%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A1B8EAF" w14:textId="77777777"/>
        </w:tc>
      </w:tr>
      <w:tr w14:paraId="299B6C8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75082F1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602D67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5E9DF0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81D126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177.70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E58394F" w14:textId="77777777"/>
        </w:tc>
      </w:tr>
      <w:tr w14:paraId="6DBBE12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4A9E84C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E58A00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9012A27" w14:textId="77777777"/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CBAF7A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4.67%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BBC9C0F" w14:textId="77777777"/>
        </w:tc>
      </w:tr>
      <w:tr w14:paraId="540990D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5BB9C97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171F57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BE23138" w14:textId="77777777"/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F86EF2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70.18%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691D79D" w14:textId="77777777"/>
        </w:tc>
      </w:tr>
      <w:tr w14:paraId="57DE8F4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0E06EDE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AE1E10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681C9A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C21701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1135.87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9D6288D" w14:textId="77777777"/>
        </w:tc>
      </w:tr>
      <w:tr w14:paraId="40912DF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102B596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A11B09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3B15BF7" w14:textId="77777777"/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621DFE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29.82%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C97A491" w14:textId="77777777"/>
        </w:tc>
      </w:tr>
      <w:tr w14:paraId="2EB0724E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1C9DF83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347028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收入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63904F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480E87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8595.00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0635B3F" w14:textId="77777777"/>
        </w:tc>
      </w:tr>
      <w:tr w14:paraId="549160F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421DDBE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E89DDE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总成本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A1378A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807A6C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6523.32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8962EE2" w14:textId="77777777"/>
        </w:tc>
      </w:tr>
      <w:tr w14:paraId="1489BA1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68423E9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0683D0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利润总额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9F9763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2397C9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2071.68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26E824D" w14:textId="77777777"/>
        </w:tc>
      </w:tr>
      <w:tr w14:paraId="5594E76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02B3CC8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6BB4E2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净利润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AB1536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FDA951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1553.76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F95EC3F" w14:textId="77777777"/>
        </w:tc>
      </w:tr>
      <w:tr w14:paraId="5B980FD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4C7E554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59B409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所得税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00AB87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653FA4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1.65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EB6884F" w14:textId="77777777"/>
        </w:tc>
      </w:tr>
      <w:tr w14:paraId="2734CC0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73A4C6C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36BB7E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增值税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67B2ED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EC1266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285.75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2EC1D82" w14:textId="77777777"/>
        </w:tc>
      </w:tr>
      <w:tr w14:paraId="00B6A2B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2F83430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9AEC59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税金及附加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0DE591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D0BB1A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76.71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4AB0A4B" w14:textId="77777777"/>
        </w:tc>
      </w:tr>
      <w:tr w14:paraId="1F26CC7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798BD954" w14:textId="74D2FDA7">
            <w:r>
              <w:rPr>
                <w:rFonts w:ascii="仿宋" w:eastAsia="仿宋" w:hAnsi="仿宋"/>
                <w:noProof/>
                <w:sz w:val="20"/>
                <w:szCs w:val="20"/>
              </w:rPr>
              <w:pict>
                <v:shape id="PageShape5" o:spid="_x0000_s1029" type="#_x0000_t202" style="width:500pt;height:5pt;margin-top:787pt;margin-left:0;mso-wrap-style:square;position:absolute;visibility:hidden;z-index:251662336">
                  <v:textbox>
                    <w:txbxContent>
                      <w:p w:rsidR="00AA0ADC" w:rsidRPr="00AA0ADC" w14:paraId="545AB69F" w14:textId="371CC3A9">
                        <w:pPr>
                          <w:rPr>
                            <w:rFonts w:ascii="黑体" w:eastAsia="黑体"/>
                            <w:sz w:val="24"/>
                          </w:rPr>
                        </w:pPr>
                        <w:r w:rsidRPr="00AA0ADC">
                          <w:rPr>
                            <w:rFonts w:ascii="黑体" w:eastAsia="黑体" w:hint="eastAsia"/>
                            <w:sz w:val="24"/>
                          </w:rPr>
                          <w:t>沙拉酱项目可行性分析报告 全文共5页，当前为第5页。</w:t>
                        </w:r>
                      </w:p>
                    </w:txbxContent>
                  </v:textbox>
                </v:shape>
              </w:pict>
            </w:r>
            <w:r w:rsidRPr="00722E63">
              <w:rPr>
                <w:rFonts w:ascii="仿宋" w:eastAsia="仿宋" w:hAnsi="仿宋"/>
                <w:sz w:val="20"/>
                <w:szCs w:val="20"/>
              </w:rPr>
              <w:t>10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51D6FD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纳税总额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55867F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B98646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880.38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0510482" w14:textId="77777777"/>
        </w:tc>
      </w:tr>
    </w:tbl>
    <w:p>
      <w:pPr>
        <w:sectPr w:rsidSect="00A02F19">
          <w:headerReference w:type="default" r:id="rId8"/>
          <w:type w:val="nextPage"/>
          <w:pgSz w:w="12240" w:h="15840"/>
          <w:pgMar w:top="1800" w:right="1200" w:bottom="1200" w:left="1200" w:header="720" w:footer="720" w:gutter="0"/>
          <w:pgNumType w:start="5"/>
          <w:cols w:space="720"/>
          <w:titlePg w:val="0"/>
          <w:docGrid w:linePitch="360"/>
        </w:sectPr>
      </w:pP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5E7541DB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2E7DBD0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8C9954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8718A0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6CA282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2434.14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4745888" w14:textId="77777777"/>
        </w:tc>
      </w:tr>
      <w:tr w14:paraId="21BAE14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536C505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D52F50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投资利润率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28E8B5E" w14:textId="77777777"/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1858B2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54.39%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B388107" w14:textId="77777777"/>
        </w:tc>
      </w:tr>
      <w:tr w14:paraId="25113A8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196144A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394593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投资利税率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D2E9D6B" w14:textId="77777777"/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059EBE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63.91%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4BD1667" w14:textId="77777777"/>
        </w:tc>
      </w:tr>
      <w:tr w14:paraId="1277D73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20FED6A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B7CE84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投资回报率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1E7ED6C" w14:textId="77777777"/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98C050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40.79%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BA8B6C0" w14:textId="77777777"/>
        </w:tc>
      </w:tr>
      <w:tr w14:paraId="3B6A7D7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1A882F6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58E39E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回收期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C5076C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5E9E07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3.95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854771D" w14:textId="77777777"/>
        </w:tc>
      </w:tr>
      <w:tr w14:paraId="236317D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7F5CD1B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6E73BB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FEBBA1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台（套）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614E1A6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C57E7C5" w14:textId="77777777"/>
        </w:tc>
      </w:tr>
      <w:tr w14:paraId="4D4B242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2B9600C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4A78C5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年用电量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ABF76C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千瓦时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3E3C078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1226999.28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FF9CD71" w14:textId="77777777"/>
        </w:tc>
      </w:tr>
      <w:tr w14:paraId="69FBBA3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56B66CD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F7A664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年用水量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5B3448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立方米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959D85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4764.13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6CDA33B" w14:textId="77777777"/>
        </w:tc>
      </w:tr>
      <w:tr w14:paraId="7E42AF7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7922C6A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62B371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总能耗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2ECC86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0D175A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151.21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E9B7E23" w14:textId="77777777"/>
        </w:tc>
      </w:tr>
      <w:tr w14:paraId="3B4E71D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5F53907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23DA5D2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B3584C8" w14:textId="77777777"/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F33A2A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21.36%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1AF4C5A1" w14:textId="77777777"/>
        </w:tc>
      </w:tr>
      <w:tr w14:paraId="22C7AEE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4B72932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0584530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0710F4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C64D0D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61.76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2ABC594" w14:textId="77777777"/>
        </w:tc>
      </w:tr>
      <w:tr w14:paraId="4FFD8D6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AA0ADC" w:rsidRPr="00722E63" w14:paraId="618EDD7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40D210F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员工数量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55E2AB0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人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3C8F63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AA0ADC" w:rsidRPr="00722E63" w14:paraId="7F99F29E" w14:textId="77777777"/>
        </w:tc>
      </w:tr>
    </w:tbl>
    <w:p w:rsidR="00AA0ADC" w14:paraId="4D26D248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br/>
      </w:r>
    </w:p>
    <w:p w:rsidR="00AA0ADC" w14:paraId="655DE587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>第二章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项目建设单位</w:t>
      </w:r>
      <w:r>
        <w:br/>
      </w:r>
    </w:p>
    <w:p w:rsidR="00AA0ADC" w14:paraId="5E3B4FEC" w14:textId="77777777">
      <w:r>
        <w:rPr>
          <w:rFonts w:ascii="仿宋" w:eastAsia="仿宋" w:hAnsi="仿宋" w:cs="仿宋"/>
          <w:b/>
          <w:bCs/>
          <w:sz w:val="32"/>
          <w:szCs w:val="32"/>
        </w:rPr>
        <w:t>一、项目承办单位基本情况</w:t>
      </w:r>
    </w:p>
    <w:p w:rsidR="00AA0ADC" w14:paraId="2475EF72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（一）公司名称</w:t>
      </w:r>
    </w:p>
    <w:p w:rsidR="00AA0ADC" w14:paraId="5B6FB2AB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科技发展公司</w:t>
      </w:r>
    </w:p>
    <w:p w:rsidR="00AA0ADC" w14:paraId="6726242F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（二）公司简介</w:t>
      </w:r>
    </w:p>
    <w:p w:rsidR="00AA0ADC" w14:paraId="3D4705A7" w14:textId="658AF253">
      <w:pPr>
        <w:ind w:firstLine="600"/>
        <w:sectPr w:rsidSect="00A02F19">
          <w:headerReference w:type="default" r:id="rId9"/>
          <w:type w:val="nextPage"/>
          <w:pgSz w:w="12240" w:h="15840"/>
          <w:pgMar w:top="1800" w:right="1200" w:bottom="1200" w:left="120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6" o:spid="_x0000_s1030" type="#_x0000_t202" style="width:500pt;height:5pt;margin-top:787pt;margin-left:0;mso-wrap-style:square;position:absolute;visibility:hidden;z-index:251663360">
            <v:textbox>
              <w:txbxContent>
                <w:p w:rsidR="00AA0ADC" w:rsidRPr="00AA0ADC" w14:paraId="26685050" w14:textId="0ADDD67F">
                  <w:pPr>
                    <w:rPr>
                      <w:rFonts w:ascii="黑体" w:eastAsia="黑体"/>
                      <w:sz w:val="24"/>
                    </w:rPr>
                  </w:pPr>
                  <w:r w:rsidRPr="00AA0ADC">
                    <w:rPr>
                      <w:rFonts w:ascii="黑体" w:eastAsia="黑体" w:hint="eastAsia"/>
                      <w:sz w:val="24"/>
                    </w:rPr>
                    <w:t>沙拉酱项目可行性分析报告 全文共6页，当前为第6页。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公司致力于一个符合现代企业制度要求，具有全球化、市场化竞争力的新型一流企业。公司是跨文化的组织，尊重不同文化和信仰，将诚信、平等、公平、和谐理念普及于企业并延伸至价值链；公司致力于制造和采</w:t>
      </w:r>
    </w:p>
    <w:p w:rsidR="00AA0ADC" w14:textId="658AF253">
      <w:pPr>
        <w:ind w:firstLine="600"/>
      </w:pPr>
      <w:r>
        <w:rPr>
          <w:rFonts w:ascii="仿宋" w:eastAsia="仿宋" w:hAnsi="仿宋" w:cs="仿宋"/>
          <w:sz w:val="30"/>
          <w:szCs w:val="30"/>
        </w:rPr>
        <w:t>购在技术、质量和按时交货上均能满足客户高标准要求的产品，并使用现代仓储和物流技术为客户提供配送及售后服务。</w:t>
      </w:r>
    </w:p>
    <w:p w:rsidR="00AA0ADC" w14:paraId="68B0A4B1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公司在管理模式、组织结构、激励制度、科技创新等方面严格按照科技型现代企业要求执行，并根据公司所具优势定位于高技术附加值产品的研制、生产和营销，以新产品开拓市场，以优质服务参与竞争。强调产品开发和市场营销的科技型企业的组织框架已经建立，主要岗位已配备专业学科人员，包括科技奖励政策在内的企业各方面管理制度运作效果良好。管理制度的先进性和创新性，极大地激发和调动了广大员工的工作热情，吸引了较多适用人才，并通过科研开发、生产经营得以释放，因此，项目承办单位较好的经济效益和社会效益。</w:t>
      </w:r>
    </w:p>
    <w:p w:rsidR="00AA0ADC" w14:paraId="5BAB1003" w14:textId="77777777">
      <w:r>
        <w:rPr>
          <w:rFonts w:ascii="仿宋" w:eastAsia="仿宋" w:hAnsi="仿宋" w:cs="仿宋"/>
          <w:b/>
          <w:bCs/>
          <w:sz w:val="32"/>
          <w:szCs w:val="32"/>
        </w:rPr>
        <w:t>二、公司经济效益分析</w:t>
      </w:r>
    </w:p>
    <w:p w:rsidR="00AA0ADC" w14:paraId="4C922AA4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上一年度，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投资公司实现营业收入</w:t>
      </w:r>
      <w:r>
        <w:rPr>
          <w:rFonts w:ascii="仿宋" w:eastAsia="仿宋" w:hAnsi="仿宋" w:cs="仿宋"/>
          <w:sz w:val="30"/>
          <w:szCs w:val="30"/>
        </w:rPr>
        <w:t>5692.35</w:t>
      </w:r>
      <w:r>
        <w:rPr>
          <w:rFonts w:ascii="仿宋" w:eastAsia="仿宋" w:hAnsi="仿宋" w:cs="仿宋"/>
          <w:sz w:val="30"/>
          <w:szCs w:val="30"/>
        </w:rPr>
        <w:t>万元，同比增长</w:t>
      </w:r>
      <w:r>
        <w:rPr>
          <w:rFonts w:ascii="仿宋" w:eastAsia="仿宋" w:hAnsi="仿宋" w:cs="仿宋"/>
          <w:sz w:val="30"/>
          <w:szCs w:val="30"/>
        </w:rPr>
        <w:t>21.20%</w:t>
      </w:r>
      <w:r>
        <w:rPr>
          <w:rFonts w:ascii="仿宋" w:eastAsia="仿宋" w:hAnsi="仿宋" w:cs="仿宋"/>
          <w:sz w:val="30"/>
          <w:szCs w:val="30"/>
        </w:rPr>
        <w:t>（</w:t>
      </w:r>
      <w:r>
        <w:rPr>
          <w:rFonts w:ascii="仿宋" w:eastAsia="仿宋" w:hAnsi="仿宋" w:cs="仿宋"/>
          <w:sz w:val="30"/>
          <w:szCs w:val="30"/>
        </w:rPr>
        <w:t>995.85</w:t>
      </w:r>
      <w:r>
        <w:rPr>
          <w:rFonts w:ascii="仿宋" w:eastAsia="仿宋" w:hAnsi="仿宋" w:cs="仿宋"/>
          <w:sz w:val="30"/>
          <w:szCs w:val="30"/>
        </w:rPr>
        <w:t>万元）。其中，主营业业务沙拉酱生产及销售收入为</w:t>
      </w:r>
      <w:r>
        <w:rPr>
          <w:rFonts w:ascii="仿宋" w:eastAsia="仿宋" w:hAnsi="仿宋" w:cs="仿宋"/>
          <w:sz w:val="30"/>
          <w:szCs w:val="30"/>
        </w:rPr>
        <w:t>4950.25</w:t>
      </w:r>
      <w:r>
        <w:rPr>
          <w:rFonts w:ascii="仿宋" w:eastAsia="仿宋" w:hAnsi="仿宋" w:cs="仿宋"/>
          <w:sz w:val="30"/>
          <w:szCs w:val="30"/>
        </w:rPr>
        <w:t>万元，占营业总收入的</w:t>
      </w:r>
      <w:r>
        <w:rPr>
          <w:rFonts w:ascii="仿宋" w:eastAsia="仿宋" w:hAnsi="仿宋" w:cs="仿宋"/>
          <w:sz w:val="30"/>
          <w:szCs w:val="30"/>
        </w:rPr>
        <w:t>86.96%</w:t>
      </w:r>
      <w:r>
        <w:rPr>
          <w:rFonts w:ascii="仿宋" w:eastAsia="仿宋" w:hAnsi="仿宋" w:cs="仿宋"/>
          <w:sz w:val="30"/>
          <w:szCs w:val="30"/>
        </w:rPr>
        <w:t>。</w:t>
      </w:r>
    </w:p>
    <w:p w:rsidR="00AA0ADC" w14:paraId="1E7AB07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根据初步统计测算，公司实现利润总额</w:t>
      </w:r>
      <w:r>
        <w:rPr>
          <w:rFonts w:ascii="仿宋" w:eastAsia="仿宋" w:hAnsi="仿宋" w:cs="仿宋"/>
          <w:sz w:val="30"/>
          <w:szCs w:val="30"/>
        </w:rPr>
        <w:t>1554.14</w:t>
      </w:r>
      <w:r>
        <w:rPr>
          <w:rFonts w:ascii="仿宋" w:eastAsia="仿宋" w:hAnsi="仿宋" w:cs="仿宋"/>
          <w:sz w:val="30"/>
          <w:szCs w:val="30"/>
        </w:rPr>
        <w:t>万元，较去年同期相比增长</w:t>
      </w:r>
      <w:r>
        <w:rPr>
          <w:rFonts w:ascii="仿宋" w:eastAsia="仿宋" w:hAnsi="仿宋" w:cs="仿宋"/>
          <w:sz w:val="30"/>
          <w:szCs w:val="30"/>
        </w:rPr>
        <w:t>244.83</w:t>
      </w:r>
      <w:r>
        <w:rPr>
          <w:rFonts w:ascii="仿宋" w:eastAsia="仿宋" w:hAnsi="仿宋" w:cs="仿宋"/>
          <w:sz w:val="30"/>
          <w:szCs w:val="30"/>
        </w:rPr>
        <w:t>万元，增长率</w:t>
      </w:r>
      <w:r>
        <w:rPr>
          <w:rFonts w:ascii="仿宋" w:eastAsia="仿宋" w:hAnsi="仿宋" w:cs="仿宋"/>
          <w:sz w:val="30"/>
          <w:szCs w:val="30"/>
        </w:rPr>
        <w:t>18.70%</w:t>
      </w:r>
      <w:r>
        <w:rPr>
          <w:rFonts w:ascii="仿宋" w:eastAsia="仿宋" w:hAnsi="仿宋" w:cs="仿宋"/>
          <w:sz w:val="30"/>
          <w:szCs w:val="30"/>
        </w:rPr>
        <w:t>；实现净利润</w:t>
      </w:r>
      <w:r>
        <w:rPr>
          <w:rFonts w:ascii="仿宋" w:eastAsia="仿宋" w:hAnsi="仿宋" w:cs="仿宋"/>
          <w:sz w:val="30"/>
          <w:szCs w:val="30"/>
        </w:rPr>
        <w:t>1165.61</w:t>
      </w:r>
      <w:r>
        <w:rPr>
          <w:rFonts w:ascii="仿宋" w:eastAsia="仿宋" w:hAnsi="仿宋" w:cs="仿宋"/>
          <w:sz w:val="30"/>
          <w:szCs w:val="30"/>
        </w:rPr>
        <w:t>万元，较去年同期相比增长</w:t>
      </w:r>
      <w:r>
        <w:rPr>
          <w:rFonts w:ascii="仿宋" w:eastAsia="仿宋" w:hAnsi="仿宋" w:cs="仿宋"/>
          <w:sz w:val="30"/>
          <w:szCs w:val="30"/>
        </w:rPr>
        <w:t>206.18</w:t>
      </w:r>
      <w:r>
        <w:rPr>
          <w:rFonts w:ascii="仿宋" w:eastAsia="仿宋" w:hAnsi="仿宋" w:cs="仿宋"/>
          <w:sz w:val="30"/>
          <w:szCs w:val="30"/>
        </w:rPr>
        <w:t>万元，增长率</w:t>
      </w:r>
      <w:r>
        <w:rPr>
          <w:rFonts w:ascii="仿宋" w:eastAsia="仿宋" w:hAnsi="仿宋" w:cs="仿宋"/>
          <w:sz w:val="30"/>
          <w:szCs w:val="30"/>
        </w:rPr>
        <w:t>21.49%</w:t>
      </w:r>
      <w:r>
        <w:rPr>
          <w:rFonts w:ascii="仿宋" w:eastAsia="仿宋" w:hAnsi="仿宋" w:cs="仿宋"/>
          <w:sz w:val="30"/>
          <w:szCs w:val="30"/>
        </w:rPr>
        <w:t>。</w:t>
      </w:r>
      <w:r>
        <w:br/>
      </w:r>
    </w:p>
    <w:p w:rsidR="00AA0ADC" w14:paraId="63D0ABBB" w14:textId="7B7A79E9">
      <w:pPr>
        <w:jc w:val="center"/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pict>
          <v:shape id="PageShape7" o:spid="_x0000_s1031" type="#_x0000_t202" style="width:500pt;height:5pt;margin-top:787pt;margin-left:0;mso-wrap-style:square;position:absolute;visibility:hidden;z-index:251664384">
            <v:textbox>
              <w:txbxContent>
                <w:p w:rsidR="00AA0ADC" w:rsidRPr="00AA0ADC" w14:paraId="14324439" w14:textId="676FF421">
                  <w:pPr>
                    <w:rPr>
                      <w:rFonts w:ascii="黑体" w:eastAsia="黑体"/>
                      <w:sz w:val="24"/>
                    </w:rPr>
                  </w:pPr>
                  <w:r w:rsidRPr="00AA0ADC">
                    <w:rPr>
                      <w:rFonts w:ascii="黑体" w:eastAsia="黑体" w:hint="eastAsia"/>
                      <w:sz w:val="24"/>
                    </w:rPr>
                    <w:t>沙拉酱项目可行性分析报告 全文共7页，当前为第7页。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28"/>
          <w:szCs w:val="28"/>
        </w:rPr>
        <w:t>上年度主要经济指标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3350"/>
        <w:gridCol w:w="3350"/>
        <w:gridCol w:w="3350"/>
      </w:tblGrid>
      <w:tr w14:paraId="091497C2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3350" w:type="dxa"/>
            <w:shd w:val="clear" w:color="auto" w:fill="auto"/>
            <w:vAlign w:val="center"/>
          </w:tcPr>
          <w:p w:rsidR="00AA0ADC" w:rsidRPr="00722E63" w14:paraId="5759115B" w14:textId="77777777">
            <w:r w:rsidRPr="00722E63">
              <w:rPr>
                <w:rFonts w:ascii="仿宋" w:eastAsia="仿宋" w:hAnsi="仿宋"/>
                <w:b/>
              </w:rPr>
              <w:t>项目</w:t>
            </w:r>
          </w:p>
        </w:tc>
        <w:tc>
          <w:tcPr>
            <w:tcW w:w="3350" w:type="dxa"/>
            <w:shd w:val="clear" w:color="auto" w:fill="auto"/>
            <w:vAlign w:val="center"/>
          </w:tcPr>
          <w:p w:rsidR="00AA0ADC" w:rsidRPr="00722E63" w14:paraId="0EFBA388" w14:textId="77777777">
            <w:r w:rsidRPr="00722E63">
              <w:rPr>
                <w:rFonts w:ascii="仿宋" w:eastAsia="仿宋" w:hAnsi="仿宋"/>
                <w:b/>
              </w:rPr>
              <w:t>单位</w:t>
            </w:r>
          </w:p>
        </w:tc>
        <w:tc>
          <w:tcPr>
            <w:tcW w:w="3350" w:type="dxa"/>
            <w:shd w:val="clear" w:color="auto" w:fill="auto"/>
            <w:vAlign w:val="center"/>
          </w:tcPr>
          <w:p w:rsidR="00AA0ADC" w:rsidRPr="00722E63" w14:paraId="66BD5938" w14:textId="77777777">
            <w:pPr>
              <w:jc w:val="center"/>
            </w:pPr>
            <w:r w:rsidRPr="00722E63">
              <w:rPr>
                <w:rFonts w:ascii="仿宋" w:eastAsia="仿宋" w:hAnsi="仿宋"/>
                <w:b/>
              </w:rPr>
              <w:t>指标</w:t>
            </w:r>
          </w:p>
        </w:tc>
      </w:tr>
    </w:tbl>
    <w:p>
      <w:r>
        <w:br/>
      </w:r>
      <w:r>
        <w:br/>
      </w:r>
    </w:p>
    <w:p>
      <w:pPr>
        <w:spacing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https://d.book118.com/757024152155006026</w:t>
        </w:r>
      </w:hyperlink>
    </w:p>
    <w:p/>
    <w:sectPr w:rsidSect="00A02F19">
      <w:headerReference w:type="default" r:id="rId11"/>
      <w:type w:val="nextPage"/>
      <w:pgSz w:w="12240" w:h="15840"/>
      <w:pgMar w:top="1800" w:right="1200" w:bottom="1200" w:left="1200" w:header="720" w:footer="720" w:gutter="0"/>
      <w:pgNumType w:start="7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A0ADC" w:rsidP="00AA0ADC" w14:paraId="2463AC04" w14:textId="447533A8">
    <w:pPr>
      <w:jc w:val="center"/>
    </w:pPr>
    <w:r>
      <w:rPr>
        <w:rFonts w:ascii="仿宋" w:eastAsia="仿宋" w:hAnsi="仿宋" w:cs="仿宋" w:hint="eastAsia"/>
        <w:sz w:val="20"/>
        <w:szCs w:val="20"/>
      </w:rPr>
      <w:t>沙拉酱项目可行性分析报告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A0ADC" w:rsidP="00AA0ADC" w14:textId="447533A8">
    <w:pPr>
      <w:jc w:val="center"/>
    </w:pPr>
    <w:r>
      <w:rPr>
        <w:rFonts w:ascii="仿宋" w:eastAsia="仿宋" w:hAnsi="仿宋" w:cs="仿宋" w:hint="eastAsia"/>
        <w:sz w:val="20"/>
        <w:szCs w:val="20"/>
      </w:rPr>
      <w:t>沙拉酱项目可行性分析报告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A0ADC" w:rsidP="00AA0ADC" w14:textId="447533A8">
    <w:pPr>
      <w:jc w:val="center"/>
    </w:pPr>
    <w:r>
      <w:rPr>
        <w:rFonts w:ascii="仿宋" w:eastAsia="仿宋" w:hAnsi="仿宋" w:cs="仿宋" w:hint="eastAsia"/>
        <w:sz w:val="20"/>
        <w:szCs w:val="20"/>
      </w:rPr>
      <w:t>沙拉酱项目可行性分析报告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A0ADC" w:rsidP="00AA0ADC" w14:textId="447533A8">
    <w:pPr>
      <w:jc w:val="center"/>
    </w:pPr>
    <w:r>
      <w:rPr>
        <w:rFonts w:ascii="仿宋" w:eastAsia="仿宋" w:hAnsi="仿宋" w:cs="仿宋" w:hint="eastAsia"/>
        <w:sz w:val="20"/>
        <w:szCs w:val="20"/>
      </w:rPr>
      <w:t>沙拉酱项目可行性分析报告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A0ADC" w:rsidP="00AA0ADC" w14:textId="447533A8">
    <w:pPr>
      <w:jc w:val="center"/>
    </w:pPr>
    <w:r>
      <w:rPr>
        <w:rFonts w:ascii="仿宋" w:eastAsia="仿宋" w:hAnsi="仿宋" w:cs="仿宋" w:hint="eastAsia"/>
        <w:sz w:val="20"/>
        <w:szCs w:val="20"/>
      </w:rPr>
      <w:t>沙拉酱项目可行性分析报告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A0ADC" w:rsidP="00AA0ADC" w14:textId="447533A8">
    <w:pPr>
      <w:jc w:val="center"/>
    </w:pPr>
    <w:r>
      <w:rPr>
        <w:rFonts w:ascii="仿宋" w:eastAsia="仿宋" w:hAnsi="仿宋" w:cs="仿宋" w:hint="eastAsia"/>
        <w:sz w:val="20"/>
        <w:szCs w:val="20"/>
      </w:rPr>
      <w:t>沙拉酱项目可行性分析报告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A0ADC" w:rsidP="00AA0ADC" w14:textId="447533A8">
    <w:pPr>
      <w:jc w:val="center"/>
    </w:pPr>
    <w:r>
      <w:rPr>
        <w:rFonts w:ascii="仿宋" w:eastAsia="仿宋" w:hAnsi="仿宋" w:cs="仿宋" w:hint="eastAsia"/>
        <w:sz w:val="20"/>
        <w:szCs w:val="20"/>
      </w:rPr>
      <w:t>沙拉酱项目可行性分析报告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709F643A"/>
    <w:multiLevelType w:val="hybridMultilevel"/>
    <w:tmpl w:val="B8B464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669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AF2"/>
    <w:rsid w:val="00722E63"/>
    <w:rsid w:val="00A02F19"/>
    <w:rsid w:val="00A94AF2"/>
    <w:rsid w:val="00AA0ADC"/>
  </w:rsids>
  <m:mathPr>
    <m:mathFont m:val="Cambria Math"/>
  </m:mathPr>
  <w:themeFontLang w:val="en-US" w:eastAsia="zh-CN" w:bidi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510419"/>
  <w15:docId w15:val="{F276AA8D-592F-40B4-B079-EE5EEF576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="宋体" w:ascii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line="4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2F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A0AD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A0AD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A0AD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A0A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7024152155006026" TargetMode="External" /><Relationship Id="rId11" Type="http://schemas.openxmlformats.org/officeDocument/2006/relationships/header" Target="header7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MS P????"/>
        <a:font script="Hang" typeface="?? ??"/>
        <a:font script="Hans" typeface="??"/>
        <a:font script="Hant" typeface="????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MS P????"/>
        <a:font script="Hang" typeface="?? ??"/>
        <a:font script="Hans" typeface="??"/>
        <a:font script="Hant" typeface="????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9695</Words>
  <Characters>11248</Characters>
  <Application>Microsoft Office Word</Application>
  <DocSecurity>0</DocSecurity>
  <Lines>865</Lines>
  <Paragraphs>910</Paragraphs>
  <ScaleCrop>false</ScaleCrop>
  <Company>officegen</Company>
  <LinksUpToDate>false</LinksUpToDate>
  <CharactersWithSpaces>20033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2024-01-05T09:27:00Z</dcterms:created>
  <dcterms:modified xsi:type="dcterms:W3CDTF">2024-01-05T09:27:00Z</dcterms:modified>
</cp:coreProperties>
</file>