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气体分离设备行业相关公司设立可行性研究报告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_Toc16989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eastAsia="zh-CN"/>
          </w:rPr>
          <w:t>三、气体分离设备项目概况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(二)、气体分离设备项目提出的理由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(三)、气体分离设备项目选址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(六)、气体分离设备项目投资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(七)、气体分离设备项目进度规划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(九)、气体分离设备项目综合评价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_Toc20051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_Toc22045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(一)、气体分离设备项目进度安排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(二)、气体分离设备项目实施保障措施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_Toc22309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十、气体分离设备项目经济效益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_Toc4748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(三)、气体分离设备项目盈利能力分析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_Toc14883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十一、气体分离设备项目总结分析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_Toc27239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(二)、合作气体分离设备项目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6" w:history="1">
        <w:r>
          <w:rPr>
            <w:rFonts w:ascii="仿宋" w:eastAsia="仿宋" w:hAnsi="仿宋" w:cs="仿宋" w:hint="eastAsia"/>
            <w:lang w:eastAsia="zh-CN"/>
          </w:rPr>
          <w:t>(一)、社会责任气体分离设备项目</w:t>
        </w:r>
        <w:r>
          <w:tab/>
        </w:r>
        <w:r>
          <w:fldChar w:fldCharType="begin"/>
        </w:r>
        <w:r>
          <w:instrText xml:space="preserve"> PAGEREF _Toc19146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4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3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7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https://d.book118.com/757036023016006034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气体分离设备行业相关公司设立可行性研究报告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7036023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2024-01-04T08:19:00Z</dcterms:created>
  <dcterms:modified xsi:type="dcterms:W3CDTF">2024-01-04T08:19:42Z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9574EFDBD8DB4A5C821C1D3F78DEC403_11</vt:lpwstr>
  </property>
  <property fmtid="{D5CDD505-2E9C-101B-9397-08002B2CF9AE}" pid="3" name="KSOProductBuildVer">
    <vt:lpwstr>2052-12.1.0.16120</vt:lpwstr>
  </property>
</Properties>
</file>