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精密车床相关行业公司成立报告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_Toc17021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eastAsia="zh-CN"/>
          </w:rPr>
          <w:t>(七)、精密车床项目建设必要性分析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三、精密车床项目概况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(二)、精密车床项目提出的理由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(三)、精密车床项目选址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(六)、精密车床项目投资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(七)、精密车床项目进度规划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(九)、精密车床项目综合评价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(一)、精密车床项目选址原则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(五)、精密车床项目选址综合评价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六、精密车床项目风险分析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(一)、精密车床项目风险分析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(二)、精密车床项目风险对策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1" w:history="1">
        <w:r>
          <w:rPr>
            <w:rFonts w:ascii="仿宋" w:eastAsia="仿宋" w:hAnsi="仿宋" w:cs="仿宋" w:hint="eastAsia"/>
            <w:lang w:eastAsia="zh-CN"/>
          </w:rPr>
          <w:t>(一)、精密车床项目背景分析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57" w:history="1">
        <w:r>
          <w:rPr>
            <w:rFonts w:ascii="仿宋" w:eastAsia="仿宋" w:hAnsi="仿宋" w:cs="仿宋" w:hint="eastAsia"/>
            <w:lang w:eastAsia="zh-CN"/>
          </w:rPr>
          <w:t>(二)、精密车床项目建设必要性分析</w:t>
        </w:r>
        <w:r>
          <w:tab/>
        </w:r>
        <w:r>
          <w:fldChar w:fldCharType="begin"/>
        </w:r>
        <w:r>
          <w:instrText xml:space="preserve"> PAGEREF _Toc14657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_Toc9430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九、精密车床项目经济效益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6" w:history="1">
        <w:r>
          <w:rPr>
            <w:rFonts w:ascii="仿宋" w:eastAsia="仿宋" w:hAnsi="仿宋" w:cs="仿宋" w:hint="eastAsia"/>
            <w:lang w:eastAsia="zh-CN"/>
          </w:rPr>
          <w:t>(三)、精密车床项目盈利能力分析</w:t>
        </w:r>
        <w:r>
          <w:tab/>
        </w:r>
        <w:r>
          <w:fldChar w:fldCharType="begin"/>
        </w:r>
        <w:r>
          <w:instrText xml:space="preserve"> PAGEREF _Toc22156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(一)、精密车床项目进度安排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(二)、精密车床项目实施保障措施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十一、精密车床项目总结分析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7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2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https://d.book118.com/757046104160006042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精密车床相关行业公司成立报告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精密车床相关行业公司成立报告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精密车床相关行业公司成立报告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精密车床相关行业公司成立报告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精密车床相关行业公司成立报告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04610416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2024-02-05T02:37:00Z</dcterms:created>
  <dcterms:modified xsi:type="dcterms:W3CDTF">2024-02-05T02:38:04Z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A7EF71521456446A9FEC3E2EA05DDD9F_11</vt:lpwstr>
  </property>
  <property fmtid="{D5CDD505-2E9C-101B-9397-08002B2CF9AE}" pid="3" name="KSOProductBuildVer">
    <vt:lpwstr>2052-12.1.0.16250</vt:lpwstr>
  </property>
</Properties>
</file>