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煤焦油深加工产品项目计划设计方案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741" w:history="1">
        <w:r>
          <w:rPr>
            <w:rFonts w:ascii="仿宋" w:eastAsia="仿宋" w:hAnsi="仿宋" w:cs="仿宋" w:hint="eastAsia"/>
            <w:lang w:eastAsia="zh-CN"/>
          </w:rPr>
          <w:t>概论</w:t>
        </w:r>
        <w:r>
          <w:tab/>
        </w:r>
        <w:r>
          <w:fldChar w:fldCharType="begin"/>
        </w:r>
        <w:r>
          <w:instrText xml:space="preserve"> PAGEREF _Toc11741 \h </w:instrText>
        </w:r>
        <w:r>
          <w:fldChar w:fldCharType="separate"/>
        </w:r>
        <w:r>
          <w:t>3</w:t>
        </w:r>
        <w:r>
          <w:fldChar w:fldCharType="end"/>
        </w:r>
      </w:hyperlink>
    </w:p>
    <w:p>
      <w:pPr>
        <w:pStyle w:val="TOC1"/>
        <w:tabs>
          <w:tab w:val="right" w:leader="dot" w:pos="8306"/>
        </w:tabs>
      </w:pPr>
      <w:hyperlink w:anchor="_Toc28419" w:history="1">
        <w:r>
          <w:rPr>
            <w:rFonts w:ascii="仿宋" w:eastAsia="仿宋" w:hAnsi="仿宋" w:cs="仿宋" w:hint="eastAsia"/>
            <w:lang w:eastAsia="zh-CN"/>
          </w:rPr>
          <w:t>一、煤焦油深加工产品项目绩效评估</w:t>
        </w:r>
        <w:r>
          <w:tab/>
        </w:r>
        <w:r>
          <w:fldChar w:fldCharType="begin"/>
        </w:r>
        <w:r>
          <w:instrText xml:space="preserve"> PAGEREF _Toc28419 \h </w:instrText>
        </w:r>
        <w:r>
          <w:fldChar w:fldCharType="separate"/>
        </w:r>
        <w:r>
          <w:t>3</w:t>
        </w:r>
        <w:r>
          <w:fldChar w:fldCharType="end"/>
        </w:r>
      </w:hyperlink>
    </w:p>
    <w:p>
      <w:pPr>
        <w:pStyle w:val="TOC2"/>
        <w:tabs>
          <w:tab w:val="right" w:leader="dot" w:pos="8306"/>
        </w:tabs>
      </w:pPr>
      <w:hyperlink w:anchor="_Toc11086" w:history="1">
        <w:r>
          <w:rPr>
            <w:rFonts w:ascii="仿宋" w:eastAsia="仿宋" w:hAnsi="仿宋" w:cs="仿宋" w:hint="eastAsia"/>
            <w:lang w:eastAsia="zh-CN"/>
          </w:rPr>
          <w:t>(一)、绩效评估指标</w:t>
        </w:r>
        <w:r>
          <w:tab/>
        </w:r>
        <w:r>
          <w:fldChar w:fldCharType="begin"/>
        </w:r>
        <w:r>
          <w:instrText xml:space="preserve"> PAGEREF _Toc11086 \h </w:instrText>
        </w:r>
        <w:r>
          <w:fldChar w:fldCharType="separate"/>
        </w:r>
        <w:r>
          <w:t>3</w:t>
        </w:r>
        <w:r>
          <w:fldChar w:fldCharType="end"/>
        </w:r>
      </w:hyperlink>
    </w:p>
    <w:p>
      <w:pPr>
        <w:pStyle w:val="TOC2"/>
        <w:tabs>
          <w:tab w:val="right" w:leader="dot" w:pos="8306"/>
        </w:tabs>
      </w:pPr>
      <w:hyperlink w:anchor="_Toc21738" w:history="1">
        <w:r>
          <w:rPr>
            <w:rFonts w:ascii="仿宋" w:eastAsia="仿宋" w:hAnsi="仿宋" w:cs="仿宋" w:hint="eastAsia"/>
            <w:lang w:eastAsia="zh-CN"/>
          </w:rPr>
          <w:t>(二)、绩效评估方法</w:t>
        </w:r>
        <w:r>
          <w:tab/>
        </w:r>
        <w:r>
          <w:fldChar w:fldCharType="begin"/>
        </w:r>
        <w:r>
          <w:instrText xml:space="preserve"> PAGEREF _Toc21738 \h </w:instrText>
        </w:r>
        <w:r>
          <w:fldChar w:fldCharType="separate"/>
        </w:r>
        <w:r>
          <w:t>4</w:t>
        </w:r>
        <w:r>
          <w:fldChar w:fldCharType="end"/>
        </w:r>
      </w:hyperlink>
    </w:p>
    <w:p>
      <w:pPr>
        <w:pStyle w:val="TOC2"/>
        <w:tabs>
          <w:tab w:val="right" w:leader="dot" w:pos="8306"/>
        </w:tabs>
      </w:pPr>
      <w:hyperlink w:anchor="_Toc25488" w:history="1">
        <w:r>
          <w:rPr>
            <w:rFonts w:ascii="仿宋" w:eastAsia="仿宋" w:hAnsi="仿宋" w:cs="仿宋" w:hint="eastAsia"/>
            <w:lang w:eastAsia="zh-CN"/>
          </w:rPr>
          <w:t>(三)、绩效评估周期</w:t>
        </w:r>
        <w:r>
          <w:tab/>
        </w:r>
        <w:r>
          <w:fldChar w:fldCharType="begin"/>
        </w:r>
        <w:r>
          <w:instrText xml:space="preserve"> PAGEREF _Toc25488 \h </w:instrText>
        </w:r>
        <w:r>
          <w:fldChar w:fldCharType="separate"/>
        </w:r>
        <w:r>
          <w:t>5</w:t>
        </w:r>
        <w:r>
          <w:fldChar w:fldCharType="end"/>
        </w:r>
      </w:hyperlink>
    </w:p>
    <w:p>
      <w:pPr>
        <w:pStyle w:val="TOC1"/>
        <w:tabs>
          <w:tab w:val="right" w:leader="dot" w:pos="8306"/>
        </w:tabs>
      </w:pPr>
      <w:hyperlink w:anchor="_Toc24674" w:history="1">
        <w:r>
          <w:rPr>
            <w:rFonts w:ascii="仿宋" w:eastAsia="仿宋" w:hAnsi="仿宋" w:cs="仿宋" w:hint="eastAsia"/>
            <w:lang w:eastAsia="zh-CN"/>
          </w:rPr>
          <w:t>二、煤焦油深加工产品项目建设背景及必要性分析</w:t>
        </w:r>
        <w:r>
          <w:tab/>
        </w:r>
        <w:r>
          <w:fldChar w:fldCharType="begin"/>
        </w:r>
        <w:r>
          <w:instrText xml:space="preserve"> PAGEREF _Toc24674 \h </w:instrText>
        </w:r>
        <w:r>
          <w:fldChar w:fldCharType="separate"/>
        </w:r>
        <w:r>
          <w:t>6</w:t>
        </w:r>
        <w:r>
          <w:fldChar w:fldCharType="end"/>
        </w:r>
      </w:hyperlink>
    </w:p>
    <w:p>
      <w:pPr>
        <w:pStyle w:val="TOC2"/>
        <w:tabs>
          <w:tab w:val="right" w:leader="dot" w:pos="8306"/>
        </w:tabs>
      </w:pPr>
      <w:hyperlink w:anchor="_Toc19982" w:history="1">
        <w:r>
          <w:rPr>
            <w:rFonts w:ascii="仿宋" w:eastAsia="仿宋" w:hAnsi="仿宋" w:cs="仿宋" w:hint="eastAsia"/>
            <w:lang w:eastAsia="zh-CN"/>
          </w:rPr>
          <w:t>(一)、煤焦油深加工产品项目背景分析</w:t>
        </w:r>
        <w:r>
          <w:tab/>
        </w:r>
        <w:r>
          <w:fldChar w:fldCharType="begin"/>
        </w:r>
        <w:r>
          <w:instrText xml:space="preserve"> PAGEREF _Toc19982 \h </w:instrText>
        </w:r>
        <w:r>
          <w:fldChar w:fldCharType="separate"/>
        </w:r>
        <w:r>
          <w:t>6</w:t>
        </w:r>
        <w:r>
          <w:fldChar w:fldCharType="end"/>
        </w:r>
      </w:hyperlink>
    </w:p>
    <w:p>
      <w:pPr>
        <w:pStyle w:val="TOC2"/>
        <w:tabs>
          <w:tab w:val="right" w:leader="dot" w:pos="8306"/>
        </w:tabs>
      </w:pPr>
      <w:hyperlink w:anchor="_Toc32086" w:history="1">
        <w:r>
          <w:rPr>
            <w:rFonts w:ascii="仿宋" w:eastAsia="仿宋" w:hAnsi="仿宋" w:cs="仿宋" w:hint="eastAsia"/>
            <w:lang w:eastAsia="zh-CN"/>
          </w:rPr>
          <w:t>(二)、煤焦油深加工产品项目建设必要性分析</w:t>
        </w:r>
        <w:r>
          <w:tab/>
        </w:r>
        <w:r>
          <w:fldChar w:fldCharType="begin"/>
        </w:r>
        <w:r>
          <w:instrText xml:space="preserve"> PAGEREF _Toc32086 \h </w:instrText>
        </w:r>
        <w:r>
          <w:fldChar w:fldCharType="separate"/>
        </w:r>
        <w:r>
          <w:t>8</w:t>
        </w:r>
        <w:r>
          <w:fldChar w:fldCharType="end"/>
        </w:r>
      </w:hyperlink>
    </w:p>
    <w:p>
      <w:pPr>
        <w:pStyle w:val="TOC1"/>
        <w:tabs>
          <w:tab w:val="right" w:leader="dot" w:pos="8306"/>
        </w:tabs>
      </w:pPr>
      <w:hyperlink w:anchor="_Toc22666" w:history="1">
        <w:r>
          <w:rPr>
            <w:rFonts w:ascii="仿宋" w:eastAsia="仿宋" w:hAnsi="仿宋" w:cs="仿宋" w:hint="eastAsia"/>
            <w:lang w:eastAsia="zh-CN"/>
          </w:rPr>
          <w:t>三、产品规划分析</w:t>
        </w:r>
        <w:r>
          <w:tab/>
        </w:r>
        <w:r>
          <w:fldChar w:fldCharType="begin"/>
        </w:r>
        <w:r>
          <w:instrText xml:space="preserve"> PAGEREF _Toc22666 \h </w:instrText>
        </w:r>
        <w:r>
          <w:fldChar w:fldCharType="separate"/>
        </w:r>
        <w:r>
          <w:t>9</w:t>
        </w:r>
        <w:r>
          <w:fldChar w:fldCharType="end"/>
        </w:r>
      </w:hyperlink>
    </w:p>
    <w:p>
      <w:pPr>
        <w:pStyle w:val="TOC2"/>
        <w:tabs>
          <w:tab w:val="right" w:leader="dot" w:pos="8306"/>
        </w:tabs>
      </w:pPr>
      <w:hyperlink w:anchor="_Toc22008" w:history="1">
        <w:r>
          <w:rPr>
            <w:rFonts w:ascii="仿宋" w:eastAsia="仿宋" w:hAnsi="仿宋" w:cs="仿宋" w:hint="eastAsia"/>
            <w:lang w:eastAsia="zh-CN"/>
          </w:rPr>
          <w:t>(一)、产品规划</w:t>
        </w:r>
        <w:r>
          <w:tab/>
        </w:r>
        <w:r>
          <w:fldChar w:fldCharType="begin"/>
        </w:r>
        <w:r>
          <w:instrText xml:space="preserve"> PAGEREF _Toc22008 \h </w:instrText>
        </w:r>
        <w:r>
          <w:fldChar w:fldCharType="separate"/>
        </w:r>
        <w:r>
          <w:t>9</w:t>
        </w:r>
        <w:r>
          <w:fldChar w:fldCharType="end"/>
        </w:r>
      </w:hyperlink>
    </w:p>
    <w:p>
      <w:pPr>
        <w:pStyle w:val="TOC2"/>
        <w:tabs>
          <w:tab w:val="right" w:leader="dot" w:pos="8306"/>
        </w:tabs>
      </w:pPr>
      <w:hyperlink w:anchor="_Toc4607" w:history="1">
        <w:r>
          <w:rPr>
            <w:rFonts w:ascii="仿宋" w:eastAsia="仿宋" w:hAnsi="仿宋" w:cs="仿宋" w:hint="eastAsia"/>
            <w:lang w:eastAsia="zh-CN"/>
          </w:rPr>
          <w:t>(二)、建设规模</w:t>
        </w:r>
        <w:r>
          <w:tab/>
        </w:r>
        <w:r>
          <w:fldChar w:fldCharType="begin"/>
        </w:r>
        <w:r>
          <w:instrText xml:space="preserve"> PAGEREF _Toc4607 \h </w:instrText>
        </w:r>
        <w:r>
          <w:fldChar w:fldCharType="separate"/>
        </w:r>
        <w:r>
          <w:t>10</w:t>
        </w:r>
        <w:r>
          <w:fldChar w:fldCharType="end"/>
        </w:r>
      </w:hyperlink>
    </w:p>
    <w:p>
      <w:pPr>
        <w:pStyle w:val="TOC1"/>
        <w:tabs>
          <w:tab w:val="right" w:leader="dot" w:pos="8306"/>
        </w:tabs>
      </w:pPr>
      <w:hyperlink w:anchor="_Toc23713" w:history="1">
        <w:r>
          <w:rPr>
            <w:rFonts w:ascii="仿宋" w:eastAsia="仿宋" w:hAnsi="仿宋" w:cs="仿宋" w:hint="eastAsia"/>
            <w:lang w:eastAsia="zh-CN"/>
          </w:rPr>
          <w:t>四、煤焦油深加工产品项目概论</w:t>
        </w:r>
        <w:r>
          <w:tab/>
        </w:r>
        <w:r>
          <w:fldChar w:fldCharType="begin"/>
        </w:r>
        <w:r>
          <w:instrText xml:space="preserve"> PAGEREF _Toc23713 \h </w:instrText>
        </w:r>
        <w:r>
          <w:fldChar w:fldCharType="separate"/>
        </w:r>
        <w:r>
          <w:t>11</w:t>
        </w:r>
        <w:r>
          <w:fldChar w:fldCharType="end"/>
        </w:r>
      </w:hyperlink>
    </w:p>
    <w:p>
      <w:pPr>
        <w:pStyle w:val="TOC2"/>
        <w:tabs>
          <w:tab w:val="right" w:leader="dot" w:pos="8306"/>
        </w:tabs>
      </w:pPr>
      <w:hyperlink w:anchor="_Toc28040" w:history="1">
        <w:r>
          <w:rPr>
            <w:rFonts w:ascii="仿宋" w:eastAsia="仿宋" w:hAnsi="仿宋" w:cs="仿宋" w:hint="eastAsia"/>
            <w:lang w:eastAsia="zh-CN"/>
          </w:rPr>
          <w:t>(一)、煤焦油深加工产品项目概况</w:t>
        </w:r>
        <w:r>
          <w:tab/>
        </w:r>
        <w:r>
          <w:fldChar w:fldCharType="begin"/>
        </w:r>
        <w:r>
          <w:instrText xml:space="preserve"> PAGEREF _Toc28040 \h </w:instrText>
        </w:r>
        <w:r>
          <w:fldChar w:fldCharType="separate"/>
        </w:r>
        <w:r>
          <w:t>11</w:t>
        </w:r>
        <w:r>
          <w:fldChar w:fldCharType="end"/>
        </w:r>
      </w:hyperlink>
    </w:p>
    <w:p>
      <w:pPr>
        <w:pStyle w:val="TOC2"/>
        <w:tabs>
          <w:tab w:val="right" w:leader="dot" w:pos="8306"/>
        </w:tabs>
      </w:pPr>
      <w:hyperlink w:anchor="_Toc24989" w:history="1">
        <w:r>
          <w:rPr>
            <w:rFonts w:ascii="仿宋" w:eastAsia="仿宋" w:hAnsi="仿宋" w:cs="仿宋" w:hint="eastAsia"/>
            <w:lang w:eastAsia="zh-CN"/>
          </w:rPr>
          <w:t>(二)、煤焦油深加工产品项目目标</w:t>
        </w:r>
        <w:r>
          <w:tab/>
        </w:r>
        <w:r>
          <w:fldChar w:fldCharType="begin"/>
        </w:r>
        <w:r>
          <w:instrText xml:space="preserve"> PAGEREF _Toc24989 \h </w:instrText>
        </w:r>
        <w:r>
          <w:fldChar w:fldCharType="separate"/>
        </w:r>
        <w:r>
          <w:t>14</w:t>
        </w:r>
        <w:r>
          <w:fldChar w:fldCharType="end"/>
        </w:r>
      </w:hyperlink>
    </w:p>
    <w:p>
      <w:pPr>
        <w:pStyle w:val="TOC2"/>
        <w:tabs>
          <w:tab w:val="right" w:leader="dot" w:pos="8306"/>
        </w:tabs>
      </w:pPr>
      <w:hyperlink w:anchor="_Toc25967" w:history="1">
        <w:r>
          <w:rPr>
            <w:rFonts w:ascii="仿宋" w:eastAsia="仿宋" w:hAnsi="仿宋" w:cs="仿宋" w:hint="eastAsia"/>
            <w:lang w:eastAsia="zh-CN"/>
          </w:rPr>
          <w:t>(三)、煤焦油深加工产品项目提出的理由</w:t>
        </w:r>
        <w:r>
          <w:tab/>
        </w:r>
        <w:r>
          <w:fldChar w:fldCharType="begin"/>
        </w:r>
        <w:r>
          <w:instrText xml:space="preserve"> PAGEREF _Toc25967 \h </w:instrText>
        </w:r>
        <w:r>
          <w:fldChar w:fldCharType="separate"/>
        </w:r>
        <w:r>
          <w:t>15</w:t>
        </w:r>
        <w:r>
          <w:fldChar w:fldCharType="end"/>
        </w:r>
      </w:hyperlink>
    </w:p>
    <w:p>
      <w:pPr>
        <w:pStyle w:val="TOC2"/>
        <w:tabs>
          <w:tab w:val="right" w:leader="dot" w:pos="8306"/>
        </w:tabs>
      </w:pPr>
      <w:hyperlink w:anchor="_Toc31863" w:history="1">
        <w:r>
          <w:rPr>
            <w:rFonts w:ascii="仿宋" w:eastAsia="仿宋" w:hAnsi="仿宋" w:cs="仿宋" w:hint="eastAsia"/>
            <w:lang w:eastAsia="zh-CN"/>
          </w:rPr>
          <w:t>(四)、煤焦油深加工产品项目意义</w:t>
        </w:r>
        <w:r>
          <w:tab/>
        </w:r>
        <w:r>
          <w:fldChar w:fldCharType="begin"/>
        </w:r>
        <w:r>
          <w:instrText xml:space="preserve"> PAGEREF _Toc31863 \h </w:instrText>
        </w:r>
        <w:r>
          <w:fldChar w:fldCharType="separate"/>
        </w:r>
        <w:r>
          <w:t>17</w:t>
        </w:r>
        <w:r>
          <w:fldChar w:fldCharType="end"/>
        </w:r>
      </w:hyperlink>
    </w:p>
    <w:p>
      <w:pPr>
        <w:pStyle w:val="TOC2"/>
        <w:tabs>
          <w:tab w:val="right" w:leader="dot" w:pos="8306"/>
        </w:tabs>
      </w:pPr>
      <w:hyperlink w:anchor="_Toc18391" w:history="1">
        <w:r>
          <w:rPr>
            <w:rFonts w:ascii="仿宋" w:eastAsia="仿宋" w:hAnsi="仿宋" w:cs="仿宋" w:hint="eastAsia"/>
            <w:lang w:eastAsia="zh-CN"/>
          </w:rPr>
          <w:t>(五)、煤焦油深加工产品项目背景</w:t>
        </w:r>
        <w:r>
          <w:tab/>
        </w:r>
        <w:r>
          <w:fldChar w:fldCharType="begin"/>
        </w:r>
        <w:r>
          <w:instrText xml:space="preserve"> PAGEREF _Toc18391 \h </w:instrText>
        </w:r>
        <w:r>
          <w:fldChar w:fldCharType="separate"/>
        </w:r>
        <w:r>
          <w:t>17</w:t>
        </w:r>
        <w:r>
          <w:fldChar w:fldCharType="end"/>
        </w:r>
      </w:hyperlink>
    </w:p>
    <w:p>
      <w:pPr>
        <w:pStyle w:val="TOC1"/>
        <w:tabs>
          <w:tab w:val="right" w:leader="dot" w:pos="8306"/>
        </w:tabs>
      </w:pPr>
      <w:hyperlink w:anchor="_Toc3199" w:history="1">
        <w:r>
          <w:rPr>
            <w:rFonts w:ascii="仿宋" w:eastAsia="仿宋" w:hAnsi="仿宋" w:cs="仿宋" w:hint="eastAsia"/>
            <w:lang w:eastAsia="zh-CN"/>
          </w:rPr>
          <w:t>五、煤焦油深加工产品项目文档管理</w:t>
        </w:r>
        <w:r>
          <w:tab/>
        </w:r>
        <w:r>
          <w:fldChar w:fldCharType="begin"/>
        </w:r>
        <w:r>
          <w:instrText xml:space="preserve"> PAGEREF _Toc3199 \h </w:instrText>
        </w:r>
        <w:r>
          <w:fldChar w:fldCharType="separate"/>
        </w:r>
        <w:r>
          <w:t>18</w:t>
        </w:r>
        <w:r>
          <w:fldChar w:fldCharType="end"/>
        </w:r>
      </w:hyperlink>
    </w:p>
    <w:p>
      <w:pPr>
        <w:pStyle w:val="TOC2"/>
        <w:tabs>
          <w:tab w:val="right" w:leader="dot" w:pos="8306"/>
        </w:tabs>
      </w:pPr>
      <w:hyperlink w:anchor="_Toc416" w:history="1">
        <w:r>
          <w:rPr>
            <w:rFonts w:ascii="仿宋" w:eastAsia="仿宋" w:hAnsi="仿宋" w:cs="仿宋" w:hint="eastAsia"/>
            <w:lang w:eastAsia="zh-CN"/>
          </w:rPr>
          <w:t>(一)、文档编制与审查</w:t>
        </w:r>
        <w:r>
          <w:tab/>
        </w:r>
        <w:r>
          <w:fldChar w:fldCharType="begin"/>
        </w:r>
        <w:r>
          <w:instrText xml:space="preserve"> PAGEREF _Toc416 \h </w:instrText>
        </w:r>
        <w:r>
          <w:fldChar w:fldCharType="separate"/>
        </w:r>
        <w:r>
          <w:t>18</w:t>
        </w:r>
        <w:r>
          <w:fldChar w:fldCharType="end"/>
        </w:r>
      </w:hyperlink>
    </w:p>
    <w:p>
      <w:pPr>
        <w:pStyle w:val="TOC2"/>
        <w:tabs>
          <w:tab w:val="right" w:leader="dot" w:pos="8306"/>
        </w:tabs>
      </w:pPr>
      <w:hyperlink w:anchor="_Toc29343" w:history="1">
        <w:r>
          <w:rPr>
            <w:rFonts w:ascii="仿宋" w:eastAsia="仿宋" w:hAnsi="仿宋" w:cs="仿宋" w:hint="eastAsia"/>
            <w:lang w:eastAsia="zh-CN"/>
          </w:rPr>
          <w:t>(二)、文档发布与分发</w:t>
        </w:r>
        <w:r>
          <w:tab/>
        </w:r>
        <w:r>
          <w:fldChar w:fldCharType="begin"/>
        </w:r>
        <w:r>
          <w:instrText xml:space="preserve"> PAGEREF _Toc29343 \h </w:instrText>
        </w:r>
        <w:r>
          <w:fldChar w:fldCharType="separate"/>
        </w:r>
        <w:r>
          <w:t>20</w:t>
        </w:r>
        <w:r>
          <w:fldChar w:fldCharType="end"/>
        </w:r>
      </w:hyperlink>
    </w:p>
    <w:p>
      <w:pPr>
        <w:pStyle w:val="TOC2"/>
        <w:tabs>
          <w:tab w:val="right" w:leader="dot" w:pos="8306"/>
        </w:tabs>
      </w:pPr>
      <w:hyperlink w:anchor="_Toc8561" w:history="1">
        <w:r>
          <w:rPr>
            <w:rFonts w:ascii="仿宋" w:eastAsia="仿宋" w:hAnsi="仿宋" w:cs="仿宋" w:hint="eastAsia"/>
            <w:lang w:eastAsia="zh-CN"/>
          </w:rPr>
          <w:t>(三)、文档存档与归档</w:t>
        </w:r>
        <w:r>
          <w:tab/>
        </w:r>
        <w:r>
          <w:fldChar w:fldCharType="begin"/>
        </w:r>
        <w:r>
          <w:instrText xml:space="preserve"> PAGEREF _Toc8561 \h </w:instrText>
        </w:r>
        <w:r>
          <w:fldChar w:fldCharType="separate"/>
        </w:r>
        <w:r>
          <w:t>21</w:t>
        </w:r>
        <w:r>
          <w:fldChar w:fldCharType="end"/>
        </w:r>
      </w:hyperlink>
    </w:p>
    <w:p>
      <w:pPr>
        <w:pStyle w:val="TOC1"/>
        <w:tabs>
          <w:tab w:val="right" w:leader="dot" w:pos="8306"/>
        </w:tabs>
      </w:pPr>
      <w:hyperlink w:anchor="_Toc30394" w:history="1">
        <w:r>
          <w:rPr>
            <w:rFonts w:ascii="仿宋" w:eastAsia="仿宋" w:hAnsi="仿宋" w:cs="仿宋" w:hint="eastAsia"/>
            <w:lang w:eastAsia="zh-CN"/>
          </w:rPr>
          <w:t>六、煤焦油深加工产品项目可持续发展</w:t>
        </w:r>
        <w:r>
          <w:tab/>
        </w:r>
        <w:r>
          <w:fldChar w:fldCharType="begin"/>
        </w:r>
        <w:r>
          <w:instrText xml:space="preserve"> PAGEREF _Toc30394 \h </w:instrText>
        </w:r>
        <w:r>
          <w:fldChar w:fldCharType="separate"/>
        </w:r>
        <w:r>
          <w:t>22</w:t>
        </w:r>
        <w:r>
          <w:fldChar w:fldCharType="end"/>
        </w:r>
      </w:hyperlink>
    </w:p>
    <w:p>
      <w:pPr>
        <w:pStyle w:val="TOC2"/>
        <w:tabs>
          <w:tab w:val="right" w:leader="dot" w:pos="8306"/>
        </w:tabs>
      </w:pPr>
      <w:hyperlink w:anchor="_Toc23568" w:history="1">
        <w:r>
          <w:rPr>
            <w:rFonts w:ascii="仿宋" w:eastAsia="仿宋" w:hAnsi="仿宋" w:cs="仿宋" w:hint="eastAsia"/>
            <w:lang w:eastAsia="zh-CN"/>
          </w:rPr>
          <w:t>(一)、可持续战略与实践</w:t>
        </w:r>
        <w:r>
          <w:tab/>
        </w:r>
        <w:r>
          <w:fldChar w:fldCharType="begin"/>
        </w:r>
        <w:r>
          <w:instrText xml:space="preserve"> PAGEREF _Toc23568 \h </w:instrText>
        </w:r>
        <w:r>
          <w:fldChar w:fldCharType="separate"/>
        </w:r>
        <w:r>
          <w:t>22</w:t>
        </w:r>
        <w:r>
          <w:fldChar w:fldCharType="end"/>
        </w:r>
      </w:hyperlink>
    </w:p>
    <w:p>
      <w:pPr>
        <w:pStyle w:val="TOC2"/>
        <w:tabs>
          <w:tab w:val="right" w:leader="dot" w:pos="8306"/>
        </w:tabs>
      </w:pPr>
      <w:hyperlink w:anchor="_Toc7469" w:history="1">
        <w:r>
          <w:rPr>
            <w:rFonts w:ascii="仿宋" w:eastAsia="仿宋" w:hAnsi="仿宋" w:cs="仿宋" w:hint="eastAsia"/>
            <w:lang w:eastAsia="zh-CN"/>
          </w:rPr>
          <w:t>(二)、环保与社会责任</w:t>
        </w:r>
        <w:r>
          <w:tab/>
        </w:r>
        <w:r>
          <w:fldChar w:fldCharType="begin"/>
        </w:r>
        <w:r>
          <w:instrText xml:space="preserve"> PAGEREF _Toc7469 \h </w:instrText>
        </w:r>
        <w:r>
          <w:fldChar w:fldCharType="separate"/>
        </w:r>
        <w:r>
          <w:t>23</w:t>
        </w:r>
        <w:r>
          <w:fldChar w:fldCharType="end"/>
        </w:r>
      </w:hyperlink>
    </w:p>
    <w:p>
      <w:pPr>
        <w:pStyle w:val="TOC1"/>
        <w:tabs>
          <w:tab w:val="right" w:leader="dot" w:pos="8306"/>
        </w:tabs>
      </w:pPr>
      <w:hyperlink w:anchor="_Toc25706" w:history="1">
        <w:r>
          <w:rPr>
            <w:rFonts w:ascii="仿宋" w:eastAsia="仿宋" w:hAnsi="仿宋" w:cs="仿宋" w:hint="eastAsia"/>
            <w:lang w:eastAsia="zh-CN"/>
          </w:rPr>
          <w:t>七、煤焦油深加工产品项目计划安排</w:t>
        </w:r>
        <w:r>
          <w:tab/>
        </w:r>
        <w:r>
          <w:fldChar w:fldCharType="begin"/>
        </w:r>
        <w:r>
          <w:instrText xml:space="preserve"> PAGEREF _Toc25706 \h </w:instrText>
        </w:r>
        <w:r>
          <w:fldChar w:fldCharType="separate"/>
        </w:r>
        <w:r>
          <w:t>24</w:t>
        </w:r>
        <w:r>
          <w:fldChar w:fldCharType="end"/>
        </w:r>
      </w:hyperlink>
    </w:p>
    <w:p>
      <w:pPr>
        <w:pStyle w:val="TOC2"/>
        <w:tabs>
          <w:tab w:val="right" w:leader="dot" w:pos="8306"/>
        </w:tabs>
      </w:pPr>
      <w:hyperlink w:anchor="_Toc5417" w:history="1">
        <w:r>
          <w:rPr>
            <w:rFonts w:ascii="仿宋" w:eastAsia="仿宋" w:hAnsi="仿宋" w:cs="仿宋" w:hint="eastAsia"/>
            <w:lang w:eastAsia="zh-CN"/>
          </w:rPr>
          <w:t>(一)、建设周期</w:t>
        </w:r>
        <w:r>
          <w:tab/>
        </w:r>
        <w:r>
          <w:fldChar w:fldCharType="begin"/>
        </w:r>
        <w:r>
          <w:instrText xml:space="preserve"> PAGEREF _Toc5417 \h </w:instrText>
        </w:r>
        <w:r>
          <w:fldChar w:fldCharType="separate"/>
        </w:r>
        <w:r>
          <w:t>24</w:t>
        </w:r>
        <w:r>
          <w:fldChar w:fldCharType="end"/>
        </w:r>
      </w:hyperlink>
    </w:p>
    <w:p>
      <w:pPr>
        <w:pStyle w:val="TOC2"/>
        <w:tabs>
          <w:tab w:val="right" w:leader="dot" w:pos="8306"/>
        </w:tabs>
      </w:pPr>
      <w:hyperlink w:anchor="_Toc15613" w:history="1">
        <w:r>
          <w:rPr>
            <w:rFonts w:ascii="仿宋" w:eastAsia="仿宋" w:hAnsi="仿宋" w:cs="仿宋" w:hint="eastAsia"/>
            <w:lang w:eastAsia="zh-CN"/>
          </w:rPr>
          <w:t>(二)、建设进度</w:t>
        </w:r>
        <w:r>
          <w:tab/>
        </w:r>
        <w:r>
          <w:fldChar w:fldCharType="begin"/>
        </w:r>
        <w:r>
          <w:instrText xml:space="preserve"> PAGEREF _Toc15613 \h </w:instrText>
        </w:r>
        <w:r>
          <w:fldChar w:fldCharType="separate"/>
        </w:r>
        <w:r>
          <w:t>25</w:t>
        </w:r>
        <w:r>
          <w:fldChar w:fldCharType="end"/>
        </w:r>
      </w:hyperlink>
    </w:p>
    <w:p>
      <w:pPr>
        <w:pStyle w:val="TOC2"/>
        <w:tabs>
          <w:tab w:val="right" w:leader="dot" w:pos="8306"/>
        </w:tabs>
      </w:pPr>
      <w:hyperlink w:anchor="_Toc28409" w:history="1">
        <w:r>
          <w:rPr>
            <w:rFonts w:ascii="仿宋" w:eastAsia="仿宋" w:hAnsi="仿宋" w:cs="仿宋" w:hint="eastAsia"/>
            <w:lang w:eastAsia="zh-CN"/>
          </w:rPr>
          <w:t>(三)、进度安排注意事项</w:t>
        </w:r>
        <w:r>
          <w:tab/>
        </w:r>
        <w:r>
          <w:fldChar w:fldCharType="begin"/>
        </w:r>
        <w:r>
          <w:instrText xml:space="preserve"> PAGEREF _Toc28409 \h </w:instrText>
        </w:r>
        <w:r>
          <w:fldChar w:fldCharType="separate"/>
        </w:r>
        <w:r>
          <w:t>26</w:t>
        </w:r>
        <w:r>
          <w:fldChar w:fldCharType="end"/>
        </w:r>
      </w:hyperlink>
    </w:p>
    <w:p>
      <w:pPr>
        <w:pStyle w:val="TOC2"/>
        <w:tabs>
          <w:tab w:val="right" w:leader="dot" w:pos="8306"/>
        </w:tabs>
      </w:pPr>
      <w:hyperlink w:anchor="_Toc5514" w:history="1">
        <w:r>
          <w:rPr>
            <w:rFonts w:ascii="仿宋" w:eastAsia="仿宋" w:hAnsi="仿宋" w:cs="仿宋" w:hint="eastAsia"/>
            <w:lang w:eastAsia="zh-CN"/>
          </w:rPr>
          <w:t>(四)、人力资源配置</w:t>
        </w:r>
        <w:r>
          <w:tab/>
        </w:r>
        <w:r>
          <w:fldChar w:fldCharType="begin"/>
        </w:r>
        <w:r>
          <w:instrText xml:space="preserve"> PAGEREF _Toc5514 \h </w:instrText>
        </w:r>
        <w:r>
          <w:fldChar w:fldCharType="separate"/>
        </w:r>
        <w:r>
          <w:t>27</w:t>
        </w:r>
        <w:r>
          <w:fldChar w:fldCharType="end"/>
        </w:r>
      </w:hyperlink>
    </w:p>
    <w:p>
      <w:pPr>
        <w:pStyle w:val="TOC1"/>
        <w:tabs>
          <w:tab w:val="right" w:leader="dot" w:pos="8306"/>
        </w:tabs>
      </w:pPr>
      <w:hyperlink w:anchor="_Toc379" w:history="1">
        <w:r>
          <w:rPr>
            <w:rFonts w:ascii="仿宋" w:eastAsia="仿宋" w:hAnsi="仿宋" w:cs="仿宋" w:hint="eastAsia"/>
            <w:lang w:eastAsia="zh-CN"/>
          </w:rPr>
          <w:t>八、煤焦油深加工产品项目社会影响</w:t>
        </w:r>
        <w:r>
          <w:tab/>
        </w:r>
        <w:r>
          <w:fldChar w:fldCharType="begin"/>
        </w:r>
        <w:r>
          <w:instrText xml:space="preserve"> PAGEREF _Toc379 \h </w:instrText>
        </w:r>
        <w:r>
          <w:fldChar w:fldCharType="separate"/>
        </w:r>
        <w:r>
          <w:t>28</w:t>
        </w:r>
        <w:r>
          <w:fldChar w:fldCharType="end"/>
        </w:r>
      </w:hyperlink>
    </w:p>
    <w:p>
      <w:pPr>
        <w:pStyle w:val="TOC2"/>
        <w:tabs>
          <w:tab w:val="right" w:leader="dot" w:pos="8306"/>
        </w:tabs>
      </w:pPr>
      <w:hyperlink w:anchor="_Toc7977" w:history="1">
        <w:r>
          <w:rPr>
            <w:rFonts w:ascii="仿宋" w:eastAsia="仿宋" w:hAnsi="仿宋" w:cs="仿宋" w:hint="eastAsia"/>
            <w:lang w:eastAsia="zh-CN"/>
          </w:rPr>
          <w:t>(一)、社会责任与义务</w:t>
        </w:r>
        <w:r>
          <w:tab/>
        </w:r>
        <w:r>
          <w:fldChar w:fldCharType="begin"/>
        </w:r>
        <w:r>
          <w:instrText xml:space="preserve"> PAGEREF _Toc7977 \h </w:instrText>
        </w:r>
        <w:r>
          <w:fldChar w:fldCharType="separate"/>
        </w:r>
        <w:r>
          <w:t>28</w:t>
        </w:r>
        <w:r>
          <w:fldChar w:fldCharType="end"/>
        </w:r>
      </w:hyperlink>
    </w:p>
    <w:p>
      <w:pPr>
        <w:pStyle w:val="TOC2"/>
        <w:tabs>
          <w:tab w:val="right" w:leader="dot" w:pos="8306"/>
        </w:tabs>
      </w:pPr>
      <w:hyperlink w:anchor="_Toc24655" w:history="1">
        <w:r>
          <w:rPr>
            <w:rFonts w:ascii="仿宋" w:eastAsia="仿宋" w:hAnsi="仿宋" w:cs="仿宋" w:hint="eastAsia"/>
            <w:lang w:eastAsia="zh-CN"/>
          </w:rPr>
          <w:t>(二)、社会参与与沟通</w:t>
        </w:r>
        <w:r>
          <w:tab/>
        </w:r>
        <w:r>
          <w:fldChar w:fldCharType="begin"/>
        </w:r>
        <w:r>
          <w:instrText xml:space="preserve"> PAGEREF _Toc24655 \h </w:instrText>
        </w:r>
        <w:r>
          <w:fldChar w:fldCharType="separate"/>
        </w:r>
        <w:r>
          <w:t>29</w:t>
        </w:r>
        <w:r>
          <w:fldChar w:fldCharType="end"/>
        </w:r>
      </w:hyperlink>
    </w:p>
    <w:p>
      <w:pPr>
        <w:pStyle w:val="TOC1"/>
        <w:tabs>
          <w:tab w:val="right" w:leader="dot" w:pos="8306"/>
        </w:tabs>
      </w:pPr>
      <w:hyperlink w:anchor="_Toc21052" w:history="1">
        <w:r>
          <w:rPr>
            <w:rFonts w:ascii="仿宋" w:eastAsia="仿宋" w:hAnsi="仿宋" w:cs="仿宋" w:hint="eastAsia"/>
            <w:lang w:eastAsia="zh-CN"/>
          </w:rPr>
          <w:t>九、煤焦油深加工产品项目财务管理</w:t>
        </w:r>
        <w:r>
          <w:tab/>
        </w:r>
        <w:r>
          <w:fldChar w:fldCharType="begin"/>
        </w:r>
        <w:r>
          <w:instrText xml:space="preserve"> PAGEREF _Toc21052 \h </w:instrText>
        </w:r>
        <w:r>
          <w:fldChar w:fldCharType="separate"/>
        </w:r>
        <w:r>
          <w:t>30</w:t>
        </w:r>
        <w:r>
          <w:fldChar w:fldCharType="end"/>
        </w:r>
      </w:hyperlink>
    </w:p>
    <w:p>
      <w:pPr>
        <w:pStyle w:val="TOC2"/>
        <w:tabs>
          <w:tab w:val="right" w:leader="dot" w:pos="8306"/>
        </w:tabs>
      </w:pPr>
      <w:hyperlink w:anchor="_Toc4233" w:history="1">
        <w:r>
          <w:rPr>
            <w:rFonts w:ascii="仿宋" w:eastAsia="仿宋" w:hAnsi="仿宋" w:cs="仿宋" w:hint="eastAsia"/>
            <w:lang w:eastAsia="zh-CN"/>
          </w:rPr>
          <w:t>(一)、资金需求大</w:t>
        </w:r>
        <w:r>
          <w:tab/>
        </w:r>
        <w:r>
          <w:fldChar w:fldCharType="begin"/>
        </w:r>
        <w:r>
          <w:instrText xml:space="preserve"> PAGEREF _Toc4233 \h </w:instrText>
        </w:r>
        <w:r>
          <w:fldChar w:fldCharType="separate"/>
        </w:r>
        <w:r>
          <w:t>30</w:t>
        </w:r>
        <w:r>
          <w:fldChar w:fldCharType="end"/>
        </w:r>
      </w:hyperlink>
    </w:p>
    <w:p>
      <w:pPr>
        <w:pStyle w:val="TOC2"/>
        <w:tabs>
          <w:tab w:val="right" w:leader="dot" w:pos="8306"/>
        </w:tabs>
      </w:pPr>
      <w:hyperlink w:anchor="_Toc15579" w:history="1">
        <w:r>
          <w:rPr>
            <w:rFonts w:ascii="仿宋" w:eastAsia="仿宋" w:hAnsi="仿宋" w:cs="仿宋" w:hint="eastAsia"/>
            <w:lang w:eastAsia="zh-CN"/>
          </w:rPr>
          <w:t>(二)、研发周期长</w:t>
        </w:r>
        <w:r>
          <w:tab/>
        </w:r>
        <w:r>
          <w:fldChar w:fldCharType="begin"/>
        </w:r>
        <w:r>
          <w:instrText xml:space="preserve"> PAGEREF _Toc15579 \h </w:instrText>
        </w:r>
        <w:r>
          <w:fldChar w:fldCharType="separate"/>
        </w:r>
        <w:r>
          <w:t>31</w:t>
        </w:r>
        <w:r>
          <w:fldChar w:fldCharType="end"/>
        </w:r>
      </w:hyperlink>
    </w:p>
    <w:p>
      <w:pPr>
        <w:pStyle w:val="TOC2"/>
        <w:tabs>
          <w:tab w:val="right" w:leader="dot" w:pos="8306"/>
        </w:tabs>
      </w:pPr>
      <w:hyperlink w:anchor="_Toc22504" w:history="1">
        <w:r>
          <w:rPr>
            <w:rFonts w:ascii="仿宋" w:eastAsia="仿宋" w:hAnsi="仿宋" w:cs="仿宋" w:hint="eastAsia"/>
            <w:lang w:eastAsia="zh-CN"/>
          </w:rPr>
          <w:t>(三)、市场风险大</w:t>
        </w:r>
        <w:r>
          <w:tab/>
        </w:r>
        <w:r>
          <w:fldChar w:fldCharType="begin"/>
        </w:r>
        <w:r>
          <w:instrText xml:space="preserve"> PAGEREF _Toc22504 \h </w:instrText>
        </w:r>
        <w:r>
          <w:fldChar w:fldCharType="separate"/>
        </w:r>
        <w:r>
          <w:t>32</w:t>
        </w:r>
        <w:r>
          <w:fldChar w:fldCharType="end"/>
        </w:r>
      </w:hyperlink>
    </w:p>
    <w:p>
      <w:pPr>
        <w:pStyle w:val="TOC2"/>
        <w:tabs>
          <w:tab w:val="right" w:leader="dot" w:pos="8306"/>
        </w:tabs>
      </w:pPr>
      <w:hyperlink w:anchor="_Toc26022" w:history="1">
        <w:r>
          <w:rPr>
            <w:rFonts w:ascii="仿宋" w:eastAsia="仿宋" w:hAnsi="仿宋" w:cs="仿宋" w:hint="eastAsia"/>
            <w:lang w:eastAsia="zh-CN"/>
          </w:rPr>
          <w:t>(四)、利润率高</w:t>
        </w:r>
        <w:r>
          <w:tab/>
        </w:r>
        <w:r>
          <w:fldChar w:fldCharType="begin"/>
        </w:r>
        <w:r>
          <w:instrText xml:space="preserve"> PAGEREF _Toc26022 \h </w:instrText>
        </w:r>
        <w:r>
          <w:fldChar w:fldCharType="separate"/>
        </w:r>
        <w:r>
          <w:t>35</w:t>
        </w:r>
        <w:r>
          <w:fldChar w:fldCharType="end"/>
        </w:r>
      </w:hyperlink>
    </w:p>
    <w:p>
      <w:pPr>
        <w:pStyle w:val="TOC1"/>
        <w:tabs>
          <w:tab w:val="right" w:leader="dot" w:pos="8306"/>
        </w:tabs>
      </w:pPr>
      <w:hyperlink w:anchor="_Toc8934" w:history="1">
        <w:r>
          <w:rPr>
            <w:rFonts w:ascii="仿宋" w:eastAsia="仿宋" w:hAnsi="仿宋" w:cs="仿宋" w:hint="eastAsia"/>
            <w:lang w:eastAsia="zh-CN"/>
          </w:rPr>
          <w:t>十、煤焦油深加工产品项目技术管理</w:t>
        </w:r>
        <w:r>
          <w:tab/>
        </w:r>
        <w:r>
          <w:fldChar w:fldCharType="begin"/>
        </w:r>
        <w:r>
          <w:instrText xml:space="preserve"> PAGEREF _Toc8934 \h </w:instrText>
        </w:r>
        <w:r>
          <w:fldChar w:fldCharType="separate"/>
        </w:r>
        <w:r>
          <w:t>37</w:t>
        </w:r>
        <w:r>
          <w:fldChar w:fldCharType="end"/>
        </w:r>
      </w:hyperlink>
    </w:p>
    <w:p>
      <w:pPr>
        <w:pStyle w:val="TOC2"/>
        <w:tabs>
          <w:tab w:val="right" w:leader="dot" w:pos="8306"/>
        </w:tabs>
      </w:pPr>
      <w:hyperlink w:anchor="_Toc28198" w:history="1">
        <w:r>
          <w:rPr>
            <w:rFonts w:ascii="仿宋" w:eastAsia="仿宋" w:hAnsi="仿宋" w:cs="仿宋" w:hint="eastAsia"/>
            <w:lang w:eastAsia="zh-CN"/>
          </w:rPr>
          <w:t>(一)、技术方案选用方向</w:t>
        </w:r>
        <w:r>
          <w:tab/>
        </w:r>
        <w:r>
          <w:fldChar w:fldCharType="begin"/>
        </w:r>
        <w:r>
          <w:instrText xml:space="preserve"> PAGEREF _Toc28198 \h </w:instrText>
        </w:r>
        <w:r>
          <w:fldChar w:fldCharType="separate"/>
        </w:r>
        <w:r>
          <w:t>37</w:t>
        </w:r>
        <w:r>
          <w:fldChar w:fldCharType="end"/>
        </w:r>
      </w:hyperlink>
    </w:p>
    <w:p>
      <w:pPr>
        <w:pStyle w:val="TOC2"/>
        <w:tabs>
          <w:tab w:val="right" w:leader="dot" w:pos="8306"/>
        </w:tabs>
      </w:pPr>
      <w:hyperlink w:anchor="_Toc8217" w:history="1">
        <w:r>
          <w:rPr>
            <w:rFonts w:ascii="仿宋" w:eastAsia="仿宋" w:hAnsi="仿宋" w:cs="仿宋" w:hint="eastAsia"/>
            <w:lang w:eastAsia="zh-CN"/>
          </w:rPr>
          <w:t>(二)、工艺技术方案选用原则</w:t>
        </w:r>
        <w:r>
          <w:tab/>
        </w:r>
        <w:r>
          <w:fldChar w:fldCharType="begin"/>
        </w:r>
        <w:r>
          <w:instrText xml:space="preserve"> PAGEREF _Toc8217 \h </w:instrText>
        </w:r>
        <w:r>
          <w:fldChar w:fldCharType="separate"/>
        </w:r>
        <w:r>
          <w:t>39</w:t>
        </w:r>
        <w:r>
          <w:fldChar w:fldCharType="end"/>
        </w:r>
      </w:hyperlink>
    </w:p>
    <w:p>
      <w:pPr>
        <w:pStyle w:val="TOC2"/>
        <w:tabs>
          <w:tab w:val="right" w:leader="dot" w:pos="8306"/>
        </w:tabs>
      </w:pPr>
      <w:hyperlink w:anchor="_Toc14618" w:history="1">
        <w:r>
          <w:rPr>
            <w:rFonts w:ascii="仿宋" w:eastAsia="仿宋" w:hAnsi="仿宋" w:cs="仿宋" w:hint="eastAsia"/>
            <w:lang w:eastAsia="zh-CN"/>
          </w:rPr>
          <w:t>(三)、工艺技术方案要求</w:t>
        </w:r>
        <w:r>
          <w:tab/>
        </w:r>
        <w:r>
          <w:fldChar w:fldCharType="begin"/>
        </w:r>
        <w:r>
          <w:instrText xml:space="preserve"> PAGEREF _Toc14618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528" w:history="1">
        <w:r>
          <w:rPr>
            <w:rFonts w:ascii="仿宋" w:eastAsia="仿宋" w:hAnsi="仿宋" w:cs="仿宋" w:hint="eastAsia"/>
            <w:lang w:eastAsia="zh-CN"/>
          </w:rPr>
          <w:t>十一、煤焦油深加工产品项目人力资源培养与发展</w:t>
        </w:r>
        <w:r>
          <w:tab/>
        </w:r>
        <w:r>
          <w:fldChar w:fldCharType="begin"/>
        </w:r>
        <w:r>
          <w:instrText xml:space="preserve"> PAGEREF _Toc25528 \h </w:instrText>
        </w:r>
        <w:r>
          <w:fldChar w:fldCharType="separate"/>
        </w:r>
        <w:r>
          <w:t>43</w:t>
        </w:r>
        <w:r>
          <w:fldChar w:fldCharType="end"/>
        </w:r>
      </w:hyperlink>
    </w:p>
    <w:p>
      <w:pPr>
        <w:pStyle w:val="TOC2"/>
        <w:tabs>
          <w:tab w:val="right" w:leader="dot" w:pos="8306"/>
        </w:tabs>
      </w:pPr>
      <w:hyperlink w:anchor="_Toc15469" w:history="1">
        <w:r>
          <w:rPr>
            <w:rFonts w:ascii="仿宋" w:eastAsia="仿宋" w:hAnsi="仿宋" w:cs="仿宋" w:hint="eastAsia"/>
            <w:lang w:eastAsia="zh-CN"/>
          </w:rPr>
          <w:t>(一)、人才需求与规划</w:t>
        </w:r>
        <w:r>
          <w:tab/>
        </w:r>
        <w:r>
          <w:fldChar w:fldCharType="begin"/>
        </w:r>
        <w:r>
          <w:instrText xml:space="preserve"> PAGEREF _Toc15469 \h </w:instrText>
        </w:r>
        <w:r>
          <w:fldChar w:fldCharType="separate"/>
        </w:r>
        <w:r>
          <w:t>43</w:t>
        </w:r>
        <w:r>
          <w:fldChar w:fldCharType="end"/>
        </w:r>
      </w:hyperlink>
    </w:p>
    <w:p>
      <w:pPr>
        <w:pStyle w:val="TOC2"/>
        <w:tabs>
          <w:tab w:val="right" w:leader="dot" w:pos="8306"/>
        </w:tabs>
      </w:pPr>
      <w:hyperlink w:anchor="_Toc15435" w:history="1">
        <w:r>
          <w:rPr>
            <w:rFonts w:ascii="仿宋" w:eastAsia="仿宋" w:hAnsi="仿宋" w:cs="仿宋" w:hint="eastAsia"/>
            <w:lang w:eastAsia="zh-CN"/>
          </w:rPr>
          <w:t>(二)、培训与发展计划</w:t>
        </w:r>
        <w:r>
          <w:tab/>
        </w:r>
        <w:r>
          <w:fldChar w:fldCharType="begin"/>
        </w:r>
        <w:r>
          <w:instrText xml:space="preserve"> PAGEREF _Toc15435 \h </w:instrText>
        </w:r>
        <w:r>
          <w:fldChar w:fldCharType="separate"/>
        </w:r>
        <w:r>
          <w:t>44</w:t>
        </w:r>
        <w:r>
          <w:fldChar w:fldCharType="end"/>
        </w:r>
      </w:hyperlink>
    </w:p>
    <w:p>
      <w:pPr>
        <w:pStyle w:val="TOC1"/>
        <w:tabs>
          <w:tab w:val="right" w:leader="dot" w:pos="8306"/>
        </w:tabs>
      </w:pPr>
      <w:hyperlink w:anchor="_Toc9133" w:history="1">
        <w:r>
          <w:rPr>
            <w:rFonts w:ascii="仿宋" w:eastAsia="仿宋" w:hAnsi="仿宋" w:cs="仿宋" w:hint="eastAsia"/>
            <w:lang w:eastAsia="zh-CN"/>
          </w:rPr>
          <w:t>十二、煤焦油深加工产品项目创新与研发</w:t>
        </w:r>
        <w:r>
          <w:tab/>
        </w:r>
        <w:r>
          <w:fldChar w:fldCharType="begin"/>
        </w:r>
        <w:r>
          <w:instrText xml:space="preserve"> PAGEREF _Toc9133 \h </w:instrText>
        </w:r>
        <w:r>
          <w:fldChar w:fldCharType="separate"/>
        </w:r>
        <w:r>
          <w:t>44</w:t>
        </w:r>
        <w:r>
          <w:fldChar w:fldCharType="end"/>
        </w:r>
      </w:hyperlink>
    </w:p>
    <w:p>
      <w:pPr>
        <w:pStyle w:val="TOC2"/>
        <w:tabs>
          <w:tab w:val="right" w:leader="dot" w:pos="8306"/>
        </w:tabs>
      </w:pPr>
      <w:hyperlink w:anchor="_Toc27079" w:history="1">
        <w:r>
          <w:rPr>
            <w:rFonts w:ascii="仿宋" w:eastAsia="仿宋" w:hAnsi="仿宋" w:cs="仿宋" w:hint="eastAsia"/>
            <w:lang w:eastAsia="zh-CN"/>
          </w:rPr>
          <w:t>(一)、创新策略与方向</w:t>
        </w:r>
        <w:r>
          <w:tab/>
        </w:r>
        <w:r>
          <w:fldChar w:fldCharType="begin"/>
        </w:r>
        <w:r>
          <w:instrText xml:space="preserve"> PAGEREF _Toc27079 \h </w:instrText>
        </w:r>
        <w:r>
          <w:fldChar w:fldCharType="separate"/>
        </w:r>
        <w:r>
          <w:t>44</w:t>
        </w:r>
        <w:r>
          <w:fldChar w:fldCharType="end"/>
        </w:r>
      </w:hyperlink>
    </w:p>
    <w:p>
      <w:pPr>
        <w:pStyle w:val="TOC2"/>
        <w:tabs>
          <w:tab w:val="right" w:leader="dot" w:pos="8306"/>
        </w:tabs>
      </w:pPr>
      <w:hyperlink w:anchor="_Toc20263" w:history="1">
        <w:r>
          <w:rPr>
            <w:rFonts w:ascii="仿宋" w:eastAsia="仿宋" w:hAnsi="仿宋" w:cs="仿宋" w:hint="eastAsia"/>
            <w:lang w:eastAsia="zh-CN"/>
          </w:rPr>
          <w:t>(二)、研发规划与投入</w:t>
        </w:r>
        <w:r>
          <w:tab/>
        </w:r>
        <w:r>
          <w:fldChar w:fldCharType="begin"/>
        </w:r>
        <w:r>
          <w:instrText xml:space="preserve"> PAGEREF _Toc20263 \h </w:instrText>
        </w:r>
        <w:r>
          <w:fldChar w:fldCharType="separate"/>
        </w:r>
        <w:r>
          <w:t>46</w:t>
        </w:r>
        <w:r>
          <w:fldChar w:fldCharType="end"/>
        </w:r>
      </w:hyperlink>
    </w:p>
    <w:p>
      <w:pPr>
        <w:pStyle w:val="TOC1"/>
        <w:tabs>
          <w:tab w:val="right" w:leader="dot" w:pos="8306"/>
        </w:tabs>
      </w:pPr>
      <w:hyperlink w:anchor="_Toc12971" w:history="1">
        <w:r>
          <w:rPr>
            <w:rFonts w:ascii="仿宋" w:eastAsia="仿宋" w:hAnsi="仿宋" w:cs="仿宋" w:hint="eastAsia"/>
            <w:lang w:eastAsia="zh-CN"/>
          </w:rPr>
          <w:t>十三、营销与推广策略</w:t>
        </w:r>
        <w:r>
          <w:tab/>
        </w:r>
        <w:r>
          <w:fldChar w:fldCharType="begin"/>
        </w:r>
        <w:r>
          <w:instrText xml:space="preserve"> PAGEREF _Toc12971 \h </w:instrText>
        </w:r>
        <w:r>
          <w:fldChar w:fldCharType="separate"/>
        </w:r>
        <w:r>
          <w:t>48</w:t>
        </w:r>
        <w:r>
          <w:fldChar w:fldCharType="end"/>
        </w:r>
      </w:hyperlink>
    </w:p>
    <w:p>
      <w:pPr>
        <w:pStyle w:val="TOC2"/>
        <w:tabs>
          <w:tab w:val="right" w:leader="dot" w:pos="8306"/>
        </w:tabs>
      </w:pPr>
      <w:hyperlink w:anchor="_Toc23845" w:history="1">
        <w:r>
          <w:rPr>
            <w:rFonts w:ascii="仿宋" w:eastAsia="仿宋" w:hAnsi="仿宋" w:cs="仿宋" w:hint="eastAsia"/>
            <w:lang w:eastAsia="zh-CN"/>
          </w:rPr>
          <w:t>(一)、产品/服务定位与特点</w:t>
        </w:r>
        <w:r>
          <w:tab/>
        </w:r>
        <w:r>
          <w:fldChar w:fldCharType="begin"/>
        </w:r>
        <w:r>
          <w:instrText xml:space="preserve"> PAGEREF _Toc23845 \h </w:instrText>
        </w:r>
        <w:r>
          <w:fldChar w:fldCharType="separate"/>
        </w:r>
        <w:r>
          <w:t>48</w:t>
        </w:r>
        <w:r>
          <w:fldChar w:fldCharType="end"/>
        </w:r>
      </w:hyperlink>
    </w:p>
    <w:p>
      <w:pPr>
        <w:pStyle w:val="TOC2"/>
        <w:tabs>
          <w:tab w:val="right" w:leader="dot" w:pos="8306"/>
        </w:tabs>
      </w:pPr>
      <w:hyperlink w:anchor="_Toc28372" w:history="1">
        <w:r>
          <w:rPr>
            <w:rFonts w:ascii="仿宋" w:eastAsia="仿宋" w:hAnsi="仿宋" w:cs="仿宋" w:hint="eastAsia"/>
            <w:lang w:eastAsia="zh-CN"/>
          </w:rPr>
          <w:t>(二)、市场定位与竞争分析</w:t>
        </w:r>
        <w:r>
          <w:tab/>
        </w:r>
        <w:r>
          <w:fldChar w:fldCharType="begin"/>
        </w:r>
        <w:r>
          <w:instrText xml:space="preserve"> PAGEREF _Toc28372 \h </w:instrText>
        </w:r>
        <w:r>
          <w:fldChar w:fldCharType="separate"/>
        </w:r>
        <w:r>
          <w:t>49</w:t>
        </w:r>
        <w:r>
          <w:fldChar w:fldCharType="end"/>
        </w:r>
      </w:hyperlink>
    </w:p>
    <w:p>
      <w:pPr>
        <w:pStyle w:val="TOC2"/>
        <w:tabs>
          <w:tab w:val="right" w:leader="dot" w:pos="8306"/>
        </w:tabs>
      </w:pPr>
      <w:hyperlink w:anchor="_Toc5600" w:history="1">
        <w:r>
          <w:rPr>
            <w:rFonts w:ascii="仿宋" w:eastAsia="仿宋" w:hAnsi="仿宋" w:cs="仿宋" w:hint="eastAsia"/>
            <w:lang w:eastAsia="zh-CN"/>
          </w:rPr>
          <w:t>(三)、营销渠道与策略</w:t>
        </w:r>
        <w:r>
          <w:tab/>
        </w:r>
        <w:r>
          <w:fldChar w:fldCharType="begin"/>
        </w:r>
        <w:r>
          <w:instrText xml:space="preserve"> PAGEREF _Toc5600 \h </w:instrText>
        </w:r>
        <w:r>
          <w:fldChar w:fldCharType="separate"/>
        </w:r>
        <w:r>
          <w:t>50</w:t>
        </w:r>
        <w:r>
          <w:fldChar w:fldCharType="end"/>
        </w:r>
      </w:hyperlink>
    </w:p>
    <w:p>
      <w:pPr>
        <w:pStyle w:val="TOC2"/>
        <w:tabs>
          <w:tab w:val="right" w:leader="dot" w:pos="8306"/>
        </w:tabs>
      </w:pPr>
      <w:hyperlink w:anchor="_Toc7715" w:history="1">
        <w:r>
          <w:rPr>
            <w:rFonts w:ascii="仿宋" w:eastAsia="仿宋" w:hAnsi="仿宋" w:cs="仿宋" w:hint="eastAsia"/>
            <w:lang w:eastAsia="zh-CN"/>
          </w:rPr>
          <w:t>(四)、推广与宣传活动</w:t>
        </w:r>
        <w:r>
          <w:tab/>
        </w:r>
        <w:r>
          <w:fldChar w:fldCharType="begin"/>
        </w:r>
        <w:r>
          <w:instrText xml:space="preserve"> PAGEREF _Toc7715 \h </w:instrText>
        </w:r>
        <w:r>
          <w:fldChar w:fldCharType="separate"/>
        </w:r>
        <w:r>
          <w:t>51</w:t>
        </w:r>
        <w:r>
          <w:fldChar w:fldCharType="end"/>
        </w:r>
      </w:hyperlink>
    </w:p>
    <w:p>
      <w:pPr>
        <w:pStyle w:val="TOC1"/>
        <w:tabs>
          <w:tab w:val="right" w:leader="dot" w:pos="8306"/>
        </w:tabs>
      </w:pPr>
      <w:hyperlink w:anchor="_Toc6169" w:history="1">
        <w:r>
          <w:rPr>
            <w:rFonts w:ascii="仿宋" w:eastAsia="仿宋" w:hAnsi="仿宋" w:cs="仿宋" w:hint="eastAsia"/>
            <w:lang w:eastAsia="zh-CN"/>
          </w:rPr>
          <w:t>十四、煤焦油深加工产品项目工程方案分析</w:t>
        </w:r>
        <w:r>
          <w:tab/>
        </w:r>
        <w:r>
          <w:fldChar w:fldCharType="begin"/>
        </w:r>
        <w:r>
          <w:instrText xml:space="preserve"> PAGEREF _Toc6169 \h </w:instrText>
        </w:r>
        <w:r>
          <w:fldChar w:fldCharType="separate"/>
        </w:r>
        <w:r>
          <w:t>57</w:t>
        </w:r>
        <w:r>
          <w:fldChar w:fldCharType="end"/>
        </w:r>
      </w:hyperlink>
    </w:p>
    <w:p>
      <w:pPr>
        <w:pStyle w:val="TOC2"/>
        <w:tabs>
          <w:tab w:val="right" w:leader="dot" w:pos="8306"/>
        </w:tabs>
      </w:pPr>
      <w:hyperlink w:anchor="_Toc4396" w:history="1">
        <w:r>
          <w:rPr>
            <w:rFonts w:ascii="仿宋" w:eastAsia="仿宋" w:hAnsi="仿宋" w:cs="仿宋" w:hint="eastAsia"/>
            <w:lang w:eastAsia="zh-CN"/>
          </w:rPr>
          <w:t>(一)、建筑工程设计原则</w:t>
        </w:r>
        <w:r>
          <w:tab/>
        </w:r>
        <w:r>
          <w:fldChar w:fldCharType="begin"/>
        </w:r>
        <w:r>
          <w:instrText xml:space="preserve"> PAGEREF _Toc4396 \h </w:instrText>
        </w:r>
        <w:r>
          <w:fldChar w:fldCharType="separate"/>
        </w:r>
        <w:r>
          <w:t>57</w:t>
        </w:r>
        <w:r>
          <w:fldChar w:fldCharType="end"/>
        </w:r>
      </w:hyperlink>
    </w:p>
    <w:p>
      <w:pPr>
        <w:pStyle w:val="TOC2"/>
        <w:tabs>
          <w:tab w:val="right" w:leader="dot" w:pos="8306"/>
        </w:tabs>
      </w:pPr>
      <w:hyperlink w:anchor="_Toc21376" w:history="1">
        <w:r>
          <w:rPr>
            <w:rFonts w:ascii="仿宋" w:eastAsia="仿宋" w:hAnsi="仿宋" w:cs="仿宋" w:hint="eastAsia"/>
            <w:lang w:eastAsia="zh-CN"/>
          </w:rPr>
          <w:t>(二)、土建工程建设指标</w:t>
        </w:r>
        <w:r>
          <w:tab/>
        </w:r>
        <w:r>
          <w:fldChar w:fldCharType="begin"/>
        </w:r>
        <w:r>
          <w:instrText xml:space="preserve"> PAGEREF _Toc21376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74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419"/>
      <w:r>
        <w:rPr>
          <w:rFonts w:ascii="仿宋" w:eastAsia="仿宋" w:hAnsi="仿宋" w:cs="仿宋" w:hint="eastAsia"/>
          <w:sz w:val="28"/>
          <w:lang w:eastAsia="zh-CN"/>
        </w:rPr>
        <w:t>一、煤焦油深加工产品项目绩效评估</w:t>
      </w:r>
      <w:bookmarkEnd w:id="2"/>
    </w:p>
    <w:p>
      <w:pPr>
        <w:pStyle w:val="Heading2"/>
        <w:rPr>
          <w:rFonts w:ascii="仿宋" w:eastAsia="仿宋" w:hAnsi="仿宋" w:cs="仿宋" w:hint="eastAsia"/>
          <w:lang w:eastAsia="zh-CN"/>
        </w:rPr>
      </w:pPr>
      <w:bookmarkStart w:id="3" w:name="_Toc1108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煤焦油深加工产品项目中，我们设计了一套全面的绩效评估指标，以确保煤焦油深加工产品项目的可控和成功交付。这些指标跨足煤焦油深加工产品项目目标、成本、进度和质量等多个维度，为我们提供了全面洞察煤焦油深加工产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深加工产品项目目标达成率是我们关注的首要指标。我们设定了明确的目标，并通过定期监测和评估，迅速发现并应对潜在的目标偏差。这为煤焦油深加工产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成本绩效是另一个核心关注点。通过实际成本与预算成本的对比分析，我们深入了解成本差异的原因，及时调整资源分配，保持煤焦油深加工产品项目在经济效益方面的合理水平。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深加工产品项目进度作为关键的绩效指标之一，得到了精心的关注。我们制定了详细的煤焦油深加工产品项目进度计划，并设立了进度符合度指标，确保实际进度与计划进度保持一致。这使我们能够快速发现和解决潜在的进度问题，保持煤焦油深加工产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煤焦油深加工产品项目绩效的不可或缺的一环。我们引入了一系列的质量标准和客户满意度指标，以确保煤焦油深加工产品项目交付的成果在质量上达到或超越预期水平。通过持续监测这些指标，我们努力提升煤焦油深加工产品项目整体质量水平，为煤焦油深加工产品项目的成功交付提供有力保障。通过这些科学且全面的绩效评估，我们能够更好地引导煤焦油深加工产品项目的持续改进，确保煤焦油深加工产品项目目标的顺利达成。</w:t>
      </w:r>
    </w:p>
    <w:p>
      <w:pPr>
        <w:pStyle w:val="Heading2"/>
        <w:ind w:firstLine="560" w:firstLineChars="200"/>
        <w:rPr>
          <w:rFonts w:ascii="仿宋" w:eastAsia="仿宋" w:hAnsi="仿宋" w:cs="仿宋" w:hint="eastAsia"/>
          <w:sz w:val="28"/>
          <w:lang w:eastAsia="zh-CN"/>
        </w:rPr>
      </w:pPr>
      <w:bookmarkStart w:id="4" w:name="_Toc2173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绩效评估是煤焦油深加工产品项目中的关键环节，为确保煤焦油深加工产品项目达到预期目标，我们采用了多层次、多维度的绩效评估方法。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煤焦油深加工产品项目的战略目标对齐，确保每个决策和行动都与煤焦油深加工产品项目整体目标保持一致。团队会定期召开战略对齐会议，审视当前工作与煤焦油深加工产品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煤焦油深加工产品项目进度、质量、成本和风险等方面。这些指标通过数据收集和分析，为煤焦油深加工产品项目管理团队提供了客观的评估依据。例如，我们通过煤焦油深加工产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煤焦油深加工产品项目内部，还考虑了煤焦油深加工产品项目对外部环境的影响。我们定期进行干系人满意度调查，以了解各利益相关方对煤焦油深加工产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这种多层次、多角度的绩效评估方法，使得我们能够全面了解煤焦油深加工产品项目的运行状态，及时做出调整，确保煤焦油深加工产品项目在不断变化的环境中保持稳健前行。</w:t>
      </w:r>
    </w:p>
    <w:p>
      <w:pPr>
        <w:pStyle w:val="Heading2"/>
        <w:ind w:firstLine="560" w:firstLineChars="200"/>
        <w:rPr>
          <w:rFonts w:ascii="仿宋" w:eastAsia="仿宋" w:hAnsi="仿宋" w:cs="仿宋" w:hint="eastAsia"/>
          <w:sz w:val="28"/>
          <w:lang w:eastAsia="zh-CN"/>
        </w:rPr>
      </w:pPr>
      <w:bookmarkStart w:id="5" w:name="_Toc2548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为了确保煤焦油深加工产品项目的有效管理和不断优化，我们采用了精心设计的绩效评估周期。这个周期旨在实现灵活、实时和全面的评估，以适应煤焦油深加工产品项目执行中的各种挑战。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煤焦油深加工产品项目的不同需求，分为短期、中期和长期。短期评估关注每个迭代或工作周期，以及时发现和解决当前任务中的问题。中期评估涵盖几个迭代，深入了解整体煤焦油深加工产品项目的趋势和性能。长期评估则着眼于整个煤焦油深加工产品项目阶段，确保煤焦油深加工产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煤焦油深加工产品项目管理工具和协作平台，团队成员能够随时更新和分享煤焦油深加工产品项目数据。这种实时性的反馈机制使我们能够及时察觉潜在问题，快速调整，保持煤焦油深加工产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煤焦油深加工产品项目的决策制定密不可分。每个周期的煤焦油深加工产品项目回顾会议成为集体总结经验、识别问题深层次原因并找到创新解决方案的平台。这种定期的反思与调整机制使煤焦油深加工产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4674"/>
      <w:r>
        <w:rPr>
          <w:rFonts w:ascii="仿宋" w:eastAsia="仿宋" w:hAnsi="仿宋" w:cs="仿宋" w:hint="eastAsia"/>
          <w:sz w:val="28"/>
          <w:lang w:eastAsia="zh-CN"/>
        </w:rPr>
        <w:t>二、煤焦油深加工产品项目建设背景及必要性分析</w:t>
      </w:r>
      <w:bookmarkEnd w:id="6"/>
    </w:p>
    <w:p>
      <w:pPr>
        <w:pStyle w:val="Heading2"/>
        <w:rPr>
          <w:rFonts w:ascii="仿宋" w:eastAsia="仿宋" w:hAnsi="仿宋" w:cs="仿宋" w:hint="eastAsia"/>
          <w:lang w:eastAsia="zh-CN"/>
        </w:rPr>
      </w:pPr>
      <w:bookmarkStart w:id="7" w:name="_Toc19982"/>
      <w:r>
        <w:rPr>
          <w:rFonts w:ascii="仿宋" w:eastAsia="仿宋" w:hAnsi="仿宋" w:cs="仿宋" w:hint="eastAsia"/>
          <w:lang w:eastAsia="zh-CN"/>
        </w:rPr>
        <w:t>(一)、煤焦油深加工产品项目背景分析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深加工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煤焦油深加工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煤焦油深加工产品项目在这个潮流中的定位。同时，我们将关注行业内涌现的新兴机遇，以便煤焦油深加工产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煤焦油深加工产品项目提供了强大的发展动力。我们将聚焦于行业内最新的技术发展趋势，包括但不限于人工智能、大数据分析、物联网等领域。通过深度的技术研究，我们将确保煤焦油深加工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煤焦油深加工产品项目发展的源泉。我们将投入更多的精力对市场需求进行深入剖析，超越表面的需求，深入挖掘潜在的市场痛点和机遇。通过对市场需求的细致了解，煤焦油深加工产品项目将更有针对性地设计解决方案，满足市场的多样化需求，从而更好地促进煤焦油深加工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煤焦油深加工产品项目战略至关重要。我们将对竞争态势进行更为深入的分析，包括但不限于市场份额、产品特点、客户满意度等多个维度。通过深度的竞争分析，煤焦油深加工产品项目将能够更准确地把握市场脉搏，制定具有竞争力的煤焦油深加工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煤焦油深加工产品项目的发展具有直接的影响。我们将进行更为全面的法规和政策分析，了解行业发展中的潜在法律风险和合规挑战。通过充分了解和遵守相关法规，煤焦油深加工产品项目将确保在法律框架内合法合规运营，为煤焦油深加工产品项目的稳健发展提供有力支持。</w:t>
      </w:r>
    </w:p>
    <w:p>
      <w:pPr>
        <w:pStyle w:val="Heading2"/>
        <w:ind w:firstLine="560" w:firstLineChars="200"/>
        <w:rPr>
          <w:rFonts w:ascii="仿宋" w:eastAsia="仿宋" w:hAnsi="仿宋" w:cs="仿宋" w:hint="eastAsia"/>
          <w:sz w:val="28"/>
          <w:lang w:eastAsia="zh-CN"/>
        </w:rPr>
      </w:pPr>
      <w:bookmarkStart w:id="8" w:name="_Toc32086"/>
      <w:r>
        <w:rPr>
          <w:rFonts w:ascii="仿宋" w:eastAsia="仿宋" w:hAnsi="仿宋" w:cs="仿宋" w:hint="eastAsia"/>
          <w:sz w:val="28"/>
          <w:lang w:eastAsia="zh-CN"/>
        </w:rPr>
        <w:t>(二)、煤焦油深加工产品项目建设必要性分析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深加工产品项目建设的迫切性源于对行业发展趋势的深刻洞察。我们正处于一个行业变革的时代，科技创新、数字化转型成为企业发展的关键动力。煤焦油深加工产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煤焦油深加工产品项目建设不仅仅是为了跟上潮流，更是为了通过技术创新推动企业的持续发展。通过引入先进的技术和解决方案，煤焦油深加工产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煤焦油深加工产品项目的建设成为必然选择，通过提高产品质量、拓展服务领域，从而在竞争中获得更多的机会。煤焦油深加工产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煤焦油深加工产品项目建设的必要性体现在对客户需求更精准的满足。通过煤焦油深加工产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深加工产品项目建设的背后是对企业持续创新的追求。只有通过不断创新，企业才能在竞争中立于不败之地。煤焦油深加工产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2666"/>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2008"/>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煤焦油深加工产品项目的主要产品是XXXX，预计年产值为XXX万元。这一产品在市场中占据着重要的地位，其广泛的应用范围使得该煤焦油深加工产品项目的市场前景非常广阔。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煤焦油深加工产品项目的xxx产品作为重要的原材料之一，将在多个领域发挥关键作用。其在建筑、交通、能源等方面的广泛应用将为整个产业链提供强大的支持，形成产业协同效应。煤焦油深加工产品项目的年产值XXX万XXX万XXX万万元不仅反映了其在市场上的巨大潜力，更预示着它对国民经济的积极贡献。这种关联度高、涉及面广的产业关系，使得该煤焦油深加工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4607"/>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深加工产品项目总征地面积为XXXX平方米，相当于约XX.XX亩，其中净用地面积为XXXX平方米，红线范围内相当于约XX.XX亩。这一用地规模充分考虑了煤焦油深加工产品项目的建设需求，保障了煤焦油深加工产品项目在合适的空间内得以充分发展。煤焦油深加工产品项目规划的总建筑面积为XXXX平方米，其中主体工程建设占XXXX平方米，计容建筑面积达XXXX平方米。预计建筑工程的投资将达到XXXX万元，为煤焦油深加工产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深加工产品项目计划购置的设备共计XXXX台（套），设备购置费用为XXXX万元。这一设备购置计划充分考虑到煤焦油深加工产品项目的生产需求和技术要求，确保了煤焦油深加工产品项目在生产运营中具备先进的技术装备和高效的生产能力。设备的合理配置将为煤焦油深加工产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深加工产品项目计划总投资为XXXX万元，预计年实现营业收入为XXXX万元。这一产能规模的设定旨在确保煤焦油深加工产品项目能够在投资与回报之间取得平衡，实现长期可持续的发展。煤焦油深加工产品项目的总投资充分考虑到各个方面的需求，包括用地建设、设备购置等多个环节，以确保煤焦油深加工产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3713"/>
      <w:r>
        <w:rPr>
          <w:rFonts w:ascii="仿宋" w:eastAsia="仿宋" w:hAnsi="仿宋" w:cs="仿宋" w:hint="eastAsia"/>
          <w:sz w:val="28"/>
          <w:lang w:eastAsia="zh-CN"/>
        </w:rPr>
        <w:t>四、煤焦油深加工产品项目概论</w:t>
      </w:r>
      <w:bookmarkEnd w:id="12"/>
    </w:p>
    <w:p>
      <w:pPr>
        <w:pStyle w:val="Heading2"/>
        <w:rPr>
          <w:rFonts w:ascii="仿宋" w:eastAsia="仿宋" w:hAnsi="仿宋" w:cs="仿宋" w:hint="eastAsia"/>
          <w:lang w:eastAsia="zh-CN"/>
        </w:rPr>
      </w:pPr>
      <w:bookmarkStart w:id="13" w:name="_Toc28040"/>
      <w:r>
        <w:rPr>
          <w:rFonts w:ascii="仿宋" w:eastAsia="仿宋" w:hAnsi="仿宋" w:cs="仿宋" w:hint="eastAsia"/>
          <w:lang w:eastAsia="zh-CN"/>
        </w:rPr>
        <w:t>(一)、煤焦油深加工产品项目概况</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深加工产品项目的起源追溯至对市场的深入洞察。市场的不断演变与变革为煤焦油深加工产品项目提供了难得的机遇。当前市场存在的需求缺口和变革的大环境共同构成了煤焦油深加工产品项目的背景。这个煤焦油深加工产品项目旨在充分利用市场机遇，填补行业中尚未满足的需求，为客户提供全新的解决方案。市场的变革和需求的增长使得这个煤焦油深加工产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煤焦油深加工产品项目名称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深加工产品项目正式命名为煤焦油深加工产品。这个名称不仅仅是一个标识，更代表了煤焦油深加工产品项目的核心理念和愿景。它蕴含着煤焦油深加工产品项目所要解决问题的关键字，具有强烈的表达和辨识度，为煤焦油深加工产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煤焦油深加工产品项目目标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深加工产品项目的核心目标是提供一种全新、高效的解决方案，满足客户日益增长的需求。煤焦油深加工产品项目追求的不仅仅是满足市场需求，更是在市场中获得卓越的竞争优势。通过不断提升产品或服务的质量和创新水平，煤焦油深加工产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煤焦油深加工产品项目范围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深加工产品项目全面涵盖了产品研发、制造、市场推广和售后服务，确保从产品设计到最终用户体验的全方位关注。这一全面的煤焦油深加工产品项目范围是为了确保煤焦油深加工产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煤焦油深加工产品项目时间表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煤焦油深加工产品项目计划在未来18个月内完成，包括研发、测试、市场试点和正式推出等不同阶段。这个时间表的合理设计是为了确保煤焦油深加工产品项目各个阶段的顺利推进，以便按时交付高质量的成果。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煤焦油深加工产品项目预算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深加工产品项目总预算估算为XX百万美元，主要分配在研发、市场推广、人员培训和运营等方面。这一充足的预算为煤焦油深加工产品项目提供了充足的资源，确保煤焦油深加工产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煤焦油深加工产品项目风险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深加工产品项目可能面临的风险包括市场接受度低、技术难题、竞争激烈等。煤焦油深加工产品项目团队已经制定了相应的风险应对计划，通过前瞻性的风险管理，确保煤焦油深加工产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煤焦油深加工产品项目团队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煤焦油深加工产品项目汇聚了一支经验丰富、多领域专业素养的核心团队，确保煤焦油深加工产品项目在各个方面都能拥有高水平的执行力。团队的协同作战是煤焦油深加工产品项目成功的关键因素之一。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1.9 煤焦油深加工产品项目背景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煤焦油深加工产品项目的背景根植于市场对更高效、创新产品的渴望，同时也受到科技发展对行业格局的深刻改变的影响。这为煤焦油深加工产品项目提供了广阔的发展空间和市场需求。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煤焦油深加工产品项目现状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截至目前，煤焦油深加工产品项目已完成市场调研和技术验证，取得了初步的成功。这为煤焦油深加工产品项目在未来的发展奠定了坚实的基础，为更远大的目标打下了坚实的基石。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4989"/>
      <w:r>
        <w:rPr>
          <w:rFonts w:ascii="仿宋" w:eastAsia="仿宋" w:hAnsi="仿宋" w:cs="仿宋" w:hint="eastAsia"/>
          <w:sz w:val="28"/>
          <w:lang w:eastAsia="zh-CN"/>
        </w:rPr>
        <w:t>(二)、煤焦油深加工产品项目目标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煤焦油深加工产品项目首要业务目标是在市场中占据有利地位，实现产品/服务的成功推广和销售。通过不断提升产品质量、创新性，煤焦油深加工产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在科技迅速发展的时代，煤焦油深加工产品项目着眼于技术创新。通过持续的研发和技术升级，煤焦油深加工产品项目旨在推出更具创新性的产品或服务，以满足市场对新鲜、先进解决方案的需求。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煤焦油深加工产品项目设定了客户满意度目标。通过提供卓越的产品质量和优质的客户服务，煤焦油深加工产品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煤焦油深加工产品项目注重社会责任和可持续发展。通过实施环保、社会责任煤焦油深加工产品项目，煤焦油深加工产品项目致力于在经济发展的同时保护环境，促进社会公平，实现可持续经营。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煤焦油深加工产品项目的团队是实现目标的核心驱动力。因此，煤焦油深加工产品项目设定了团队发展目标，包括提升团队成员的专业技能、培养领导力，以及搭建协同高效的团队工作氛围。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5967"/>
      <w:r>
        <w:rPr>
          <w:rFonts w:ascii="仿宋" w:eastAsia="仿宋" w:hAnsi="仿宋" w:cs="仿宋" w:hint="eastAsia"/>
          <w:sz w:val="28"/>
          <w:lang w:eastAsia="zh-CN"/>
        </w:rPr>
        <w:t>(三)、煤焦油深加工产品项目提出的理由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煤焦油深加工产品项目提出的理由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深加工产品项目的提出源于对市场机遇的深刻洞察。当前市场中存在的需求缺口和行业发展趋势表明，有巨大的商业机会等待被开发。通过准确捕捉市场机遇，煤焦油深加工产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深加工产品项目的理念基于对技术创新的信仰。通过持续的研发和技术投入，煤焦油深加工产品项目有望推出更具创新性的产品或服务。在科技飞速发展的当下，煤焦油深加工产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煤焦油深加工产品项目的提出是为了增强企业的行业竞争力。通过提升产品或服务的质量和独特性，煤焦油深加工产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深加工产品项目响应了消费者需求的变化。随着社会和科技的不断发展，消费者对产品和服务的需求也在发生变化。通过深入了解并及时回应消费者的新需求，煤焦油深加工产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深加工产品项目的提出是企业战略发展规划的一部分。在面对日益激烈的市场竞争和不断变化的商业环境中，煤焦油深加工产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深加工产品项目的提出不仅仅是基于商业考量，还注重社会责任。通过推出环保、社会责任等方面的煤焦油深加工产品项目，煤焦油深加工产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煤焦油深加工产品项目的提出反映了对利益相关者期望的关注。包括客户、员工、投资者等利益相关者在企业发展中都有着各自的期望，煤焦油深加工产品项目力求在满足这些期望的同时，取得更大的共赢。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https://d.book118.com/757066133051006045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煤焦油深加工产品项目计划设计方案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煤焦油深加工产品项目计划设计方案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煤焦油深加工产品项目计划设计方案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煤焦油深加工产品项目计划设计方案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煤焦油深加工产品项目计划设计方案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煤焦油深加工产品项目计划设计方案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煤焦油深加工产品项目计划设计方案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煤焦油深加工产品项目计划设计方案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煤焦油深加工产品项目计划设计方案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煤焦油深加工产品项目计划设计方案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煤焦油深加工产品项目计划设计方案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煤焦油深加工产品项目计划设计方案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煤焦油深加工产品项目计划设计方案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煤焦油深加工产品项目计划设计方案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煤焦油深加工产品项目计划设计方案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煤焦油深加工产品项目计划设计方案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煤焦油深加工产品项目计划设计方案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600F93"/>
    <w:rsid w:val="24600F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706613305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2024-02-21T19:35:00Z</dcterms:created>
  <dcterms:modified xsi:type="dcterms:W3CDTF">2024-02-21T19:36:10Z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3EAA13095C7C4AF4A0FCE6542A4100D9_11</vt:lpwstr>
  </property>
  <property fmtid="{D5CDD505-2E9C-101B-9397-08002B2CF9AE}" pid="3" name="KSOProductBuildVer">
    <vt:lpwstr>2052-12.1.0.16250</vt:lpwstr>
  </property>
</Properties>
</file>