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2"/>
        </w:rPr>
      </w:pPr>
    </w:p>
    <w:p>
      <w:pPr>
        <w:pStyle w:val="Title"/>
        <w:ind w:firstLine="440" w:firstLineChars="100"/>
        <w:rPr>
          <w:b/>
          <w:bCs/>
        </w:rPr>
      </w:pPr>
      <w:bookmarkStart w:id="0" w:name="_GoBack"/>
      <w:r>
        <w:rPr>
          <w:b/>
          <w:bCs/>
        </w:rPr>
        <w:t>光伏发电与外墙一体化技术规程</w:t>
      </w:r>
    </w:p>
    <w:bookmarkEnd w:id="0"/>
    <w:p>
      <w:pPr>
        <w:spacing w:after="0"/>
        <w:sectPr>
          <w:footerReference w:type="default" r:id="rId5"/>
          <w:type w:val="continuous"/>
          <w:pgSz w:w="11910" w:h="16850"/>
          <w:pgMar w:top="1600" w:right="660" w:bottom="920" w:left="920" w:header="720" w:footer="736" w:gutter="0"/>
          <w:pgNumType w:start="1"/>
          <w:cols w:num="1" w:space="720"/>
        </w:sectPr>
      </w:pPr>
    </w:p>
    <w:p>
      <w:pPr>
        <w:spacing w:before="50"/>
        <w:ind w:left="2864" w:right="2698" w:firstLine="0"/>
        <w:jc w:val="center"/>
        <w:rPr>
          <w:sz w:val="28"/>
        </w:rPr>
      </w:pPr>
      <w:r>
        <w:rPr>
          <w:sz w:val="28"/>
        </w:rPr>
        <w:t>目 录</w:t>
      </w:r>
    </w:p>
    <w:p>
      <w:pPr>
        <w:spacing w:after="0"/>
        <w:jc w:val="center"/>
        <w:rPr>
          <w:sz w:val="28"/>
        </w:rPr>
        <w:sectPr>
          <w:footerReference w:type="default" r:id="rId6"/>
          <w:pgSz w:w="11910" w:h="16850"/>
          <w:pgMar w:top="1080" w:right="660" w:bottom="1275" w:left="920" w:header="0" w:footer="736" w:gutter="0"/>
          <w:pgNumType w:start="3"/>
          <w:cols w:num="1" w:space="720"/>
        </w:sectPr>
      </w:pPr>
    </w:p>
    <w:sdt>
      <w:sdtPr>
        <w:id w:val="1"/>
        <w:docPartObj>
          <w:docPartGallery w:val="Table of Contents"/>
          <w:docPartUnique/>
        </w:docPartObj>
      </w:sdtPr>
      <w:sdtContent>
        <w:p>
          <w:pPr>
            <w:pStyle w:val="TOC1"/>
            <w:numPr>
              <w:ilvl w:val="0"/>
              <w:numId w:val="1"/>
            </w:numPr>
            <w:tabs>
              <w:tab w:val="left" w:pos="581"/>
              <w:tab w:val="left" w:pos="1059"/>
              <w:tab w:val="left" w:leader="dot" w:pos="9232"/>
            </w:tabs>
            <w:spacing w:before="179" w:after="0" w:line="240" w:lineRule="auto"/>
            <w:ind w:left="1058" w:right="0" w:hanging="891"/>
            <w:jc w:val="left"/>
            <w:rPr>
              <w:rFonts w:ascii="Times New Roman" w:eastAsia="Times New Roman"/>
            </w:rPr>
          </w:pPr>
          <w:hyperlink w:anchor="_TOC_250047" w:history="1">
            <w:r>
              <w:t>总则</w:t>
            </w:r>
            <w:r>
              <w:rPr>
                <w:rFonts w:ascii="Times New Roman" w:eastAsia="Times New Roman"/>
              </w:rPr>
              <w:tab/>
            </w:r>
            <w:r>
              <w:rPr>
                <w:rFonts w:ascii="Times New Roman" w:eastAsia="Times New Roman"/>
              </w:rPr>
              <w:t>5</w:t>
            </w:r>
          </w:hyperlink>
        </w:p>
        <w:p>
          <w:pPr>
            <w:pStyle w:val="TOC1"/>
            <w:numPr>
              <w:ilvl w:val="0"/>
              <w:numId w:val="1"/>
            </w:numPr>
            <w:tabs>
              <w:tab w:val="left" w:pos="581"/>
              <w:tab w:val="left" w:pos="1059"/>
              <w:tab w:val="left" w:leader="dot" w:pos="9232"/>
            </w:tabs>
            <w:spacing w:before="179" w:after="0" w:line="240" w:lineRule="auto"/>
            <w:ind w:left="1058" w:right="0" w:hanging="891"/>
            <w:jc w:val="left"/>
            <w:rPr>
              <w:rFonts w:ascii="Times New Roman" w:eastAsia="Times New Roman"/>
            </w:rPr>
          </w:pPr>
          <w:hyperlink w:anchor="_TOC_250046" w:history="1">
            <w:r>
              <w:t>术语</w:t>
            </w:r>
            <w:r>
              <w:rPr>
                <w:rFonts w:ascii="Times New Roman" w:eastAsia="Times New Roman"/>
              </w:rPr>
              <w:tab/>
            </w:r>
            <w:r>
              <w:rPr>
                <w:rFonts w:ascii="Times New Roman" w:eastAsia="Times New Roman"/>
              </w:rPr>
              <w:t>5</w:t>
            </w:r>
          </w:hyperlink>
        </w:p>
        <w:p>
          <w:pPr>
            <w:pStyle w:val="TOC3"/>
            <w:numPr>
              <w:ilvl w:val="1"/>
              <w:numId w:val="1"/>
            </w:numPr>
            <w:tabs>
              <w:tab w:val="left" w:pos="1893"/>
              <w:tab w:val="left" w:pos="1894"/>
              <w:tab w:val="left" w:leader="dot" w:pos="9723"/>
            </w:tabs>
            <w:spacing w:before="183" w:after="0" w:line="240" w:lineRule="auto"/>
            <w:ind w:left="1893" w:right="0" w:hanging="774"/>
            <w:jc w:val="left"/>
          </w:pPr>
          <w:hyperlink w:anchor="_TOC_250045" w:history="1">
            <w:r>
              <w:rPr>
                <w:rFonts w:ascii="宋体" w:eastAsia="宋体" w:hint="eastAsia"/>
              </w:rPr>
              <w:t>光伏组件（</w:t>
            </w:r>
            <w:r>
              <w:t>PV</w:t>
            </w:r>
            <w:r>
              <w:rPr>
                <w:spacing w:val="-1"/>
              </w:rPr>
              <w:t xml:space="preserve"> </w:t>
            </w:r>
            <w:r>
              <w:t>module</w:t>
            </w:r>
            <w:r>
              <w:rPr>
                <w:rFonts w:ascii="宋体" w:eastAsia="宋体" w:hint="eastAsia"/>
              </w:rPr>
              <w:t>）</w:t>
            </w:r>
            <w:r>
              <w:tab/>
            </w:r>
            <w:r>
              <w:t>5</w:t>
            </w:r>
          </w:hyperlink>
        </w:p>
        <w:p>
          <w:pPr>
            <w:pStyle w:val="TOC3"/>
            <w:numPr>
              <w:ilvl w:val="1"/>
              <w:numId w:val="1"/>
            </w:numPr>
            <w:tabs>
              <w:tab w:val="left" w:pos="1893"/>
              <w:tab w:val="left" w:pos="1894"/>
              <w:tab w:val="left" w:leader="dot" w:pos="9723"/>
            </w:tabs>
            <w:spacing w:before="173" w:after="0" w:line="240" w:lineRule="auto"/>
            <w:ind w:left="1893" w:right="0" w:hanging="774"/>
            <w:jc w:val="left"/>
          </w:pPr>
          <w:r>
            <w:rPr>
              <w:rFonts w:ascii="宋体" w:eastAsia="宋体" w:hint="eastAsia"/>
            </w:rPr>
            <w:t>预制混凝土外墙（</w:t>
          </w:r>
          <w:r>
            <w:t>precast</w:t>
          </w:r>
          <w:r>
            <w:rPr>
              <w:spacing w:val="-2"/>
            </w:rPr>
            <w:t xml:space="preserve"> </w:t>
          </w:r>
          <w:r>
            <w:t>concrete walls</w:t>
          </w:r>
          <w:r>
            <w:rPr>
              <w:rFonts w:ascii="宋体" w:eastAsia="宋体" w:hint="eastAsia"/>
            </w:rPr>
            <w:t>）</w:t>
          </w:r>
          <w:r>
            <w:tab/>
          </w:r>
          <w:r>
            <w:t>5</w:t>
          </w:r>
        </w:p>
        <w:p>
          <w:pPr>
            <w:pStyle w:val="TOC3"/>
            <w:numPr>
              <w:ilvl w:val="1"/>
              <w:numId w:val="1"/>
            </w:numPr>
            <w:tabs>
              <w:tab w:val="left" w:pos="1893"/>
              <w:tab w:val="left" w:pos="1894"/>
              <w:tab w:val="left" w:leader="dot" w:pos="9723"/>
            </w:tabs>
            <w:spacing w:before="170" w:after="0" w:line="278" w:lineRule="auto"/>
            <w:ind w:left="693" w:right="480" w:firstLine="427"/>
            <w:jc w:val="left"/>
          </w:pPr>
          <w:r>
            <w:rPr>
              <w:rFonts w:ascii="宋体" w:eastAsia="宋体" w:hint="eastAsia"/>
            </w:rPr>
            <w:t>光伏与预制外墙一体化技术（</w:t>
          </w:r>
          <w:r>
            <w:t>the integrated technology</w:t>
          </w:r>
          <w:r>
            <w:rPr>
              <w:spacing w:val="-5"/>
            </w:rPr>
            <w:t xml:space="preserve"> </w:t>
          </w:r>
          <w:r>
            <w:t>of PV and precast concrete</w:t>
          </w:r>
          <w:r>
            <w:rPr>
              <w:spacing w:val="-3"/>
            </w:rPr>
            <w:t xml:space="preserve"> </w:t>
          </w:r>
          <w:r>
            <w:t>walls</w:t>
          </w:r>
          <w:r>
            <w:rPr>
              <w:rFonts w:ascii="宋体" w:eastAsia="宋体" w:hint="eastAsia"/>
            </w:rPr>
            <w:t>）</w:t>
          </w:r>
          <w:r>
            <w:tab/>
          </w:r>
          <w:r>
            <w:rPr>
              <w:spacing w:val="-17"/>
            </w:rPr>
            <w:t>5</w:t>
          </w:r>
        </w:p>
        <w:p>
          <w:pPr>
            <w:pStyle w:val="TOC3"/>
            <w:numPr>
              <w:ilvl w:val="1"/>
              <w:numId w:val="1"/>
            </w:numPr>
            <w:tabs>
              <w:tab w:val="left" w:pos="1893"/>
              <w:tab w:val="left" w:pos="1894"/>
              <w:tab w:val="left" w:leader="dot" w:pos="9723"/>
            </w:tabs>
            <w:spacing w:before="122" w:after="0" w:line="240" w:lineRule="auto"/>
            <w:ind w:left="1893" w:right="0" w:hanging="774"/>
            <w:jc w:val="left"/>
          </w:pPr>
          <w:hyperlink w:anchor="_TOC_250044" w:history="1">
            <w:r>
              <w:rPr>
                <w:rFonts w:ascii="宋体" w:eastAsia="宋体" w:hint="eastAsia"/>
              </w:rPr>
              <w:t>直流汇流箱（</w:t>
            </w:r>
            <w:r>
              <w:t>DC</w:t>
            </w:r>
            <w:r>
              <w:rPr>
                <w:spacing w:val="-1"/>
              </w:rPr>
              <w:t xml:space="preserve"> </w:t>
            </w:r>
            <w:r>
              <w:t>combiner</w:t>
            </w:r>
            <w:r>
              <w:rPr>
                <w:rFonts w:ascii="宋体" w:eastAsia="宋体" w:hint="eastAsia"/>
              </w:rPr>
              <w:t>）</w:t>
            </w:r>
            <w:r>
              <w:tab/>
            </w:r>
            <w:r>
              <w:t>5</w:t>
            </w:r>
          </w:hyperlink>
        </w:p>
        <w:p>
          <w:pPr>
            <w:pStyle w:val="TOC4"/>
            <w:numPr>
              <w:ilvl w:val="1"/>
              <w:numId w:val="1"/>
            </w:numPr>
            <w:tabs>
              <w:tab w:val="left" w:pos="1893"/>
              <w:tab w:val="left" w:pos="1894"/>
              <w:tab w:val="left" w:leader="dot" w:pos="7673"/>
            </w:tabs>
            <w:spacing w:before="170" w:after="0" w:line="240" w:lineRule="auto"/>
            <w:ind w:left="1893" w:right="0" w:hanging="774"/>
            <w:jc w:val="left"/>
            <w:rPr>
              <w:i w:val="0"/>
              <w:sz w:val="24"/>
            </w:rPr>
          </w:pPr>
          <w:r>
            <w:rPr>
              <w:rFonts w:ascii="宋体" w:eastAsia="宋体" w:hint="eastAsia"/>
              <w:b w:val="0"/>
              <w:i w:val="0"/>
              <w:sz w:val="24"/>
            </w:rPr>
            <w:t>并网逆变器（</w:t>
          </w:r>
          <w:r>
            <w:rPr>
              <w:b w:val="0"/>
              <w:i w:val="0"/>
              <w:sz w:val="24"/>
            </w:rPr>
            <w:t>Grid</w:t>
          </w:r>
          <w:r>
            <w:rPr>
              <w:b w:val="0"/>
              <w:i w:val="0"/>
              <w:spacing w:val="-1"/>
              <w:sz w:val="24"/>
            </w:rPr>
            <w:t xml:space="preserve"> </w:t>
          </w:r>
          <w:r>
            <w:rPr>
              <w:b w:val="0"/>
              <w:i w:val="0"/>
              <w:sz w:val="24"/>
            </w:rPr>
            <w:t>connected</w:t>
          </w:r>
          <w:r>
            <w:rPr>
              <w:b w:val="0"/>
              <w:i w:val="0"/>
              <w:spacing w:val="-1"/>
              <w:sz w:val="24"/>
            </w:rPr>
            <w:t xml:space="preserve"> </w:t>
          </w:r>
          <w:r>
            <w:rPr>
              <w:b w:val="0"/>
              <w:i w:val="0"/>
              <w:sz w:val="24"/>
            </w:rPr>
            <w:t>inverter</w:t>
          </w:r>
          <w:r>
            <w:rPr>
              <w:rFonts w:ascii="宋体" w:eastAsia="宋体" w:hint="eastAsia"/>
              <w:b w:val="0"/>
              <w:i w:val="0"/>
              <w:sz w:val="24"/>
            </w:rPr>
            <w:t>）</w:t>
          </w:r>
          <w:r>
            <w:rPr>
              <w:b w:val="0"/>
              <w:i w:val="0"/>
              <w:sz w:val="24"/>
            </w:rPr>
            <w:tab/>
          </w:r>
          <w:r>
            <w:rPr>
              <w:rFonts w:ascii="宋体" w:eastAsia="宋体" w:hint="eastAsia"/>
              <w:i w:val="0"/>
              <w:sz w:val="24"/>
            </w:rPr>
            <w:t>错误！未定义书签。</w:t>
          </w:r>
        </w:p>
        <w:p>
          <w:pPr>
            <w:pStyle w:val="TOC3"/>
            <w:numPr>
              <w:ilvl w:val="1"/>
              <w:numId w:val="1"/>
            </w:numPr>
            <w:tabs>
              <w:tab w:val="left" w:pos="1893"/>
              <w:tab w:val="left" w:pos="1894"/>
              <w:tab w:val="left" w:leader="dot" w:pos="9723"/>
            </w:tabs>
            <w:spacing w:before="170" w:after="0" w:line="240" w:lineRule="auto"/>
            <w:ind w:left="1893" w:right="0" w:hanging="774"/>
            <w:jc w:val="left"/>
          </w:pPr>
          <w:hyperlink w:anchor="_TOC_250043" w:history="1">
            <w:r>
              <w:rPr>
                <w:rFonts w:ascii="宋体" w:eastAsia="宋体" w:hint="eastAsia"/>
              </w:rPr>
              <w:t>电表（</w:t>
            </w:r>
            <w:r>
              <w:t>Meter</w:t>
            </w:r>
            <w:r>
              <w:rPr>
                <w:spacing w:val="-1"/>
              </w:rPr>
              <w:t xml:space="preserve"> </w:t>
            </w:r>
            <w:r>
              <w:t>for</w:t>
            </w:r>
            <w:r>
              <w:rPr>
                <w:spacing w:val="-1"/>
              </w:rPr>
              <w:t xml:space="preserve"> </w:t>
            </w:r>
            <w:r>
              <w:t>measuring</w:t>
            </w:r>
            <w:r>
              <w:rPr>
                <w:spacing w:val="-4"/>
              </w:rPr>
              <w:t xml:space="preserve"> </w:t>
            </w:r>
            <w:r>
              <w:t>electricity</w:t>
            </w:r>
            <w:r>
              <w:rPr>
                <w:rFonts w:ascii="宋体" w:eastAsia="宋体" w:hint="eastAsia"/>
              </w:rPr>
              <w:t>）</w:t>
            </w:r>
            <w:r>
              <w:tab/>
            </w:r>
            <w:r>
              <w:t>5</w:t>
            </w:r>
          </w:hyperlink>
        </w:p>
        <w:p>
          <w:pPr>
            <w:pStyle w:val="TOC3"/>
            <w:numPr>
              <w:ilvl w:val="1"/>
              <w:numId w:val="1"/>
            </w:numPr>
            <w:tabs>
              <w:tab w:val="left" w:pos="1893"/>
              <w:tab w:val="left" w:pos="1894"/>
              <w:tab w:val="left" w:leader="dot" w:pos="9723"/>
            </w:tabs>
            <w:spacing w:before="170" w:after="0" w:line="240" w:lineRule="auto"/>
            <w:ind w:left="1893" w:right="0" w:hanging="774"/>
            <w:jc w:val="left"/>
          </w:pPr>
          <w:hyperlink w:anchor="_TOC_250042" w:history="1">
            <w:r>
              <w:rPr>
                <w:rFonts w:ascii="宋体" w:eastAsia="宋体" w:hint="eastAsia"/>
              </w:rPr>
              <w:t>光伏并网发电系统（</w:t>
            </w:r>
            <w:r>
              <w:t>Grid-connected</w:t>
            </w:r>
            <w:r>
              <w:rPr>
                <w:spacing w:val="-1"/>
              </w:rPr>
              <w:t xml:space="preserve"> </w:t>
            </w:r>
            <w:r>
              <w:t>photovoltaic</w:t>
            </w:r>
            <w:r>
              <w:rPr>
                <w:spacing w:val="-2"/>
              </w:rPr>
              <w:t xml:space="preserve"> </w:t>
            </w:r>
            <w:r>
              <w:t>power</w:t>
            </w:r>
            <w:r>
              <w:rPr>
                <w:spacing w:val="-1"/>
              </w:rPr>
              <w:t xml:space="preserve"> </w:t>
            </w:r>
            <w:r>
              <w:t>system</w:t>
            </w:r>
            <w:r>
              <w:rPr>
                <w:rFonts w:ascii="宋体" w:eastAsia="宋体" w:hint="eastAsia"/>
              </w:rPr>
              <w:t>）</w:t>
            </w:r>
            <w:r>
              <w:tab/>
            </w:r>
            <w:r>
              <w:t>6</w:t>
            </w:r>
          </w:hyperlink>
        </w:p>
        <w:p>
          <w:pPr>
            <w:pStyle w:val="TOC3"/>
            <w:numPr>
              <w:ilvl w:val="1"/>
              <w:numId w:val="1"/>
            </w:numPr>
            <w:tabs>
              <w:tab w:val="left" w:pos="1893"/>
              <w:tab w:val="left" w:pos="1894"/>
              <w:tab w:val="left" w:leader="dot" w:pos="9723"/>
            </w:tabs>
            <w:spacing w:before="173" w:after="0" w:line="240" w:lineRule="auto"/>
            <w:ind w:left="1893" w:right="0" w:hanging="774"/>
            <w:jc w:val="left"/>
          </w:pPr>
          <w:hyperlink w:anchor="_TOC_250041" w:history="1">
            <w:r>
              <w:rPr>
                <w:rFonts w:ascii="宋体" w:eastAsia="宋体" w:hint="eastAsia"/>
              </w:rPr>
              <w:t>建筑模数（</w:t>
            </w:r>
            <w:r>
              <w:t>Construction</w:t>
            </w:r>
            <w:r>
              <w:rPr>
                <w:spacing w:val="-1"/>
              </w:rPr>
              <w:t xml:space="preserve"> </w:t>
            </w:r>
            <w:r>
              <w:t>module</w:t>
            </w:r>
            <w:r>
              <w:rPr>
                <w:rFonts w:ascii="宋体" w:eastAsia="宋体" w:hint="eastAsia"/>
              </w:rPr>
              <w:t>）</w:t>
            </w:r>
            <w:r>
              <w:tab/>
            </w:r>
            <w:r>
              <w:t>6</w:t>
            </w:r>
          </w:hyperlink>
        </w:p>
        <w:p>
          <w:pPr>
            <w:pStyle w:val="TOC3"/>
            <w:numPr>
              <w:ilvl w:val="1"/>
              <w:numId w:val="1"/>
            </w:numPr>
            <w:tabs>
              <w:tab w:val="left" w:pos="1893"/>
              <w:tab w:val="left" w:pos="1894"/>
              <w:tab w:val="left" w:leader="dot" w:pos="9723"/>
            </w:tabs>
            <w:spacing w:before="170" w:after="0" w:line="240" w:lineRule="auto"/>
            <w:ind w:left="1893" w:right="0" w:hanging="774"/>
            <w:jc w:val="left"/>
            <w:rPr>
              <w:rFonts w:ascii="宋体" w:eastAsia="宋体" w:hint="eastAsia"/>
            </w:rPr>
          </w:pPr>
          <w:hyperlink w:anchor="_TOC_250040" w:history="1">
            <w:r>
              <w:rPr>
                <w:rFonts w:ascii="宋体" w:eastAsia="宋体" w:hint="eastAsia"/>
              </w:rPr>
              <w:t>孤岛效应（</w:t>
            </w:r>
            <w:r>
              <w:t>Islanding</w:t>
            </w:r>
            <w:r>
              <w:rPr>
                <w:spacing w:val="-2"/>
              </w:rPr>
              <w:t xml:space="preserve"> </w:t>
            </w:r>
            <w:r>
              <w:t>effect</w:t>
            </w:r>
            <w:r>
              <w:rPr>
                <w:rFonts w:ascii="宋体" w:eastAsia="宋体" w:hint="eastAsia"/>
              </w:rPr>
              <w:t>）</w:t>
            </w:r>
            <w:r>
              <w:tab/>
            </w:r>
            <w:r>
              <w:t>6</w:t>
            </w:r>
          </w:hyperlink>
        </w:p>
        <w:p>
          <w:pPr>
            <w:pStyle w:val="TOC3"/>
            <w:numPr>
              <w:ilvl w:val="1"/>
              <w:numId w:val="1"/>
            </w:numPr>
            <w:tabs>
              <w:tab w:val="left" w:pos="1893"/>
              <w:tab w:val="left" w:pos="1894"/>
              <w:tab w:val="left" w:leader="dot" w:pos="9723"/>
            </w:tabs>
            <w:spacing w:before="170" w:after="0" w:line="240" w:lineRule="auto"/>
            <w:ind w:left="1893" w:right="0" w:hanging="774"/>
            <w:jc w:val="left"/>
          </w:pPr>
          <w:hyperlink w:anchor="_TOC_250039" w:history="1">
            <w:r>
              <w:rPr>
                <w:rFonts w:ascii="宋体" w:eastAsia="宋体" w:hint="eastAsia"/>
              </w:rPr>
              <w:t>电网保护装置（</w:t>
            </w:r>
            <w:r>
              <w:t>Protection</w:t>
            </w:r>
            <w:r>
              <w:rPr>
                <w:spacing w:val="-2"/>
              </w:rPr>
              <w:t xml:space="preserve"> </w:t>
            </w:r>
            <w:r>
              <w:t>device</w:t>
            </w:r>
            <w:r>
              <w:rPr>
                <w:spacing w:val="-3"/>
              </w:rPr>
              <w:t xml:space="preserve"> </w:t>
            </w:r>
            <w:r>
              <w:t>for</w:t>
            </w:r>
            <w:r>
              <w:rPr>
                <w:spacing w:val="1"/>
              </w:rPr>
              <w:t xml:space="preserve"> </w:t>
            </w:r>
            <w:r>
              <w:t>grid</w:t>
            </w:r>
            <w:r>
              <w:rPr>
                <w:rFonts w:ascii="宋体" w:eastAsia="宋体" w:hint="eastAsia"/>
              </w:rPr>
              <w:t>）</w:t>
            </w:r>
            <w:r>
              <w:tab/>
            </w:r>
            <w:r>
              <w:t>6</w:t>
            </w:r>
          </w:hyperlink>
        </w:p>
        <w:p>
          <w:pPr>
            <w:pStyle w:val="TOC1"/>
            <w:numPr>
              <w:ilvl w:val="0"/>
              <w:numId w:val="1"/>
            </w:numPr>
            <w:tabs>
              <w:tab w:val="left" w:pos="581"/>
              <w:tab w:val="left" w:pos="1059"/>
              <w:tab w:val="left" w:leader="dot" w:pos="9232"/>
            </w:tabs>
            <w:spacing w:before="167" w:after="0" w:line="240" w:lineRule="auto"/>
            <w:ind w:left="1058" w:right="0" w:hanging="891"/>
            <w:jc w:val="left"/>
            <w:rPr>
              <w:rFonts w:ascii="Times New Roman" w:eastAsia="Times New Roman"/>
            </w:rPr>
          </w:pPr>
          <w:hyperlink w:anchor="_TOC_250038" w:history="1">
            <w:r>
              <w:t>材料、</w:t>
            </w:r>
            <w:r>
              <w:rPr>
                <w:spacing w:val="-3"/>
              </w:rPr>
              <w:t>部</w:t>
            </w:r>
            <w:r>
              <w:t>件和</w:t>
            </w:r>
            <w:r>
              <w:rPr>
                <w:spacing w:val="-3"/>
              </w:rPr>
              <w:t>设</w:t>
            </w:r>
            <w:r>
              <w:t>备</w:t>
            </w:r>
            <w:r>
              <w:rPr>
                <w:rFonts w:ascii="Times New Roman" w:eastAsia="Times New Roman"/>
              </w:rPr>
              <w:tab/>
            </w:r>
            <w:r>
              <w:rPr>
                <w:rFonts w:ascii="Times New Roman" w:eastAsia="Times New Roman"/>
              </w:rPr>
              <w:t>7</w:t>
            </w:r>
          </w:hyperlink>
        </w:p>
        <w:p>
          <w:pPr>
            <w:pStyle w:val="TOC3"/>
            <w:numPr>
              <w:ilvl w:val="1"/>
              <w:numId w:val="1"/>
            </w:numPr>
            <w:tabs>
              <w:tab w:val="left" w:pos="1893"/>
              <w:tab w:val="left" w:pos="1894"/>
              <w:tab w:val="left" w:leader="dot" w:pos="9723"/>
            </w:tabs>
            <w:spacing w:before="182" w:after="0" w:line="240" w:lineRule="auto"/>
            <w:ind w:left="1893" w:right="0" w:hanging="774"/>
            <w:jc w:val="left"/>
          </w:pPr>
          <w:hyperlink w:anchor="_TOC_250037" w:history="1">
            <w:r>
              <w:rPr>
                <w:rFonts w:ascii="宋体" w:eastAsia="宋体" w:hint="eastAsia"/>
              </w:rPr>
              <w:t>一般规定</w:t>
            </w:r>
            <w:r>
              <w:tab/>
            </w:r>
            <w:r>
              <w:t>7</w:t>
            </w:r>
          </w:hyperlink>
        </w:p>
        <w:p>
          <w:pPr>
            <w:pStyle w:val="TOC3"/>
            <w:numPr>
              <w:ilvl w:val="1"/>
              <w:numId w:val="1"/>
            </w:numPr>
            <w:tabs>
              <w:tab w:val="left" w:pos="1893"/>
              <w:tab w:val="left" w:pos="1894"/>
              <w:tab w:val="left" w:leader="dot" w:pos="9723"/>
            </w:tabs>
            <w:spacing w:before="170" w:after="0" w:line="240" w:lineRule="auto"/>
            <w:ind w:left="1893" w:right="0" w:hanging="774"/>
            <w:jc w:val="left"/>
          </w:pPr>
          <w:hyperlink w:anchor="_TOC_250036" w:history="1">
            <w:r>
              <w:rPr>
                <w:rFonts w:ascii="宋体" w:eastAsia="宋体" w:hint="eastAsia"/>
              </w:rPr>
              <w:t>光伏组件</w:t>
            </w:r>
            <w:r>
              <w:tab/>
            </w:r>
            <w:r>
              <w:t>7</w:t>
            </w:r>
          </w:hyperlink>
        </w:p>
        <w:p>
          <w:pPr>
            <w:pStyle w:val="TOC3"/>
            <w:numPr>
              <w:ilvl w:val="1"/>
              <w:numId w:val="1"/>
            </w:numPr>
            <w:tabs>
              <w:tab w:val="left" w:pos="1893"/>
              <w:tab w:val="left" w:pos="1894"/>
              <w:tab w:val="left" w:leader="dot" w:pos="9723"/>
            </w:tabs>
            <w:spacing w:before="171" w:after="0" w:line="240" w:lineRule="auto"/>
            <w:ind w:left="1893" w:right="0" w:hanging="774"/>
            <w:jc w:val="left"/>
          </w:pPr>
          <w:hyperlink w:anchor="_TOC_250035" w:history="1">
            <w:r>
              <w:rPr>
                <w:rFonts w:ascii="宋体" w:eastAsia="宋体" w:hint="eastAsia"/>
              </w:rPr>
              <w:t>混凝土预制外墙</w:t>
            </w:r>
            <w:r>
              <w:tab/>
            </w:r>
            <w:r>
              <w:t>8</w:t>
            </w:r>
          </w:hyperlink>
        </w:p>
        <w:p>
          <w:pPr>
            <w:pStyle w:val="TOC3"/>
            <w:numPr>
              <w:ilvl w:val="1"/>
              <w:numId w:val="1"/>
            </w:numPr>
            <w:tabs>
              <w:tab w:val="left" w:pos="1893"/>
              <w:tab w:val="left" w:pos="1894"/>
              <w:tab w:val="left" w:leader="dot" w:pos="9723"/>
            </w:tabs>
            <w:spacing w:before="170" w:after="0" w:line="240" w:lineRule="auto"/>
            <w:ind w:left="1893" w:right="0" w:hanging="774"/>
            <w:jc w:val="left"/>
          </w:pPr>
          <w:hyperlink w:anchor="_TOC_250034" w:history="1">
            <w:r>
              <w:rPr>
                <w:rFonts w:ascii="宋体" w:eastAsia="宋体" w:hint="eastAsia"/>
              </w:rPr>
              <w:t>控制器、逆变器</w:t>
            </w:r>
            <w:r>
              <w:tab/>
            </w:r>
            <w:r>
              <w:t>9</w:t>
            </w:r>
          </w:hyperlink>
        </w:p>
        <w:p>
          <w:pPr>
            <w:pStyle w:val="TOC3"/>
            <w:numPr>
              <w:ilvl w:val="1"/>
              <w:numId w:val="1"/>
            </w:numPr>
            <w:tabs>
              <w:tab w:val="left" w:pos="1893"/>
              <w:tab w:val="left" w:pos="1894"/>
              <w:tab w:val="left" w:leader="dot" w:pos="9723"/>
            </w:tabs>
            <w:spacing w:before="172" w:after="0" w:line="240" w:lineRule="auto"/>
            <w:ind w:left="1893" w:right="0" w:hanging="774"/>
            <w:jc w:val="left"/>
          </w:pPr>
          <w:hyperlink w:anchor="_TOC_250033" w:history="1">
            <w:r>
              <w:rPr>
                <w:rFonts w:ascii="宋体" w:eastAsia="宋体" w:hint="eastAsia"/>
              </w:rPr>
              <w:t>储能设备</w:t>
            </w:r>
            <w:r>
              <w:tab/>
            </w:r>
            <w:r>
              <w:t>9</w:t>
            </w:r>
          </w:hyperlink>
        </w:p>
        <w:p>
          <w:pPr>
            <w:pStyle w:val="TOC3"/>
            <w:numPr>
              <w:ilvl w:val="1"/>
              <w:numId w:val="1"/>
            </w:numPr>
            <w:tabs>
              <w:tab w:val="left" w:pos="1893"/>
              <w:tab w:val="left" w:pos="1894"/>
              <w:tab w:val="left" w:leader="dot" w:pos="9603"/>
            </w:tabs>
            <w:spacing w:before="171" w:after="0" w:line="240" w:lineRule="auto"/>
            <w:ind w:left="1893" w:right="0" w:hanging="774"/>
            <w:jc w:val="left"/>
          </w:pPr>
          <w:hyperlink w:anchor="_TOC_250032" w:history="1">
            <w:r>
              <w:rPr>
                <w:rFonts w:ascii="宋体" w:eastAsia="宋体" w:hint="eastAsia"/>
              </w:rPr>
              <w:t>汇流箱、配电柜</w:t>
            </w:r>
            <w:r>
              <w:tab/>
            </w:r>
            <w:r>
              <w:t>10</w:t>
            </w:r>
          </w:hyperlink>
        </w:p>
        <w:p>
          <w:pPr>
            <w:pStyle w:val="TOC1"/>
            <w:numPr>
              <w:ilvl w:val="0"/>
              <w:numId w:val="1"/>
            </w:numPr>
            <w:tabs>
              <w:tab w:val="left" w:pos="582"/>
              <w:tab w:val="left" w:pos="1059"/>
              <w:tab w:val="left" w:leader="dot" w:pos="9091"/>
            </w:tabs>
            <w:spacing w:before="166" w:after="0" w:line="240" w:lineRule="auto"/>
            <w:ind w:left="1058" w:right="0" w:hanging="890"/>
            <w:jc w:val="left"/>
            <w:rPr>
              <w:rFonts w:ascii="Times New Roman" w:eastAsia="Times New Roman"/>
            </w:rPr>
          </w:pPr>
          <w:hyperlink w:anchor="_TOC_250031" w:history="1">
            <w:r>
              <w:t>光伏系</w:t>
            </w:r>
            <w:r>
              <w:rPr>
                <w:spacing w:val="-3"/>
              </w:rPr>
              <w:t>统</w:t>
            </w:r>
            <w:r>
              <w:t>设计</w:t>
            </w:r>
            <w:r>
              <w:rPr>
                <w:rFonts w:ascii="Times New Roman" w:eastAsia="Times New Roman"/>
              </w:rPr>
              <w:tab/>
            </w:r>
            <w:r>
              <w:rPr>
                <w:rFonts w:ascii="Times New Roman" w:eastAsia="Times New Roman"/>
              </w:rPr>
              <w:t>10</w:t>
            </w:r>
          </w:hyperlink>
        </w:p>
        <w:p>
          <w:pPr>
            <w:pStyle w:val="TOC3"/>
            <w:numPr>
              <w:ilvl w:val="1"/>
              <w:numId w:val="1"/>
            </w:numPr>
            <w:tabs>
              <w:tab w:val="left" w:pos="1893"/>
              <w:tab w:val="left" w:pos="1894"/>
              <w:tab w:val="left" w:leader="dot" w:pos="9603"/>
            </w:tabs>
            <w:spacing w:before="183" w:after="0" w:line="240" w:lineRule="auto"/>
            <w:ind w:left="1893" w:right="0" w:hanging="774"/>
            <w:jc w:val="left"/>
          </w:pPr>
          <w:hyperlink w:anchor="_TOC_250030" w:history="1">
            <w:r>
              <w:rPr>
                <w:rFonts w:ascii="宋体" w:eastAsia="宋体" w:hint="eastAsia"/>
              </w:rPr>
              <w:t>一般规定</w:t>
            </w:r>
            <w:r>
              <w:tab/>
            </w:r>
            <w:r>
              <w:t>10</w:t>
            </w:r>
          </w:hyperlink>
        </w:p>
        <w:p>
          <w:pPr>
            <w:pStyle w:val="TOC3"/>
            <w:numPr>
              <w:ilvl w:val="1"/>
              <w:numId w:val="1"/>
            </w:numPr>
            <w:tabs>
              <w:tab w:val="left" w:pos="1893"/>
              <w:tab w:val="left" w:pos="1894"/>
              <w:tab w:val="left" w:leader="dot" w:pos="9603"/>
            </w:tabs>
            <w:spacing w:before="170" w:after="0" w:line="240" w:lineRule="auto"/>
            <w:ind w:left="1893" w:right="0" w:hanging="774"/>
            <w:jc w:val="left"/>
          </w:pPr>
          <w:hyperlink w:anchor="_TOC_250029" w:history="1">
            <w:r>
              <w:rPr>
                <w:rFonts w:ascii="宋体" w:eastAsia="宋体" w:hint="eastAsia"/>
              </w:rPr>
              <w:t>系统设计</w:t>
            </w:r>
            <w:r>
              <w:tab/>
            </w:r>
            <w:r>
              <w:t>11</w:t>
            </w:r>
          </w:hyperlink>
        </w:p>
        <w:p>
          <w:pPr>
            <w:pStyle w:val="TOC3"/>
            <w:numPr>
              <w:ilvl w:val="1"/>
              <w:numId w:val="1"/>
            </w:numPr>
            <w:tabs>
              <w:tab w:val="left" w:pos="1893"/>
              <w:tab w:val="left" w:pos="1894"/>
              <w:tab w:val="left" w:leader="dot" w:pos="9603"/>
            </w:tabs>
            <w:spacing w:before="170" w:after="0" w:line="240" w:lineRule="auto"/>
            <w:ind w:left="1893" w:right="0" w:hanging="774"/>
            <w:jc w:val="left"/>
          </w:pPr>
          <w:hyperlink w:anchor="_TOC_250028" w:history="1">
            <w:r>
              <w:rPr>
                <w:rFonts w:ascii="宋体" w:eastAsia="宋体" w:hint="eastAsia"/>
              </w:rPr>
              <w:t>电网接入</w:t>
            </w:r>
            <w:r>
              <w:tab/>
            </w:r>
            <w:r>
              <w:t>14</w:t>
            </w:r>
          </w:hyperlink>
        </w:p>
        <w:p>
          <w:pPr>
            <w:pStyle w:val="TOC1"/>
            <w:numPr>
              <w:ilvl w:val="0"/>
              <w:numId w:val="1"/>
            </w:numPr>
            <w:tabs>
              <w:tab w:val="left" w:pos="582"/>
              <w:tab w:val="left" w:pos="1059"/>
              <w:tab w:val="left" w:leader="dot" w:pos="9091"/>
            </w:tabs>
            <w:spacing w:before="166" w:after="0" w:line="240" w:lineRule="auto"/>
            <w:ind w:left="1058" w:right="0" w:hanging="890"/>
            <w:jc w:val="left"/>
            <w:rPr>
              <w:rFonts w:ascii="Times New Roman" w:eastAsia="Times New Roman"/>
            </w:rPr>
          </w:pPr>
          <w:hyperlink w:anchor="_TOC_250027" w:history="1">
            <w:r>
              <w:t>光伏发</w:t>
            </w:r>
            <w:r>
              <w:rPr>
                <w:spacing w:val="-3"/>
              </w:rPr>
              <w:t>电</w:t>
            </w:r>
            <w:r>
              <w:t>与预</w:t>
            </w:r>
            <w:r>
              <w:rPr>
                <w:spacing w:val="-3"/>
              </w:rPr>
              <w:t>制外</w:t>
            </w:r>
            <w:r>
              <w:t>墙一体</w:t>
            </w:r>
            <w:r>
              <w:rPr>
                <w:spacing w:val="-3"/>
              </w:rPr>
              <w:t>化</w:t>
            </w:r>
            <w:r>
              <w:t>技术</w:t>
            </w:r>
            <w:r>
              <w:rPr>
                <w:spacing w:val="-3"/>
              </w:rPr>
              <w:t>要</w:t>
            </w:r>
            <w:r>
              <w:t>求</w:t>
            </w:r>
            <w:r>
              <w:rPr>
                <w:rFonts w:ascii="Times New Roman" w:eastAsia="Times New Roman"/>
              </w:rPr>
              <w:tab/>
            </w:r>
            <w:r>
              <w:rPr>
                <w:rFonts w:ascii="Times New Roman" w:eastAsia="Times New Roman"/>
              </w:rPr>
              <w:t>14</w:t>
            </w:r>
          </w:hyperlink>
        </w:p>
        <w:p>
          <w:pPr>
            <w:pStyle w:val="TOC3"/>
            <w:numPr>
              <w:ilvl w:val="1"/>
              <w:numId w:val="1"/>
            </w:numPr>
            <w:tabs>
              <w:tab w:val="left" w:pos="1893"/>
              <w:tab w:val="left" w:pos="1894"/>
              <w:tab w:val="left" w:leader="dot" w:pos="9603"/>
            </w:tabs>
            <w:spacing w:before="183" w:after="0" w:line="240" w:lineRule="auto"/>
            <w:ind w:left="1893" w:right="0" w:hanging="774"/>
            <w:jc w:val="left"/>
          </w:pPr>
          <w:hyperlink w:anchor="_TOC_250026" w:history="1">
            <w:r>
              <w:rPr>
                <w:rFonts w:ascii="宋体" w:eastAsia="宋体" w:hint="eastAsia"/>
              </w:rPr>
              <w:t>一般规定</w:t>
            </w:r>
            <w:r>
              <w:tab/>
            </w:r>
            <w:r>
              <w:t>14</w:t>
            </w:r>
          </w:hyperlink>
        </w:p>
        <w:p>
          <w:pPr>
            <w:pStyle w:val="TOC3"/>
            <w:numPr>
              <w:ilvl w:val="1"/>
              <w:numId w:val="1"/>
            </w:numPr>
            <w:tabs>
              <w:tab w:val="left" w:pos="1893"/>
              <w:tab w:val="left" w:pos="1894"/>
              <w:tab w:val="left" w:leader="dot" w:pos="9603"/>
            </w:tabs>
            <w:spacing w:before="170" w:after="0" w:line="240" w:lineRule="auto"/>
            <w:ind w:left="1893" w:right="0" w:hanging="774"/>
            <w:jc w:val="left"/>
          </w:pPr>
          <w:hyperlink w:anchor="_TOC_250025" w:history="1">
            <w:r>
              <w:rPr>
                <w:rFonts w:ascii="宋体" w:eastAsia="宋体" w:hint="eastAsia"/>
              </w:rPr>
              <w:t>建筑设计</w:t>
            </w:r>
            <w:r>
              <w:tab/>
            </w:r>
            <w:r>
              <w:t>15</w:t>
            </w:r>
          </w:hyperlink>
        </w:p>
        <w:p>
          <w:pPr>
            <w:pStyle w:val="TOC3"/>
            <w:numPr>
              <w:ilvl w:val="1"/>
              <w:numId w:val="1"/>
            </w:numPr>
            <w:tabs>
              <w:tab w:val="left" w:pos="1893"/>
              <w:tab w:val="left" w:pos="1894"/>
              <w:tab w:val="left" w:leader="dot" w:pos="9603"/>
            </w:tabs>
            <w:spacing w:before="173" w:after="0" w:line="240" w:lineRule="auto"/>
            <w:ind w:left="1893" w:right="0" w:hanging="774"/>
            <w:jc w:val="left"/>
            <w:sectPr>
              <w:footerReference w:type="default" r:id="rId7"/>
              <w:type w:val="continuous"/>
              <w:pgSz w:w="11910" w:h="16850"/>
              <w:pgMar w:top="1090" w:right="660" w:bottom="1275" w:left="920" w:header="720" w:footer="720" w:gutter="0"/>
              <w:pgNumType w:start="4"/>
              <w:cols w:num="1" w:space="720"/>
            </w:sectPr>
          </w:pPr>
          <w:hyperlink w:anchor="_TOC_250024" w:history="1">
            <w:r>
              <w:rPr>
                <w:rFonts w:ascii="宋体" w:eastAsia="宋体" w:hint="eastAsia"/>
              </w:rPr>
              <w:t>结构设计</w:t>
            </w:r>
            <w:r>
              <w:tab/>
            </w:r>
            <w:r>
              <w:t>16</w:t>
            </w:r>
          </w:hyperlink>
        </w:p>
      </w:sdtContent>
    </w:sdt>
    <w:sdt>
      <w:sdtPr>
        <w:id w:val="1324528747"/>
        <w:docPartObj>
          <w:docPartGallery w:val="Table of Contents"/>
          <w:docPartUnique/>
        </w:docPartObj>
      </w:sdtPr>
      <w:sdtContent>
        <w:p>
          <w:pPr>
            <w:pStyle w:val="TOC3"/>
            <w:numPr>
              <w:ilvl w:val="1"/>
              <w:numId w:val="1"/>
            </w:numPr>
            <w:tabs>
              <w:tab w:val="left" w:pos="1893"/>
              <w:tab w:val="left" w:pos="1894"/>
              <w:tab w:val="left" w:leader="dot" w:pos="9603"/>
            </w:tabs>
            <w:spacing w:before="170" w:after="20" w:line="240" w:lineRule="auto"/>
            <w:ind w:left="1893" w:right="0" w:hanging="774"/>
            <w:jc w:val="left"/>
          </w:pPr>
          <w:hyperlink w:anchor="_TOC_250023" w:history="1">
            <w:r>
              <w:rPr>
                <w:rFonts w:ascii="宋体" w:eastAsia="宋体" w:hint="eastAsia"/>
              </w:rPr>
              <w:t>安装更换</w:t>
            </w:r>
            <w:r>
              <w:tab/>
            </w:r>
            <w:r>
              <w:t>16</w:t>
            </w:r>
          </w:hyperlink>
        </w:p>
        <w:p>
          <w:pPr>
            <w:pStyle w:val="TOC3"/>
            <w:numPr>
              <w:ilvl w:val="1"/>
              <w:numId w:val="1"/>
            </w:numPr>
            <w:tabs>
              <w:tab w:val="left" w:pos="1893"/>
              <w:tab w:val="left" w:pos="1894"/>
              <w:tab w:val="right" w:leader="dot" w:pos="9843"/>
            </w:tabs>
            <w:spacing w:before="54" w:after="0" w:line="240" w:lineRule="auto"/>
            <w:ind w:left="1893" w:right="0" w:hanging="774"/>
            <w:jc w:val="left"/>
          </w:pPr>
          <w:hyperlink w:anchor="_TOC_250022" w:history="1">
            <w:r>
              <w:rPr>
                <w:rFonts w:ascii="宋体" w:eastAsia="宋体" w:hint="eastAsia"/>
              </w:rPr>
              <w:t>热工设计</w:t>
            </w:r>
            <w:r>
              <w:tab/>
            </w:r>
            <w:r>
              <w:t>18</w:t>
            </w:r>
          </w:hyperlink>
        </w:p>
        <w:p>
          <w:pPr>
            <w:pStyle w:val="TOC2"/>
            <w:numPr>
              <w:ilvl w:val="0"/>
              <w:numId w:val="1"/>
            </w:numPr>
            <w:tabs>
              <w:tab w:val="left" w:pos="1057"/>
              <w:tab w:val="left" w:pos="1059"/>
              <w:tab w:val="right" w:leader="dot" w:pos="9850"/>
            </w:tabs>
            <w:spacing w:before="169" w:after="0" w:line="240" w:lineRule="auto"/>
            <w:ind w:left="1058" w:right="0" w:hanging="414"/>
            <w:jc w:val="left"/>
            <w:rPr>
              <w:rFonts w:ascii="Times New Roman" w:eastAsia="Times New Roman"/>
            </w:rPr>
          </w:pPr>
          <w:hyperlink w:anchor="_TOC_250021" w:history="1">
            <w:r>
              <w:t>安装和</w:t>
            </w:r>
            <w:r>
              <w:rPr>
                <w:spacing w:val="-3"/>
              </w:rPr>
              <w:t>调</w:t>
            </w:r>
            <w:r>
              <w:t>试</w:t>
            </w:r>
            <w:r>
              <w:rPr>
                <w:rFonts w:ascii="Times New Roman" w:eastAsia="Times New Roman"/>
              </w:rPr>
              <w:tab/>
            </w:r>
            <w:r>
              <w:rPr>
                <w:rFonts w:ascii="Times New Roman" w:eastAsia="Times New Roman"/>
              </w:rPr>
              <w:t>18</w:t>
            </w:r>
          </w:hyperlink>
        </w:p>
        <w:p>
          <w:pPr>
            <w:pStyle w:val="TOC3"/>
            <w:numPr>
              <w:ilvl w:val="1"/>
              <w:numId w:val="1"/>
            </w:numPr>
            <w:tabs>
              <w:tab w:val="left" w:pos="1893"/>
              <w:tab w:val="left" w:pos="1894"/>
              <w:tab w:val="right" w:leader="dot" w:pos="9843"/>
            </w:tabs>
            <w:spacing w:before="183" w:after="0" w:line="240" w:lineRule="auto"/>
            <w:ind w:left="1893" w:right="0" w:hanging="774"/>
            <w:jc w:val="left"/>
          </w:pPr>
          <w:hyperlink w:anchor="_TOC_250020" w:history="1">
            <w:r>
              <w:rPr>
                <w:rFonts w:ascii="宋体" w:eastAsia="宋体" w:hint="eastAsia"/>
              </w:rPr>
              <w:t>一般规定</w:t>
            </w:r>
            <w:r>
              <w:tab/>
            </w:r>
            <w:r>
              <w:t>18</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19" w:history="1">
            <w:r>
              <w:rPr>
                <w:rFonts w:ascii="宋体" w:eastAsia="宋体" w:hint="eastAsia"/>
              </w:rPr>
              <w:t>连接件</w:t>
            </w:r>
            <w:r>
              <w:tab/>
            </w:r>
            <w:r>
              <w:t>18</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18" w:history="1">
            <w:r>
              <w:rPr>
                <w:rFonts w:ascii="宋体" w:eastAsia="宋体" w:hint="eastAsia"/>
              </w:rPr>
              <w:t>光伏组件</w:t>
            </w:r>
            <w:r>
              <w:tab/>
            </w:r>
            <w:r>
              <w:t>19</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17" w:history="1">
            <w:r>
              <w:rPr>
                <w:rFonts w:ascii="宋体" w:eastAsia="宋体" w:hint="eastAsia"/>
              </w:rPr>
              <w:t>电气系统</w:t>
            </w:r>
            <w:r>
              <w:tab/>
            </w:r>
            <w:r>
              <w:t>20</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16" w:history="1">
            <w:r>
              <w:rPr>
                <w:rFonts w:ascii="宋体" w:eastAsia="宋体" w:hint="eastAsia"/>
              </w:rPr>
              <w:t>系统与调试</w:t>
            </w:r>
            <w:r>
              <w:tab/>
            </w:r>
            <w:r>
              <w:t>20</w:t>
            </w:r>
          </w:hyperlink>
        </w:p>
        <w:p>
          <w:pPr>
            <w:pStyle w:val="TOC2"/>
            <w:numPr>
              <w:ilvl w:val="0"/>
              <w:numId w:val="1"/>
            </w:numPr>
            <w:tabs>
              <w:tab w:val="left" w:pos="1057"/>
              <w:tab w:val="left" w:pos="1059"/>
              <w:tab w:val="right" w:leader="dot" w:pos="9850"/>
            </w:tabs>
            <w:spacing w:before="167" w:after="0" w:line="240" w:lineRule="auto"/>
            <w:ind w:left="1058" w:right="0" w:hanging="414"/>
            <w:jc w:val="left"/>
            <w:rPr>
              <w:rFonts w:ascii="Times New Roman" w:eastAsia="Times New Roman"/>
            </w:rPr>
          </w:pPr>
          <w:hyperlink w:anchor="_TOC_250015" w:history="1">
            <w:r>
              <w:t>环保与</w:t>
            </w:r>
            <w:r>
              <w:rPr>
                <w:spacing w:val="-3"/>
              </w:rPr>
              <w:t>安</w:t>
            </w:r>
            <w:r>
              <w:t>全防护</w:t>
            </w:r>
            <w:r>
              <w:rPr>
                <w:rFonts w:ascii="Times New Roman" w:eastAsia="Times New Roman"/>
              </w:rPr>
              <w:tab/>
            </w:r>
            <w:r>
              <w:rPr>
                <w:rFonts w:ascii="Times New Roman" w:eastAsia="Times New Roman"/>
              </w:rPr>
              <w:t>21</w:t>
            </w:r>
          </w:hyperlink>
        </w:p>
        <w:p>
          <w:pPr>
            <w:pStyle w:val="TOC3"/>
            <w:numPr>
              <w:ilvl w:val="1"/>
              <w:numId w:val="1"/>
            </w:numPr>
            <w:tabs>
              <w:tab w:val="left" w:pos="1893"/>
              <w:tab w:val="left" w:pos="1894"/>
              <w:tab w:val="right" w:leader="dot" w:pos="9843"/>
            </w:tabs>
            <w:spacing w:before="183" w:after="0" w:line="240" w:lineRule="auto"/>
            <w:ind w:left="1893" w:right="0" w:hanging="774"/>
            <w:jc w:val="left"/>
          </w:pPr>
          <w:hyperlink w:anchor="_TOC_250014" w:history="1">
            <w:r>
              <w:rPr>
                <w:rFonts w:ascii="宋体" w:eastAsia="宋体" w:hint="eastAsia"/>
              </w:rPr>
              <w:t>一般规定</w:t>
            </w:r>
            <w:r>
              <w:tab/>
            </w:r>
            <w:r>
              <w:t>21</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13" w:history="1">
            <w:r>
              <w:rPr>
                <w:rFonts w:ascii="宋体" w:eastAsia="宋体" w:hint="eastAsia"/>
              </w:rPr>
              <w:t>环保措施</w:t>
            </w:r>
            <w:r>
              <w:tab/>
            </w:r>
            <w:r>
              <w:t>21</w:t>
            </w:r>
          </w:hyperlink>
        </w:p>
        <w:p>
          <w:pPr>
            <w:pStyle w:val="TOC3"/>
            <w:numPr>
              <w:ilvl w:val="1"/>
              <w:numId w:val="1"/>
            </w:numPr>
            <w:tabs>
              <w:tab w:val="left" w:pos="1893"/>
              <w:tab w:val="left" w:pos="1894"/>
              <w:tab w:val="right" w:leader="dot" w:pos="9843"/>
            </w:tabs>
            <w:spacing w:before="172" w:after="0" w:line="240" w:lineRule="auto"/>
            <w:ind w:left="1893" w:right="0" w:hanging="774"/>
            <w:jc w:val="left"/>
          </w:pPr>
          <w:hyperlink w:anchor="_TOC_250012" w:history="1">
            <w:r>
              <w:rPr>
                <w:rFonts w:ascii="宋体" w:eastAsia="宋体" w:hint="eastAsia"/>
              </w:rPr>
              <w:t>防护措施</w:t>
            </w:r>
            <w:r>
              <w:tab/>
            </w:r>
            <w:r>
              <w:t>21</w:t>
            </w:r>
          </w:hyperlink>
        </w:p>
        <w:p>
          <w:pPr>
            <w:pStyle w:val="TOC2"/>
            <w:numPr>
              <w:ilvl w:val="0"/>
              <w:numId w:val="1"/>
            </w:numPr>
            <w:tabs>
              <w:tab w:val="left" w:pos="1057"/>
              <w:tab w:val="left" w:pos="1059"/>
              <w:tab w:val="right" w:leader="dot" w:pos="9850"/>
            </w:tabs>
            <w:spacing w:before="166" w:after="0" w:line="240" w:lineRule="auto"/>
            <w:ind w:left="1058" w:right="0" w:hanging="414"/>
            <w:jc w:val="left"/>
            <w:rPr>
              <w:rFonts w:ascii="Times New Roman" w:eastAsia="Times New Roman"/>
            </w:rPr>
          </w:pPr>
          <w:hyperlink w:anchor="_TOC_250011" w:history="1">
            <w:r>
              <w:t>工程验收</w:t>
            </w:r>
            <w:r>
              <w:rPr>
                <w:rFonts w:ascii="Times New Roman" w:eastAsia="Times New Roman"/>
              </w:rPr>
              <w:tab/>
            </w:r>
            <w:r>
              <w:rPr>
                <w:rFonts w:ascii="Times New Roman" w:eastAsia="Times New Roman"/>
              </w:rPr>
              <w:t>22</w:t>
            </w:r>
          </w:hyperlink>
        </w:p>
        <w:p>
          <w:pPr>
            <w:pStyle w:val="TOC3"/>
            <w:numPr>
              <w:ilvl w:val="1"/>
              <w:numId w:val="1"/>
            </w:numPr>
            <w:tabs>
              <w:tab w:val="left" w:pos="1893"/>
              <w:tab w:val="left" w:pos="1894"/>
              <w:tab w:val="right" w:leader="dot" w:pos="9843"/>
            </w:tabs>
            <w:spacing w:before="183" w:after="0" w:line="240" w:lineRule="auto"/>
            <w:ind w:left="1893" w:right="0" w:hanging="774"/>
            <w:jc w:val="left"/>
          </w:pPr>
          <w:hyperlink w:anchor="_TOC_250010" w:history="1">
            <w:r>
              <w:rPr>
                <w:rFonts w:ascii="宋体" w:eastAsia="宋体" w:hint="eastAsia"/>
              </w:rPr>
              <w:t>一般规定</w:t>
            </w:r>
            <w:r>
              <w:tab/>
            </w:r>
            <w:r>
              <w:t>22</w:t>
            </w:r>
          </w:hyperlink>
        </w:p>
        <w:p>
          <w:pPr>
            <w:pStyle w:val="TOC3"/>
            <w:numPr>
              <w:ilvl w:val="1"/>
              <w:numId w:val="1"/>
            </w:numPr>
            <w:tabs>
              <w:tab w:val="left" w:pos="1893"/>
              <w:tab w:val="left" w:pos="1894"/>
              <w:tab w:val="right" w:leader="dot" w:pos="9843"/>
            </w:tabs>
            <w:spacing w:before="171" w:after="0" w:line="240" w:lineRule="auto"/>
            <w:ind w:left="1893" w:right="0" w:hanging="774"/>
            <w:jc w:val="left"/>
          </w:pPr>
          <w:hyperlink w:anchor="_TOC_250009" w:history="1">
            <w:r>
              <w:rPr>
                <w:rFonts w:ascii="宋体" w:eastAsia="宋体" w:hint="eastAsia"/>
              </w:rPr>
              <w:t>分项工程验收</w:t>
            </w:r>
            <w:r>
              <w:tab/>
            </w:r>
            <w:r>
              <w:t>22</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08" w:history="1">
            <w:r>
              <w:rPr>
                <w:rFonts w:ascii="宋体" w:eastAsia="宋体" w:hint="eastAsia"/>
              </w:rPr>
              <w:t>竣工验收</w:t>
            </w:r>
            <w:r>
              <w:tab/>
            </w:r>
            <w:r>
              <w:t>23</w:t>
            </w:r>
          </w:hyperlink>
        </w:p>
        <w:p>
          <w:pPr>
            <w:pStyle w:val="TOC2"/>
            <w:numPr>
              <w:ilvl w:val="0"/>
              <w:numId w:val="1"/>
            </w:numPr>
            <w:tabs>
              <w:tab w:val="left" w:pos="1057"/>
              <w:tab w:val="left" w:pos="1059"/>
              <w:tab w:val="right" w:leader="dot" w:pos="9850"/>
            </w:tabs>
            <w:spacing w:before="166" w:after="0" w:line="240" w:lineRule="auto"/>
            <w:ind w:left="1058" w:right="0" w:hanging="414"/>
            <w:jc w:val="left"/>
            <w:rPr>
              <w:rFonts w:ascii="Times New Roman" w:eastAsia="Times New Roman"/>
            </w:rPr>
          </w:pPr>
          <w:hyperlink w:anchor="_TOC_250007" w:history="1">
            <w:r>
              <w:t>运行与</w:t>
            </w:r>
            <w:r>
              <w:rPr>
                <w:spacing w:val="-3"/>
              </w:rPr>
              <w:t>维</w:t>
            </w:r>
            <w:r>
              <w:t>护</w:t>
            </w:r>
            <w:r>
              <w:rPr>
                <w:rFonts w:ascii="Times New Roman" w:eastAsia="Times New Roman"/>
              </w:rPr>
              <w:tab/>
            </w:r>
            <w:r>
              <w:rPr>
                <w:rFonts w:ascii="Times New Roman" w:eastAsia="Times New Roman"/>
              </w:rPr>
              <w:t>23</w:t>
            </w:r>
          </w:hyperlink>
        </w:p>
        <w:p>
          <w:pPr>
            <w:pStyle w:val="TOC3"/>
            <w:numPr>
              <w:ilvl w:val="1"/>
              <w:numId w:val="1"/>
            </w:numPr>
            <w:tabs>
              <w:tab w:val="left" w:pos="1893"/>
              <w:tab w:val="left" w:pos="1894"/>
              <w:tab w:val="right" w:leader="dot" w:pos="9843"/>
            </w:tabs>
            <w:spacing w:before="183" w:after="0" w:line="240" w:lineRule="auto"/>
            <w:ind w:left="1893" w:right="0" w:hanging="774"/>
            <w:jc w:val="left"/>
          </w:pPr>
          <w:hyperlink w:anchor="_TOC_250006" w:history="1">
            <w:r>
              <w:rPr>
                <w:rFonts w:ascii="宋体" w:eastAsia="宋体" w:hint="eastAsia"/>
              </w:rPr>
              <w:t>一般规定</w:t>
            </w:r>
            <w:r>
              <w:tab/>
            </w:r>
            <w:r>
              <w:t>23</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05" w:history="1">
            <w:r>
              <w:rPr>
                <w:rFonts w:ascii="宋体" w:eastAsia="宋体" w:hint="eastAsia"/>
              </w:rPr>
              <w:t>光伏方阵</w:t>
            </w:r>
            <w:r>
              <w:tab/>
            </w:r>
            <w:r>
              <w:t>23</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04" w:history="1">
            <w:r>
              <w:rPr>
                <w:rFonts w:ascii="宋体" w:eastAsia="宋体" w:hint="eastAsia"/>
              </w:rPr>
              <w:t>汇流箱、配电柜</w:t>
            </w:r>
            <w:r>
              <w:tab/>
            </w:r>
            <w:r>
              <w:t>24</w:t>
            </w:r>
          </w:hyperlink>
        </w:p>
        <w:p>
          <w:pPr>
            <w:pStyle w:val="TOC3"/>
            <w:numPr>
              <w:ilvl w:val="1"/>
              <w:numId w:val="1"/>
            </w:numPr>
            <w:tabs>
              <w:tab w:val="left" w:pos="1893"/>
              <w:tab w:val="left" w:pos="1894"/>
              <w:tab w:val="right" w:leader="dot" w:pos="9843"/>
            </w:tabs>
            <w:spacing w:before="173" w:after="0" w:line="240" w:lineRule="auto"/>
            <w:ind w:left="1893" w:right="0" w:hanging="774"/>
            <w:jc w:val="left"/>
          </w:pPr>
          <w:hyperlink w:anchor="_TOC_250003" w:history="1">
            <w:r>
              <w:rPr>
                <w:rFonts w:ascii="宋体" w:eastAsia="宋体" w:hint="eastAsia"/>
              </w:rPr>
              <w:t>控制器、逆变器</w:t>
            </w:r>
            <w:r>
              <w:tab/>
            </w:r>
            <w:r>
              <w:t>25</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02" w:history="1">
            <w:r>
              <w:rPr>
                <w:rFonts w:ascii="宋体" w:eastAsia="宋体" w:hint="eastAsia"/>
              </w:rPr>
              <w:t>接地与防雷系统</w:t>
            </w:r>
            <w:r>
              <w:tab/>
            </w:r>
            <w:r>
              <w:t>25</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01" w:history="1">
            <w:r>
              <w:rPr>
                <w:rFonts w:ascii="宋体" w:eastAsia="宋体" w:hint="eastAsia"/>
              </w:rPr>
              <w:t>储能系统</w:t>
            </w:r>
            <w:r>
              <w:tab/>
            </w:r>
            <w:r>
              <w:t>25</w:t>
            </w:r>
          </w:hyperlink>
        </w:p>
        <w:p>
          <w:pPr>
            <w:pStyle w:val="TOC3"/>
            <w:numPr>
              <w:ilvl w:val="1"/>
              <w:numId w:val="1"/>
            </w:numPr>
            <w:tabs>
              <w:tab w:val="left" w:pos="1893"/>
              <w:tab w:val="left" w:pos="1894"/>
              <w:tab w:val="right" w:leader="dot" w:pos="9843"/>
            </w:tabs>
            <w:spacing w:before="170" w:after="0" w:line="240" w:lineRule="auto"/>
            <w:ind w:left="1893" w:right="0" w:hanging="774"/>
            <w:jc w:val="left"/>
          </w:pPr>
          <w:hyperlink w:anchor="_TOC_250000" w:history="1">
            <w:r>
              <w:rPr>
                <w:rFonts w:ascii="宋体" w:eastAsia="宋体" w:hint="eastAsia"/>
              </w:rPr>
              <w:t>监控及数据传输系统</w:t>
            </w:r>
            <w:r>
              <w:tab/>
            </w:r>
            <w:r>
              <w:t>25</w:t>
            </w:r>
          </w:hyperlink>
        </w:p>
      </w:sdtContent>
    </w:sdt>
    <w:p>
      <w:pPr>
        <w:spacing w:after="0" w:line="240" w:lineRule="auto"/>
        <w:jc w:val="left"/>
        <w:sectPr>
          <w:footerReference w:type="default" r:id="rId8"/>
          <w:type w:val="nextPage"/>
          <w:pgSz w:w="11910" w:h="16850"/>
          <w:pgMar w:top="1090" w:right="660" w:bottom="1275" w:left="920" w:header="720" w:footer="720" w:gutter="0"/>
          <w:pgNumType w:start="5"/>
          <w:cols w:num="1" w:space="720"/>
          <w:titlePg w:val="0"/>
        </w:sectPr>
      </w:pPr>
    </w:p>
    <w:p>
      <w:pPr>
        <w:pStyle w:val="Heading1"/>
        <w:numPr>
          <w:ilvl w:val="0"/>
          <w:numId w:val="2"/>
        </w:numPr>
        <w:tabs>
          <w:tab w:val="left" w:pos="646"/>
        </w:tabs>
        <w:spacing w:before="32" w:after="0" w:line="240" w:lineRule="auto"/>
        <w:ind w:left="645" w:right="0" w:hanging="434"/>
        <w:jc w:val="left"/>
      </w:pPr>
      <w:bookmarkStart w:id="1" w:name="_TOC_250047"/>
      <w:bookmarkEnd w:id="1"/>
      <w:r>
        <w:t>总则</w:t>
      </w:r>
    </w:p>
    <w:p>
      <w:pPr>
        <w:pStyle w:val="BodyText"/>
        <w:spacing w:before="6"/>
        <w:rPr>
          <w:rFonts w:ascii="黑体"/>
          <w:b/>
          <w:sz w:val="34"/>
        </w:rPr>
      </w:pPr>
    </w:p>
    <w:p>
      <w:pPr>
        <w:pStyle w:val="BodyText"/>
        <w:spacing w:line="362" w:lineRule="auto"/>
        <w:ind w:left="212" w:right="563" w:firstLine="427"/>
      </w:pPr>
      <w:r>
        <w:t>为使光伏发电与预制外墙一体化系统的设计、施工与安装、运行和维护做到安全适用、技术先进、经济合理、环保无害，特制定本规程。</w:t>
      </w:r>
    </w:p>
    <w:p>
      <w:pPr>
        <w:pStyle w:val="BodyText"/>
        <w:spacing w:before="125" w:line="364" w:lineRule="auto"/>
        <w:ind w:left="212" w:right="230" w:firstLine="427"/>
      </w:pPr>
      <w:r>
        <w:t>本规程适用于新建的光伏发电与预制外墙一体化系统的设计、安装、验收、运行和维护。光伏发电与预制外墙一体化系统的设计、安装、验收、运行和维护除应符合本规程外，还应 符合国家现行有关标准的规定。</w:t>
      </w:r>
    </w:p>
    <w:p>
      <w:pPr>
        <w:pStyle w:val="BodyText"/>
        <w:spacing w:before="6"/>
        <w:rPr>
          <w:sz w:val="18"/>
        </w:rPr>
      </w:pPr>
    </w:p>
    <w:p>
      <w:pPr>
        <w:pStyle w:val="Heading1"/>
        <w:numPr>
          <w:ilvl w:val="0"/>
          <w:numId w:val="2"/>
        </w:numPr>
        <w:tabs>
          <w:tab w:val="left" w:pos="646"/>
        </w:tabs>
        <w:spacing w:before="1" w:after="0" w:line="240" w:lineRule="auto"/>
        <w:ind w:left="645" w:right="0" w:hanging="434"/>
        <w:jc w:val="left"/>
      </w:pPr>
      <w:bookmarkStart w:id="2" w:name="_TOC_250046"/>
      <w:bookmarkEnd w:id="2"/>
      <w:r>
        <w:t>术语</w:t>
      </w:r>
    </w:p>
    <w:p>
      <w:pPr>
        <w:pStyle w:val="BodyText"/>
        <w:spacing w:before="3"/>
        <w:rPr>
          <w:rFonts w:ascii="黑体"/>
          <w:b/>
          <w:sz w:val="34"/>
        </w:rPr>
      </w:pPr>
    </w:p>
    <w:p>
      <w:pPr>
        <w:pStyle w:val="BodyText"/>
        <w:ind w:left="640"/>
      </w:pPr>
      <w:r>
        <w:t>以下术语适用于本标准。</w:t>
      </w:r>
    </w:p>
    <w:p>
      <w:pPr>
        <w:pStyle w:val="BodyText"/>
        <w:spacing w:before="1"/>
        <w:rPr>
          <w:sz w:val="28"/>
        </w:rPr>
      </w:pPr>
    </w:p>
    <w:p>
      <w:pPr>
        <w:pStyle w:val="Heading2"/>
        <w:numPr>
          <w:ilvl w:val="1"/>
          <w:numId w:val="2"/>
        </w:numPr>
        <w:tabs>
          <w:tab w:val="left" w:pos="789"/>
          <w:tab w:val="left" w:pos="790"/>
        </w:tabs>
        <w:spacing w:before="1" w:after="0" w:line="240" w:lineRule="auto"/>
        <w:ind w:left="789" w:right="0" w:hanging="578"/>
        <w:jc w:val="left"/>
      </w:pPr>
      <w:bookmarkStart w:id="3" w:name="_TOC_250045"/>
      <w:r>
        <w:rPr>
          <w:rFonts w:ascii="黑体" w:eastAsia="黑体" w:hint="eastAsia"/>
        </w:rPr>
        <w:t>光伏组件（</w:t>
      </w:r>
      <w:r>
        <w:t>PV</w:t>
      </w:r>
      <w:r>
        <w:rPr>
          <w:spacing w:val="-2"/>
        </w:rPr>
        <w:t xml:space="preserve"> </w:t>
      </w:r>
      <w:r>
        <w:t>module</w:t>
      </w:r>
      <w:bookmarkEnd w:id="3"/>
      <w:r>
        <w:rPr>
          <w:rFonts w:ascii="黑体" w:eastAsia="黑体" w:hint="eastAsia"/>
        </w:rPr>
        <w:t>）</w:t>
      </w:r>
    </w:p>
    <w:p>
      <w:pPr>
        <w:pStyle w:val="BodyText"/>
        <w:spacing w:before="4"/>
        <w:rPr>
          <w:rFonts w:ascii="黑体"/>
          <w:b/>
          <w:sz w:val="33"/>
        </w:rPr>
      </w:pPr>
    </w:p>
    <w:p>
      <w:pPr>
        <w:pStyle w:val="BodyText"/>
        <w:spacing w:line="278" w:lineRule="auto"/>
        <w:ind w:left="212" w:right="565" w:firstLine="427"/>
      </w:pPr>
      <w:r>
        <w:t>由若干光伏电池进行内部联结并封装、在阳光下能单独提供直流电流输出、最小不可分割的太阳能电池组合装置。</w:t>
      </w:r>
    </w:p>
    <w:p>
      <w:pPr>
        <w:pStyle w:val="Heading2"/>
        <w:numPr>
          <w:ilvl w:val="1"/>
          <w:numId w:val="2"/>
        </w:numPr>
        <w:tabs>
          <w:tab w:val="left" w:pos="789"/>
          <w:tab w:val="left" w:pos="790"/>
        </w:tabs>
        <w:spacing w:before="203" w:after="0" w:line="240" w:lineRule="auto"/>
        <w:ind w:left="789" w:right="0" w:hanging="578"/>
        <w:jc w:val="left"/>
      </w:pPr>
      <w:r>
        <w:rPr>
          <w:rFonts w:ascii="黑体" w:eastAsia="黑体" w:hint="eastAsia"/>
        </w:rPr>
        <w:t>预制混凝土外墙（</w:t>
      </w:r>
      <w:r>
        <w:t>Precastconcrete</w:t>
      </w:r>
      <w:r>
        <w:rPr>
          <w:spacing w:val="-4"/>
        </w:rPr>
        <w:t xml:space="preserve"> </w:t>
      </w:r>
      <w:r>
        <w:t>wall</w:t>
      </w:r>
      <w:r>
        <w:rPr>
          <w:rFonts w:ascii="黑体" w:eastAsia="黑体" w:hint="eastAsia"/>
        </w:rPr>
        <w:t>）</w:t>
      </w:r>
    </w:p>
    <w:p>
      <w:pPr>
        <w:pStyle w:val="BodyText"/>
        <w:spacing w:before="4"/>
        <w:rPr>
          <w:rFonts w:ascii="黑体"/>
          <w:b/>
          <w:sz w:val="33"/>
        </w:rPr>
      </w:pPr>
    </w:p>
    <w:p>
      <w:pPr>
        <w:pStyle w:val="BodyText"/>
        <w:spacing w:line="278" w:lineRule="auto"/>
        <w:ind w:left="212" w:right="510"/>
      </w:pPr>
      <w:r>
        <w:t>在工厂或者现场预先制作的，用于外承重墙、外墙围护或内外墙分隔的板类预制构件，简称“预制外墙”。</w:t>
      </w:r>
    </w:p>
    <w:p>
      <w:pPr>
        <w:pStyle w:val="Heading2"/>
        <w:numPr>
          <w:ilvl w:val="1"/>
          <w:numId w:val="2"/>
        </w:numPr>
        <w:tabs>
          <w:tab w:val="left" w:pos="789"/>
          <w:tab w:val="left" w:pos="790"/>
        </w:tabs>
        <w:spacing w:before="200" w:after="0" w:line="278" w:lineRule="auto"/>
        <w:ind w:left="789" w:right="557" w:hanging="577"/>
        <w:jc w:val="left"/>
      </w:pPr>
      <w:r>
        <w:rPr>
          <w:rFonts w:ascii="黑体" w:eastAsia="黑体" w:hint="eastAsia"/>
        </w:rPr>
        <w:t>光伏与预制外墙一体化技术（</w:t>
      </w:r>
      <w:r>
        <w:t>The</w:t>
      </w:r>
      <w:r>
        <w:rPr>
          <w:spacing w:val="-4"/>
        </w:rPr>
        <w:t xml:space="preserve"> </w:t>
      </w:r>
      <w:r>
        <w:t>integrated</w:t>
      </w:r>
      <w:r>
        <w:rPr>
          <w:spacing w:val="-2"/>
        </w:rPr>
        <w:t xml:space="preserve"> </w:t>
      </w:r>
      <w:r>
        <w:t>technology</w:t>
      </w:r>
      <w:r>
        <w:rPr>
          <w:spacing w:val="-1"/>
        </w:rPr>
        <w:t xml:space="preserve"> </w:t>
      </w:r>
      <w:r>
        <w:t>of</w:t>
      </w:r>
      <w:r>
        <w:rPr>
          <w:spacing w:val="-6"/>
        </w:rPr>
        <w:t xml:space="preserve"> </w:t>
      </w:r>
      <w:r>
        <w:t>PVmodulesand precastconcretewalls</w:t>
      </w:r>
      <w:r>
        <w:rPr>
          <w:rFonts w:ascii="黑体" w:eastAsia="黑体" w:hint="eastAsia"/>
        </w:rPr>
        <w:t>）</w:t>
      </w:r>
    </w:p>
    <w:p>
      <w:pPr>
        <w:pStyle w:val="BodyText"/>
        <w:spacing w:before="243"/>
        <w:ind w:left="640"/>
      </w:pPr>
      <w:r>
        <w:t>将光伏组件安装在预制好的混凝土构件中从而构成一个整体预制构件的技术。</w:t>
      </w:r>
    </w:p>
    <w:p>
      <w:pPr>
        <w:pStyle w:val="BodyText"/>
        <w:spacing w:before="1"/>
        <w:rPr>
          <w:sz w:val="28"/>
        </w:rPr>
      </w:pPr>
    </w:p>
    <w:p>
      <w:pPr>
        <w:pStyle w:val="Heading2"/>
        <w:numPr>
          <w:ilvl w:val="1"/>
          <w:numId w:val="2"/>
        </w:numPr>
        <w:tabs>
          <w:tab w:val="left" w:pos="789"/>
          <w:tab w:val="left" w:pos="790"/>
        </w:tabs>
        <w:spacing w:before="0" w:after="0" w:line="240" w:lineRule="auto"/>
        <w:ind w:left="789" w:right="0" w:hanging="578"/>
        <w:jc w:val="left"/>
      </w:pPr>
      <w:bookmarkStart w:id="4" w:name="_TOC_250044"/>
      <w:r>
        <w:rPr>
          <w:rFonts w:ascii="黑体" w:eastAsia="黑体" w:hint="eastAsia"/>
        </w:rPr>
        <w:t>直流汇流箱（</w:t>
      </w:r>
      <w:r>
        <w:t>DC</w:t>
      </w:r>
      <w:r>
        <w:rPr>
          <w:spacing w:val="-2"/>
        </w:rPr>
        <w:t xml:space="preserve"> </w:t>
      </w:r>
      <w:r>
        <w:t>combiner</w:t>
      </w:r>
      <w:bookmarkEnd w:id="4"/>
      <w:r>
        <w:rPr>
          <w:rFonts w:ascii="黑体" w:eastAsia="黑体" w:hint="eastAsia"/>
        </w:rPr>
        <w:t>）</w:t>
      </w:r>
    </w:p>
    <w:p>
      <w:pPr>
        <w:pStyle w:val="BodyText"/>
        <w:spacing w:before="3"/>
        <w:rPr>
          <w:rFonts w:ascii="黑体"/>
          <w:b/>
          <w:sz w:val="33"/>
        </w:rPr>
      </w:pPr>
    </w:p>
    <w:p>
      <w:pPr>
        <w:pStyle w:val="BodyText"/>
        <w:spacing w:line="364" w:lineRule="auto"/>
        <w:ind w:left="212" w:right="230" w:firstLine="427"/>
      </w:pPr>
      <w:r>
        <w:t>在太阳能光伏发电系统中，将一定数量、规格相同的光伏组件串联，组成若干光伏阵列， 并将若干光伏串列并联汇流后接入的装置。</w:t>
      </w:r>
    </w:p>
    <w:p>
      <w:pPr>
        <w:pStyle w:val="Heading2"/>
        <w:numPr>
          <w:ilvl w:val="1"/>
          <w:numId w:val="2"/>
        </w:numPr>
        <w:tabs>
          <w:tab w:val="left" w:pos="789"/>
          <w:tab w:val="left" w:pos="790"/>
        </w:tabs>
        <w:spacing w:before="199" w:after="0" w:line="240" w:lineRule="auto"/>
        <w:ind w:left="789" w:right="0" w:hanging="578"/>
        <w:jc w:val="left"/>
      </w:pPr>
      <w:r>
        <w:rPr>
          <w:rFonts w:ascii="黑体" w:eastAsia="黑体" w:hint="eastAsia"/>
        </w:rPr>
        <w:t>光伏逆变器（</w:t>
      </w:r>
      <w:r>
        <w:t>PV</w:t>
      </w:r>
      <w:r>
        <w:rPr>
          <w:spacing w:val="-2"/>
        </w:rPr>
        <w:t xml:space="preserve"> </w:t>
      </w:r>
      <w:r>
        <w:t>inverter</w:t>
      </w:r>
      <w:r>
        <w:rPr>
          <w:rFonts w:ascii="黑体" w:eastAsia="黑体" w:hint="eastAsia"/>
        </w:rPr>
        <w:t>）</w:t>
      </w:r>
    </w:p>
    <w:p>
      <w:pPr>
        <w:pStyle w:val="BodyText"/>
        <w:spacing w:before="7"/>
        <w:rPr>
          <w:rFonts w:ascii="黑体"/>
          <w:b/>
          <w:sz w:val="33"/>
        </w:rPr>
      </w:pPr>
    </w:p>
    <w:p>
      <w:pPr>
        <w:pStyle w:val="BodyText"/>
        <w:spacing w:line="278" w:lineRule="auto"/>
        <w:ind w:left="212" w:right="641" w:firstLine="427"/>
      </w:pPr>
      <w:r>
        <w:t>可以将</w:t>
      </w:r>
      <w:hyperlink r:id="rId9">
        <w:r>
          <w:t>光伏</w:t>
        </w:r>
      </w:hyperlink>
      <w:r>
        <w:t>（</w:t>
      </w:r>
      <w:r>
        <w:rPr>
          <w:rFonts w:ascii="Times New Roman" w:eastAsia="Times New Roman"/>
        </w:rPr>
        <w:t>PV</w:t>
      </w:r>
      <w:r>
        <w:t>）</w:t>
      </w:r>
      <w:hyperlink r:id="rId10">
        <w:r>
          <w:t>太阳能板</w:t>
        </w:r>
      </w:hyperlink>
      <w:r>
        <w:t>产生的可变直流电压转换为市电频率</w:t>
      </w:r>
      <w:hyperlink r:id="rId11">
        <w:r>
          <w:t>交流电</w:t>
        </w:r>
      </w:hyperlink>
      <w:r>
        <w:t>（</w:t>
      </w:r>
      <w:r>
        <w:rPr>
          <w:rFonts w:ascii="Times New Roman" w:eastAsia="Times New Roman"/>
        </w:rPr>
        <w:t>AC</w:t>
      </w:r>
      <w:r>
        <w:t>）的逆变器，可以反馈回商用输电系统，或是供离网的电网使用。</w:t>
      </w:r>
    </w:p>
    <w:p>
      <w:pPr>
        <w:spacing w:after="0" w:line="278" w:lineRule="auto"/>
        <w:sectPr>
          <w:footerReference w:type="default" r:id="rId12"/>
          <w:pgSz w:w="11910" w:h="16850"/>
          <w:pgMar w:top="1100" w:right="660" w:bottom="920" w:left="920" w:header="0" w:footer="736" w:gutter="0"/>
          <w:pgNumType w:start="6"/>
          <w:cols w:num="1" w:space="720"/>
        </w:sectPr>
      </w:pPr>
    </w:p>
    <w:p>
      <w:pPr>
        <w:pStyle w:val="Heading2"/>
        <w:numPr>
          <w:ilvl w:val="1"/>
          <w:numId w:val="2"/>
        </w:numPr>
        <w:tabs>
          <w:tab w:val="left" w:pos="789"/>
          <w:tab w:val="left" w:pos="790"/>
        </w:tabs>
        <w:spacing w:before="53" w:after="0" w:line="240" w:lineRule="auto"/>
        <w:ind w:left="789" w:right="0" w:hanging="578"/>
        <w:jc w:val="left"/>
      </w:pPr>
      <w:bookmarkStart w:id="5" w:name="_TOC_250043"/>
      <w:r>
        <w:rPr>
          <w:rFonts w:ascii="黑体" w:eastAsia="黑体" w:hint="eastAsia"/>
        </w:rPr>
        <w:t>电表（</w:t>
      </w:r>
      <w:r>
        <w:t>Meter</w:t>
      </w:r>
      <w:r>
        <w:rPr>
          <w:spacing w:val="-1"/>
        </w:rPr>
        <w:t xml:space="preserve"> </w:t>
      </w:r>
      <w:r>
        <w:t>for measuring</w:t>
      </w:r>
      <w:r>
        <w:rPr>
          <w:spacing w:val="1"/>
        </w:rPr>
        <w:t xml:space="preserve"> </w:t>
      </w:r>
      <w:r>
        <w:t>electricity</w:t>
      </w:r>
      <w:bookmarkEnd w:id="5"/>
      <w:r>
        <w:rPr>
          <w:rFonts w:ascii="黑体" w:eastAsia="黑体" w:hint="eastAsia"/>
        </w:rPr>
        <w:t>）</w:t>
      </w:r>
    </w:p>
    <w:p>
      <w:pPr>
        <w:pStyle w:val="BodyText"/>
        <w:spacing w:before="2"/>
        <w:rPr>
          <w:rFonts w:ascii="黑体"/>
          <w:b/>
          <w:sz w:val="33"/>
        </w:rPr>
      </w:pPr>
    </w:p>
    <w:p>
      <w:pPr>
        <w:pStyle w:val="BodyText"/>
        <w:ind w:left="640"/>
      </w:pPr>
      <w:r>
        <w:t>用来测量电压、电流、</w:t>
      </w:r>
      <w:hyperlink r:id="rId13">
        <w:r>
          <w:t>电功率</w:t>
        </w:r>
      </w:hyperlink>
      <w:r>
        <w:t>等物理量的电器仪表。</w:t>
      </w:r>
    </w:p>
    <w:p>
      <w:pPr>
        <w:pStyle w:val="BodyText"/>
        <w:spacing w:before="2"/>
        <w:rPr>
          <w:sz w:val="28"/>
        </w:rPr>
      </w:pPr>
    </w:p>
    <w:p>
      <w:pPr>
        <w:pStyle w:val="Heading2"/>
        <w:numPr>
          <w:ilvl w:val="1"/>
          <w:numId w:val="2"/>
        </w:numPr>
        <w:tabs>
          <w:tab w:val="left" w:pos="789"/>
          <w:tab w:val="left" w:pos="790"/>
        </w:tabs>
        <w:spacing w:before="0" w:after="0" w:line="240" w:lineRule="auto"/>
        <w:ind w:left="789" w:right="0" w:hanging="578"/>
        <w:jc w:val="left"/>
      </w:pPr>
      <w:bookmarkStart w:id="6" w:name="_TOC_250042"/>
      <w:r>
        <w:rPr>
          <w:rFonts w:ascii="黑体" w:eastAsia="黑体" w:hint="eastAsia"/>
        </w:rPr>
        <w:t>光伏并网发电系统（</w:t>
      </w:r>
      <w:r>
        <w:t>Grid-connected</w:t>
      </w:r>
      <w:r>
        <w:rPr>
          <w:spacing w:val="-1"/>
        </w:rPr>
        <w:t xml:space="preserve"> </w:t>
      </w:r>
      <w:r>
        <w:t>photovoltaic powersystem</w:t>
      </w:r>
      <w:bookmarkEnd w:id="6"/>
      <w:r>
        <w:rPr>
          <w:rFonts w:ascii="黑体" w:eastAsia="黑体" w:hint="eastAsia"/>
        </w:rPr>
        <w:t>）</w:t>
      </w:r>
    </w:p>
    <w:p>
      <w:pPr>
        <w:pStyle w:val="BodyText"/>
        <w:spacing w:before="3"/>
        <w:rPr>
          <w:rFonts w:ascii="黑体"/>
          <w:b/>
          <w:sz w:val="23"/>
        </w:rPr>
      </w:pPr>
    </w:p>
    <w:p>
      <w:pPr>
        <w:pStyle w:val="BodyText"/>
        <w:spacing w:line="364" w:lineRule="auto"/>
        <w:ind w:left="212" w:right="564" w:firstLine="427"/>
      </w:pPr>
      <w:r>
        <w:t>太阳能组件产生的</w:t>
      </w:r>
      <w:hyperlink r:id="rId14">
        <w:r>
          <w:t>直流电</w:t>
        </w:r>
      </w:hyperlink>
      <w:r>
        <w:t>经过并网逆变器转换成符合市电电网要求的交流电之后直接接入公共电网。</w:t>
      </w:r>
    </w:p>
    <w:p>
      <w:pPr>
        <w:pStyle w:val="Heading2"/>
        <w:numPr>
          <w:ilvl w:val="1"/>
          <w:numId w:val="2"/>
        </w:numPr>
        <w:tabs>
          <w:tab w:val="left" w:pos="789"/>
          <w:tab w:val="left" w:pos="790"/>
        </w:tabs>
        <w:spacing w:before="200" w:after="0" w:line="240" w:lineRule="auto"/>
        <w:ind w:left="789" w:right="0" w:hanging="578"/>
        <w:jc w:val="left"/>
      </w:pPr>
      <w:bookmarkStart w:id="7" w:name="_TOC_250041"/>
      <w:r>
        <w:rPr>
          <w:rFonts w:ascii="黑体" w:eastAsia="黑体" w:hint="eastAsia"/>
        </w:rPr>
        <w:t>建筑模数（</w:t>
      </w:r>
      <w:r>
        <w:t>Construction</w:t>
      </w:r>
      <w:r>
        <w:rPr>
          <w:spacing w:val="-1"/>
        </w:rPr>
        <w:t xml:space="preserve"> </w:t>
      </w:r>
      <w:r>
        <w:t>module</w:t>
      </w:r>
      <w:bookmarkEnd w:id="7"/>
      <w:r>
        <w:rPr>
          <w:rFonts w:ascii="黑体" w:eastAsia="黑体" w:hint="eastAsia"/>
        </w:rPr>
        <w:t>）</w:t>
      </w:r>
    </w:p>
    <w:p>
      <w:pPr>
        <w:pStyle w:val="BodyText"/>
        <w:spacing w:before="4"/>
        <w:rPr>
          <w:rFonts w:ascii="黑体"/>
          <w:b/>
          <w:sz w:val="33"/>
        </w:rPr>
      </w:pPr>
    </w:p>
    <w:p>
      <w:pPr>
        <w:pStyle w:val="BodyText"/>
        <w:spacing w:before="1" w:line="362" w:lineRule="auto"/>
        <w:ind w:left="212" w:right="563" w:firstLine="427"/>
      </w:pPr>
      <w:r>
        <w:t>建筑设计中，为了实现工业化大规模生产，使不同材料、不同形式和不同制造方法的建筑构配件、组合件具有一定的通用性和互换性，统一选定的协调建筑尺度的增值单位。</w:t>
      </w:r>
    </w:p>
    <w:p>
      <w:pPr>
        <w:pStyle w:val="Heading2"/>
        <w:numPr>
          <w:ilvl w:val="1"/>
          <w:numId w:val="2"/>
        </w:numPr>
        <w:tabs>
          <w:tab w:val="left" w:pos="790"/>
        </w:tabs>
        <w:spacing w:before="205" w:after="0" w:line="240" w:lineRule="auto"/>
        <w:ind w:left="789" w:right="0" w:hanging="578"/>
        <w:jc w:val="left"/>
        <w:rPr>
          <w:rFonts w:ascii="宋体" w:eastAsia="宋体" w:hint="eastAsia"/>
        </w:rPr>
      </w:pPr>
      <w:bookmarkStart w:id="8" w:name="_TOC_250040"/>
      <w:r>
        <w:rPr>
          <w:rFonts w:ascii="黑体" w:eastAsia="黑体" w:hint="eastAsia"/>
        </w:rPr>
        <w:t>孤岛效应（</w:t>
      </w:r>
      <w:r>
        <w:t>Islanding effect</w:t>
      </w:r>
      <w:r>
        <w:rPr>
          <w:rFonts w:ascii="黑体" w:eastAsia="黑体" w:hint="eastAsia"/>
        </w:rPr>
        <w:t>）</w:t>
      </w:r>
      <w:bookmarkEnd w:id="8"/>
      <w:r>
        <w:rPr>
          <w:rFonts w:ascii="宋体" w:eastAsia="宋体" w:hint="eastAsia"/>
          <w:w w:val="99"/>
        </w:rPr>
        <w:t xml:space="preserve"> </w:t>
      </w:r>
    </w:p>
    <w:p>
      <w:pPr>
        <w:pStyle w:val="BodyText"/>
        <w:spacing w:before="2"/>
        <w:rPr>
          <w:b/>
          <w:sz w:val="33"/>
        </w:rPr>
      </w:pPr>
    </w:p>
    <w:p>
      <w:pPr>
        <w:pStyle w:val="BodyText"/>
        <w:ind w:left="640"/>
      </w:pPr>
      <w:r>
        <w:t>电网失压时，并网光伏系统仍保持对失压电网中的某一部分线路继续供电的状态。</w:t>
      </w:r>
    </w:p>
    <w:p>
      <w:pPr>
        <w:pStyle w:val="BodyText"/>
        <w:spacing w:before="2"/>
        <w:rPr>
          <w:sz w:val="28"/>
        </w:rPr>
      </w:pPr>
    </w:p>
    <w:p>
      <w:pPr>
        <w:pStyle w:val="Heading2"/>
        <w:numPr>
          <w:ilvl w:val="1"/>
          <w:numId w:val="2"/>
        </w:numPr>
        <w:tabs>
          <w:tab w:val="left" w:pos="790"/>
        </w:tabs>
        <w:spacing w:before="0" w:after="0" w:line="240" w:lineRule="auto"/>
        <w:ind w:left="789" w:right="0" w:hanging="578"/>
        <w:jc w:val="left"/>
      </w:pPr>
      <w:bookmarkStart w:id="9" w:name="_TOC_250039"/>
      <w:r>
        <w:rPr>
          <w:rFonts w:ascii="黑体" w:eastAsia="黑体" w:hint="eastAsia"/>
        </w:rPr>
        <w:t>电网保护装置（</w:t>
      </w:r>
      <w:r>
        <w:t>Protection</w:t>
      </w:r>
      <w:r>
        <w:rPr>
          <w:spacing w:val="-2"/>
        </w:rPr>
        <w:t xml:space="preserve"> </w:t>
      </w:r>
      <w:r>
        <w:t>device for grid</w:t>
      </w:r>
      <w:bookmarkEnd w:id="9"/>
      <w:r>
        <w:rPr>
          <w:rFonts w:ascii="黑体" w:eastAsia="黑体" w:hint="eastAsia"/>
        </w:rPr>
        <w:t>）</w:t>
      </w:r>
    </w:p>
    <w:p>
      <w:pPr>
        <w:pStyle w:val="BodyText"/>
        <w:spacing w:before="2"/>
        <w:rPr>
          <w:rFonts w:ascii="黑体"/>
          <w:b/>
          <w:sz w:val="33"/>
        </w:rPr>
      </w:pPr>
    </w:p>
    <w:p>
      <w:pPr>
        <w:pStyle w:val="BodyText"/>
        <w:spacing w:before="1" w:line="362" w:lineRule="auto"/>
        <w:ind w:left="212" w:right="562" w:firstLine="427"/>
      </w:pPr>
      <w:r>
        <w:t>监测光伏系统并网的运行状态，在技术指标越限情况下将光伏系统与电网安全解列的装置。</w:t>
      </w:r>
    </w:p>
    <w:p>
      <w:pPr>
        <w:spacing w:after="0" w:line="362"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https://d.book118.com/757161032150006044</w:t>
        </w:r>
      </w:hyperlink>
    </w:p>
    <w:p>
      <w:pPr>
        <w:spacing w:after="0" w:line="362" w:lineRule="auto"/>
      </w:pPr>
    </w:p>
    <w:sectPr>
      <w:footerReference w:type="default" r:id="rId16"/>
      <w:pgSz w:w="11910" w:h="16850"/>
      <w:pgMar w:top="1080" w:right="660" w:bottom="920" w:left="920" w:header="0" w:footer="736" w:gutter="0"/>
      <w:pgNumType w:start="7"/>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4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o:spid="_x0000_s2049" type="#_x0000_t202" style="width:7pt;height:13.05pt;margin-top:794.2pt;margin-left:304.8pt;mso-height-relative:page;mso-position-horizontal-relative:page;mso-position-vertical-relative:page;mso-width-relative:page;position:absolute;z-index:-251658240" coordsize="21600,21600" filled="f" stroked="f">
          <v:stroke joinstyle="miter"/>
          <v:textbox inset="0,0,0,0">
            <w:txbxContent>
              <w:p>
                <w:pPr>
                  <w:spacing w:before="10"/>
                  <w:ind w:left="20" w:right="0" w:firstLine="0"/>
                  <w:jc w:val="left"/>
                  <w:rPr>
                    <w:rFonts w:ascii="Times New Roman"/>
                    <w:sz w:val="20"/>
                  </w:rPr>
                </w:pPr>
                <w:r>
                  <w:rPr>
                    <w:rFonts w:ascii="Times New Roman"/>
                    <w:w w:val="99"/>
                    <w:sz w:val="20"/>
                  </w:rPr>
                  <w:t>1</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o:spid="_x0000_s2050" type="#_x0000_t202" style="width:16.1pt;height:13.05pt;margin-top:794.2pt;margin-left:300.25pt;mso-height-relative:page;mso-position-horizontal-relative:page;mso-position-vertical-relative:page;mso-width-relative:page;position:absolute;z-index:-251657216" coordsize="21600,21600" filled="f" stroked="f">
          <v:stroke joinstyle="miter"/>
          <v:textbox inset="0,0,0,0">
            <w:txbxContent>
              <w:p>
                <w:pPr>
                  <w:spacing w:before="10"/>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3</w:t>
                </w:r>
                <w: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o:spid="_x0000_s2051" type="#_x0000_t202" style="width:16.1pt;height:13.05pt;margin-top:794.2pt;margin-left:300.25pt;mso-height-relative:page;mso-position-horizontal-relative:page;mso-position-vertical-relative:page;mso-width-relative:page;position:absolute;z-index:-251656192" coordsize="21600,21600" filled="f" stroked="f">
          <v:stroke joinstyle="miter"/>
          <v:textbox inset="0,0,0,0">
            <w:txbxContent>
              <w:p>
                <w:pPr>
                  <w:spacing w:before="10"/>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25</w:t>
                </w:r>
                <w: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o:spid="_x0000_s2052" type="#_x0000_t202" style="width:16.1pt;height:13.05pt;margin-top:794.2pt;margin-left:300.25pt;mso-height-relative:page;mso-position-horizontal-relative:page;mso-position-vertical-relative:page;mso-width-relative:page;position:absolute;z-index:-251655168" coordsize="21600,21600" filled="f" stroked="f">
          <v:stroke joinstyle="miter"/>
          <v:textbox inset="0,0,0,0">
            <w:txbxContent>
              <w:p>
                <w:pPr>
                  <w:spacing w:before="10"/>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5</w:t>
                </w:r>
                <w: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o:spid="_x0000_s2053" type="#_x0000_t202" style="width:16.1pt;height:13.05pt;margin-top:794.2pt;margin-left:300.25pt;mso-height-relative:page;mso-position-horizontal-relative:page;mso-position-vertical-relative:page;mso-width-relative:page;position:absolute;z-index:-251654144" coordsize="21600,21600" filled="f" stroked="f">
          <v:stroke joinstyle="miter"/>
          <v:textbox inset="0,0,0,0">
            <w:txbxContent>
              <w:p>
                <w:pPr>
                  <w:spacing w:before="10"/>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6</w:t>
                </w:r>
                <w: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o:spid="_x0000_s2054" type="#_x0000_t202" style="width:16.1pt;height:13.05pt;margin-top:794.2pt;margin-left:300.25pt;mso-height-relative:page;mso-position-horizontal-relative:page;mso-position-vertical-relative:page;mso-width-relative:page;position:absolute;z-index:-251653120" coordsize="21600,21600" filled="f" stroked="f">
          <v:stroke joinstyle="miter"/>
          <v:textbox inset="0,0,0,0">
            <w:txbxContent>
              <w:p>
                <w:pPr>
                  <w:spacing w:before="10"/>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7</w:t>
                </w:r>
                <w: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CF092B84"/>
    <w:multiLevelType w:val="multilevel"/>
    <w:tmpl w:val="CF092B84"/>
    <w:lvl w:ilvl="0">
      <w:start w:val="1"/>
      <w:numFmt w:val="decimal"/>
      <w:lvlText w:val="%1"/>
      <w:lvlJc w:val="left"/>
      <w:pPr>
        <w:ind w:left="645" w:hanging="433"/>
        <w:jc w:val="left"/>
      </w:pPr>
      <w:rPr>
        <w:rFonts w:ascii="黑体" w:eastAsia="黑体" w:hAnsi="黑体" w:cs="黑体" w:hint="default"/>
        <w:b/>
        <w:bCs/>
        <w:w w:val="99"/>
        <w:sz w:val="30"/>
        <w:szCs w:val="30"/>
        <w:lang w:val="en-US" w:eastAsia="en-US" w:bidi="ar-SA"/>
      </w:rPr>
    </w:lvl>
    <w:lvl w:ilvl="1">
      <w:start w:val="1"/>
      <w:numFmt w:val="decimal"/>
      <w:lvlText w:val="%1.%2"/>
      <w:lvlJc w:val="left"/>
      <w:pPr>
        <w:ind w:left="789" w:hanging="577"/>
        <w:jc w:val="left"/>
      </w:pPr>
      <w:rPr>
        <w:rFonts w:hint="default"/>
        <w:b/>
        <w:bCs/>
        <w:w w:val="100"/>
        <w:lang w:val="en-US" w:eastAsia="en-US" w:bidi="ar-SA"/>
      </w:rPr>
    </w:lvl>
    <w:lvl w:ilvl="2">
      <w:start w:val="1"/>
      <w:numFmt w:val="decimal"/>
      <w:lvlText w:val="%1.%2.%3"/>
      <w:lvlJc w:val="left"/>
      <w:pPr>
        <w:ind w:left="1360" w:hanging="577"/>
        <w:jc w:val="left"/>
      </w:pPr>
      <w:rPr>
        <w:rFonts w:ascii="Times New Roman" w:eastAsia="Times New Roman" w:hAnsi="Times New Roman" w:cs="Times New Roman" w:hint="default"/>
        <w:w w:val="100"/>
        <w:sz w:val="24"/>
        <w:szCs w:val="24"/>
        <w:u w:val="single" w:color="000000"/>
        <w:lang w:val="en-US" w:eastAsia="en-US" w:bidi="ar-SA"/>
      </w:rPr>
    </w:lvl>
    <w:lvl w:ilvl="3">
      <w:start w:val="1"/>
      <w:numFmt w:val="decimal"/>
      <w:lvlText w:val="%1.%2.%3.%4"/>
      <w:lvlJc w:val="left"/>
      <w:pPr>
        <w:ind w:left="1929" w:hanging="577"/>
        <w:jc w:val="left"/>
      </w:pPr>
      <w:rPr>
        <w:rFonts w:ascii="Times New Roman" w:eastAsia="Times New Roman" w:hAnsi="Times New Roman" w:cs="Times New Roman" w:hint="default"/>
        <w:w w:val="100"/>
        <w:sz w:val="24"/>
        <w:szCs w:val="24"/>
        <w:lang w:val="en-US" w:eastAsia="en-US" w:bidi="ar-SA"/>
      </w:rPr>
    </w:lvl>
    <w:lvl w:ilvl="4">
      <w:start w:val="0"/>
      <w:numFmt w:val="bullet"/>
      <w:lvlText w:val=""/>
      <w:lvlJc w:val="left"/>
      <w:pPr>
        <w:ind w:left="1624" w:hanging="577"/>
      </w:pPr>
      <w:rPr>
        <w:rFonts w:ascii="Wingdings" w:eastAsia="Wingdings" w:hAnsi="Wingdings" w:cs="Wingdings" w:hint="default"/>
        <w:w w:val="100"/>
        <w:sz w:val="24"/>
        <w:szCs w:val="24"/>
        <w:lang w:val="en-US" w:eastAsia="en-US" w:bidi="ar-SA"/>
      </w:rPr>
    </w:lvl>
    <w:lvl w:ilvl="5">
      <w:start w:val="0"/>
      <w:numFmt w:val="bullet"/>
      <w:lvlText w:val="•"/>
      <w:lvlJc w:val="left"/>
      <w:pPr>
        <w:ind w:left="3321" w:hanging="577"/>
      </w:pPr>
      <w:rPr>
        <w:rFonts w:hint="default"/>
        <w:lang w:val="en-US" w:eastAsia="en-US" w:bidi="ar-SA"/>
      </w:rPr>
    </w:lvl>
    <w:lvl w:ilvl="6">
      <w:start w:val="0"/>
      <w:numFmt w:val="bullet"/>
      <w:lvlText w:val="•"/>
      <w:lvlJc w:val="left"/>
      <w:pPr>
        <w:ind w:left="4722" w:hanging="577"/>
      </w:pPr>
      <w:rPr>
        <w:rFonts w:hint="default"/>
        <w:lang w:val="en-US" w:eastAsia="en-US" w:bidi="ar-SA"/>
      </w:rPr>
    </w:lvl>
    <w:lvl w:ilvl="7">
      <w:start w:val="0"/>
      <w:numFmt w:val="bullet"/>
      <w:lvlText w:val="•"/>
      <w:lvlJc w:val="left"/>
      <w:pPr>
        <w:ind w:left="6123" w:hanging="577"/>
      </w:pPr>
      <w:rPr>
        <w:rFonts w:hint="default"/>
        <w:lang w:val="en-US" w:eastAsia="en-US" w:bidi="ar-SA"/>
      </w:rPr>
    </w:lvl>
    <w:lvl w:ilvl="8">
      <w:start w:val="0"/>
      <w:numFmt w:val="bullet"/>
      <w:lvlText w:val="•"/>
      <w:lvlJc w:val="left"/>
      <w:pPr>
        <w:ind w:left="7524" w:hanging="577"/>
      </w:pPr>
      <w:rPr>
        <w:rFonts w:hint="default"/>
        <w:lang w:val="en-US" w:eastAsia="en-US" w:bidi="ar-SA"/>
      </w:rPr>
    </w:lvl>
  </w:abstractNum>
  <w:abstractNum w:abstractNumId="1">
    <w:nsid w:val="0053208E"/>
    <w:multiLevelType w:val="multilevel"/>
    <w:tmpl w:val="0053208E"/>
    <w:lvl w:ilvl="0">
      <w:start w:val="1"/>
      <w:numFmt w:val="decimal"/>
      <w:lvlText w:val="%1"/>
      <w:lvlJc w:val="left"/>
      <w:pPr>
        <w:ind w:left="1058" w:hanging="413"/>
        <w:jc w:val="left"/>
      </w:pPr>
      <w:rPr>
        <w:rFonts w:ascii="Times New Roman" w:eastAsia="Times New Roman" w:hAnsi="Times New Roman" w:cs="Times New Roman" w:hint="default"/>
        <w:w w:val="100"/>
        <w:sz w:val="28"/>
        <w:szCs w:val="28"/>
        <w:lang w:val="en-US" w:eastAsia="en-US" w:bidi="ar-SA"/>
      </w:rPr>
    </w:lvl>
    <w:lvl w:ilvl="1">
      <w:start w:val="1"/>
      <w:numFmt w:val="decimal"/>
      <w:lvlText w:val="%1.%2"/>
      <w:lvlJc w:val="left"/>
      <w:pPr>
        <w:ind w:left="1893" w:hanging="773"/>
        <w:jc w:val="left"/>
      </w:pPr>
      <w:rPr>
        <w:rFonts w:hint="default"/>
        <w:w w:val="100"/>
        <w:lang w:val="en-US" w:eastAsia="en-US" w:bidi="ar-SA"/>
      </w:rPr>
    </w:lvl>
    <w:lvl w:ilvl="2">
      <w:start w:val="0"/>
      <w:numFmt w:val="bullet"/>
      <w:lvlText w:val="•"/>
      <w:lvlJc w:val="left"/>
      <w:pPr>
        <w:ind w:left="2836" w:hanging="773"/>
      </w:pPr>
      <w:rPr>
        <w:rFonts w:hint="default"/>
        <w:lang w:val="en-US" w:eastAsia="en-US" w:bidi="ar-SA"/>
      </w:rPr>
    </w:lvl>
    <w:lvl w:ilvl="3">
      <w:start w:val="0"/>
      <w:numFmt w:val="bullet"/>
      <w:lvlText w:val="•"/>
      <w:lvlJc w:val="left"/>
      <w:pPr>
        <w:ind w:left="3772" w:hanging="773"/>
      </w:pPr>
      <w:rPr>
        <w:rFonts w:hint="default"/>
        <w:lang w:val="en-US" w:eastAsia="en-US" w:bidi="ar-SA"/>
      </w:rPr>
    </w:lvl>
    <w:lvl w:ilvl="4">
      <w:start w:val="0"/>
      <w:numFmt w:val="bullet"/>
      <w:lvlText w:val="•"/>
      <w:lvlJc w:val="left"/>
      <w:pPr>
        <w:ind w:left="4708" w:hanging="773"/>
      </w:pPr>
      <w:rPr>
        <w:rFonts w:hint="default"/>
        <w:lang w:val="en-US" w:eastAsia="en-US" w:bidi="ar-SA"/>
      </w:rPr>
    </w:lvl>
    <w:lvl w:ilvl="5">
      <w:start w:val="0"/>
      <w:numFmt w:val="bullet"/>
      <w:lvlText w:val="•"/>
      <w:lvlJc w:val="left"/>
      <w:pPr>
        <w:ind w:left="5645" w:hanging="773"/>
      </w:pPr>
      <w:rPr>
        <w:rFonts w:hint="default"/>
        <w:lang w:val="en-US" w:eastAsia="en-US" w:bidi="ar-SA"/>
      </w:rPr>
    </w:lvl>
    <w:lvl w:ilvl="6">
      <w:start w:val="0"/>
      <w:numFmt w:val="bullet"/>
      <w:lvlText w:val="•"/>
      <w:lvlJc w:val="left"/>
      <w:pPr>
        <w:ind w:left="6581" w:hanging="773"/>
      </w:pPr>
      <w:rPr>
        <w:rFonts w:hint="default"/>
        <w:lang w:val="en-US" w:eastAsia="en-US" w:bidi="ar-SA"/>
      </w:rPr>
    </w:lvl>
    <w:lvl w:ilvl="7">
      <w:start w:val="0"/>
      <w:numFmt w:val="bullet"/>
      <w:lvlText w:val="•"/>
      <w:lvlJc w:val="left"/>
      <w:pPr>
        <w:ind w:left="7517" w:hanging="773"/>
      </w:pPr>
      <w:rPr>
        <w:rFonts w:hint="default"/>
        <w:lang w:val="en-US" w:eastAsia="en-US" w:bidi="ar-SA"/>
      </w:rPr>
    </w:lvl>
    <w:lvl w:ilvl="8">
      <w:start w:val="0"/>
      <w:numFmt w:val="bullet"/>
      <w:lvlText w:val="•"/>
      <w:lvlJc w:val="left"/>
      <w:pPr>
        <w:ind w:left="8453" w:hanging="773"/>
      </w:pPr>
      <w:rPr>
        <w:rFonts w:hint="default"/>
        <w:lang w:val="en-US" w:eastAsia="en-US" w:bidi="ar-SA"/>
      </w:rPr>
    </w:lvl>
  </w:abstractNum>
  <w:abstractNum w:abstractNumId="2">
    <w:nsid w:val="59ADCABA"/>
    <w:multiLevelType w:val="multilevel"/>
    <w:tmpl w:val="59ADCABA"/>
    <w:lvl w:ilvl="0">
      <w:start w:val="0"/>
      <w:numFmt w:val="bullet"/>
      <w:lvlText w:val=""/>
      <w:lvlJc w:val="left"/>
      <w:pPr>
        <w:ind w:left="633" w:hanging="421"/>
      </w:pPr>
      <w:rPr>
        <w:rFonts w:ascii="Wingdings" w:eastAsia="Wingdings" w:hAnsi="Wingdings" w:cs="Wingdings" w:hint="default"/>
        <w:w w:val="100"/>
        <w:sz w:val="24"/>
        <w:szCs w:val="24"/>
        <w:lang w:val="en-US" w:eastAsia="en-US" w:bidi="ar-SA"/>
      </w:rPr>
    </w:lvl>
    <w:lvl w:ilvl="1">
      <w:start w:val="0"/>
      <w:numFmt w:val="bullet"/>
      <w:lvlText w:val="•"/>
      <w:lvlJc w:val="left"/>
      <w:pPr>
        <w:ind w:left="1608" w:hanging="421"/>
      </w:pPr>
      <w:rPr>
        <w:rFonts w:hint="default"/>
        <w:lang w:val="en-US" w:eastAsia="en-US" w:bidi="ar-SA"/>
      </w:rPr>
    </w:lvl>
    <w:lvl w:ilvl="2">
      <w:start w:val="0"/>
      <w:numFmt w:val="bullet"/>
      <w:lvlText w:val="•"/>
      <w:lvlJc w:val="left"/>
      <w:pPr>
        <w:ind w:left="2577" w:hanging="421"/>
      </w:pPr>
      <w:rPr>
        <w:rFonts w:hint="default"/>
        <w:lang w:val="en-US" w:eastAsia="en-US" w:bidi="ar-SA"/>
      </w:rPr>
    </w:lvl>
    <w:lvl w:ilvl="3">
      <w:start w:val="0"/>
      <w:numFmt w:val="bullet"/>
      <w:lvlText w:val="•"/>
      <w:lvlJc w:val="left"/>
      <w:pPr>
        <w:ind w:left="3545" w:hanging="421"/>
      </w:pPr>
      <w:rPr>
        <w:rFonts w:hint="default"/>
        <w:lang w:val="en-US" w:eastAsia="en-US" w:bidi="ar-SA"/>
      </w:rPr>
    </w:lvl>
    <w:lvl w:ilvl="4">
      <w:start w:val="0"/>
      <w:numFmt w:val="bullet"/>
      <w:lvlText w:val="•"/>
      <w:lvlJc w:val="left"/>
      <w:pPr>
        <w:ind w:left="4514" w:hanging="421"/>
      </w:pPr>
      <w:rPr>
        <w:rFonts w:hint="default"/>
        <w:lang w:val="en-US" w:eastAsia="en-US" w:bidi="ar-SA"/>
      </w:rPr>
    </w:lvl>
    <w:lvl w:ilvl="5">
      <w:start w:val="0"/>
      <w:numFmt w:val="bullet"/>
      <w:lvlText w:val="•"/>
      <w:lvlJc w:val="left"/>
      <w:pPr>
        <w:ind w:left="5483" w:hanging="421"/>
      </w:pPr>
      <w:rPr>
        <w:rFonts w:hint="default"/>
        <w:lang w:val="en-US" w:eastAsia="en-US" w:bidi="ar-SA"/>
      </w:rPr>
    </w:lvl>
    <w:lvl w:ilvl="6">
      <w:start w:val="0"/>
      <w:numFmt w:val="bullet"/>
      <w:lvlText w:val="•"/>
      <w:lvlJc w:val="left"/>
      <w:pPr>
        <w:ind w:left="6451" w:hanging="421"/>
      </w:pPr>
      <w:rPr>
        <w:rFonts w:hint="default"/>
        <w:lang w:val="en-US" w:eastAsia="en-US" w:bidi="ar-SA"/>
      </w:rPr>
    </w:lvl>
    <w:lvl w:ilvl="7">
      <w:start w:val="0"/>
      <w:numFmt w:val="bullet"/>
      <w:lvlText w:val="•"/>
      <w:lvlJc w:val="left"/>
      <w:pPr>
        <w:ind w:left="7420" w:hanging="421"/>
      </w:pPr>
      <w:rPr>
        <w:rFonts w:hint="default"/>
        <w:lang w:val="en-US" w:eastAsia="en-US" w:bidi="ar-SA"/>
      </w:rPr>
    </w:lvl>
    <w:lvl w:ilvl="8">
      <w:start w:val="0"/>
      <w:numFmt w:val="bullet"/>
      <w:lvlText w:val="•"/>
      <w:lvlJc w:val="left"/>
      <w:pPr>
        <w:ind w:left="8389" w:hanging="421"/>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804124F"/>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1" w:unhideWhenUsed="0" w:qFormat="1"/>
    <w:lsdException w:name="toc 2" w:semiHidden="0" w:uiPriority="1" w:unhideWhenUsed="0" w:qFormat="1"/>
    <w:lsdException w:name="toc 3" w:semiHidden="0" w:uiPriority="1" w:unhideWhenUsed="0" w:qFormat="1"/>
    <w:lsdException w:name="toc 4" w:semiHidden="0" w:uiPriority="1" w:unhideWhenUsed="0" w:qFormat="1"/>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宋体" w:eastAsia="宋体" w:hAnsi="宋体" w:cs="宋体"/>
      <w:sz w:val="22"/>
      <w:szCs w:val="22"/>
      <w:lang w:val="en-US" w:eastAsia="en-US" w:bidi="ar-SA"/>
    </w:rPr>
  </w:style>
  <w:style w:type="paragraph" w:styleId="Heading1">
    <w:name w:val="heading 1"/>
    <w:basedOn w:val="Normal"/>
    <w:next w:val="Normal"/>
    <w:uiPriority w:val="1"/>
    <w:qFormat/>
    <w:pPr>
      <w:spacing w:before="32"/>
      <w:ind w:left="645" w:hanging="434"/>
      <w:outlineLvl w:val="0"/>
    </w:pPr>
    <w:rPr>
      <w:rFonts w:ascii="黑体" w:eastAsia="黑体" w:hAnsi="黑体" w:cs="黑体"/>
      <w:b/>
      <w:bCs/>
      <w:sz w:val="30"/>
      <w:szCs w:val="30"/>
      <w:lang w:val="en-US" w:eastAsia="en-US" w:bidi="ar-SA"/>
    </w:rPr>
  </w:style>
  <w:style w:type="paragraph" w:styleId="Heading2">
    <w:name w:val="heading 2"/>
    <w:basedOn w:val="Normal"/>
    <w:next w:val="Normal"/>
    <w:uiPriority w:val="1"/>
    <w:qFormat/>
    <w:pPr>
      <w:ind w:left="789" w:hanging="578"/>
      <w:outlineLvl w:val="1"/>
    </w:pPr>
    <w:rPr>
      <w:rFonts w:ascii="Times New Roman" w:eastAsia="Times New Roman" w:hAnsi="Times New Roman" w:cs="Times New Roman"/>
      <w:b/>
      <w:bCs/>
      <w:sz w:val="28"/>
      <w:szCs w:val="28"/>
      <w:lang w:val="en-US" w:eastAsia="en-US" w:bidi="ar-SA"/>
    </w:rPr>
  </w:style>
  <w:style w:type="character" w:default="1" w:styleId="DefaultParagraphFont">
    <w:name w:val="Default Paragraph Font"/>
    <w:uiPriority w:val="1"/>
    <w:semiHidden/>
    <w:unhideWhenUsed/>
    <w:qFormat/>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uiPriority w:val="1"/>
    <w:qFormat/>
    <w:rPr>
      <w:rFonts w:ascii="宋体" w:eastAsia="宋体" w:hAnsi="宋体" w:cs="宋体"/>
      <w:sz w:val="24"/>
      <w:szCs w:val="24"/>
      <w:lang w:val="en-US" w:eastAsia="en-US" w:bidi="ar-SA"/>
    </w:rPr>
  </w:style>
  <w:style w:type="paragraph" w:styleId="TOC3">
    <w:name w:val="toc 3"/>
    <w:basedOn w:val="Normal"/>
    <w:next w:val="Normal"/>
    <w:uiPriority w:val="1"/>
    <w:qFormat/>
    <w:pPr>
      <w:spacing w:before="170"/>
      <w:ind w:left="1893" w:hanging="774"/>
    </w:pPr>
    <w:rPr>
      <w:rFonts w:ascii="Times New Roman" w:eastAsia="Times New Roman" w:hAnsi="Times New Roman" w:cs="Times New Roman"/>
      <w:sz w:val="24"/>
      <w:szCs w:val="24"/>
      <w:lang w:val="en-US" w:eastAsia="en-US" w:bidi="ar-SA"/>
    </w:rPr>
  </w:style>
  <w:style w:type="paragraph" w:styleId="TOC1">
    <w:name w:val="toc 1"/>
    <w:basedOn w:val="Normal"/>
    <w:next w:val="Normal"/>
    <w:uiPriority w:val="1"/>
    <w:qFormat/>
    <w:pPr>
      <w:spacing w:before="166"/>
      <w:ind w:left="1058" w:hanging="891"/>
    </w:pPr>
    <w:rPr>
      <w:rFonts w:ascii="宋体" w:eastAsia="宋体" w:hAnsi="宋体" w:cs="宋体"/>
      <w:sz w:val="28"/>
      <w:szCs w:val="28"/>
      <w:lang w:val="en-US" w:eastAsia="en-US" w:bidi="ar-SA"/>
    </w:rPr>
  </w:style>
  <w:style w:type="paragraph" w:styleId="TOC4">
    <w:name w:val="toc 4"/>
    <w:basedOn w:val="Normal"/>
    <w:next w:val="Normal"/>
    <w:uiPriority w:val="1"/>
    <w:qFormat/>
    <w:pPr>
      <w:spacing w:before="170"/>
      <w:ind w:left="1893" w:hanging="774"/>
    </w:pPr>
    <w:rPr>
      <w:rFonts w:ascii="Times New Roman" w:eastAsia="Times New Roman" w:hAnsi="Times New Roman" w:cs="Times New Roman"/>
      <w:b/>
      <w:bCs/>
      <w:i/>
      <w:lang w:val="en-US" w:eastAsia="en-US" w:bidi="ar-SA"/>
    </w:rPr>
  </w:style>
  <w:style w:type="paragraph" w:styleId="TOC2">
    <w:name w:val="toc 2"/>
    <w:basedOn w:val="Normal"/>
    <w:next w:val="Normal"/>
    <w:uiPriority w:val="1"/>
    <w:qFormat/>
    <w:pPr>
      <w:spacing w:before="166"/>
      <w:ind w:left="1058" w:hanging="414"/>
    </w:pPr>
    <w:rPr>
      <w:rFonts w:ascii="宋体" w:eastAsia="宋体" w:hAnsi="宋体" w:cs="宋体"/>
      <w:sz w:val="28"/>
      <w:szCs w:val="28"/>
      <w:lang w:val="en-US" w:eastAsia="en-US" w:bidi="ar-SA"/>
    </w:rPr>
  </w:style>
  <w:style w:type="paragraph" w:styleId="Title">
    <w:name w:val="Title"/>
    <w:basedOn w:val="Normal"/>
    <w:uiPriority w:val="1"/>
    <w:qFormat/>
    <w:pPr>
      <w:spacing w:before="38"/>
      <w:ind w:left="1511"/>
    </w:pPr>
    <w:rPr>
      <w:rFonts w:ascii="黑体" w:eastAsia="黑体" w:hAnsi="黑体" w:cs="黑体"/>
      <w:sz w:val="44"/>
      <w:szCs w:val="44"/>
      <w:lang w:val="en-US" w:eastAsia="en-US" w:bidi="ar-SA"/>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360" w:hanging="721"/>
    </w:pPr>
    <w:rPr>
      <w:rFonts w:ascii="宋体" w:eastAsia="宋体" w:hAnsi="宋体" w:cs="宋体"/>
      <w:lang w:val="en-US" w:eastAsia="en-US" w:bidi="ar-SA"/>
    </w:rPr>
  </w:style>
  <w:style w:type="paragraph" w:customStyle="1" w:styleId="TableParagraph">
    <w:name w:val="Table Paragraph"/>
    <w:basedOn w:val="Normal"/>
    <w:uiPriority w:val="1"/>
    <w:qFormat/>
    <w:rPr>
      <w:rFonts w:ascii="宋体" w:eastAsia="宋体" w:hAnsi="宋体" w:cs="宋体"/>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baike.baidu.com/item/%E5%A4%AA%E9%98%B3%E8%83%BD%E6%9D%BF" TargetMode="External" /><Relationship Id="rId11" Type="http://schemas.openxmlformats.org/officeDocument/2006/relationships/hyperlink" Target="https://baike.baidu.com/item/%E4%BA%A4%E6%B5%81%E7%94%B5" TargetMode="External" /><Relationship Id="rId12" Type="http://schemas.openxmlformats.org/officeDocument/2006/relationships/footer" Target="footer5.xml" /><Relationship Id="rId13" Type="http://schemas.openxmlformats.org/officeDocument/2006/relationships/hyperlink" Target="http://baike.sogou.com/lemma/ShowInnerLink.htm?lemmaId=4117290&amp;ss_c=ssc.citiao.link" TargetMode="External" /><Relationship Id="rId14" Type="http://schemas.openxmlformats.org/officeDocument/2006/relationships/hyperlink" Target="http://baike.sogou.com/v1517278.htm" TargetMode="External" /><Relationship Id="rId15" Type="http://schemas.openxmlformats.org/officeDocument/2006/relationships/hyperlink" Target="https://d.book118.com/757161032150006044" TargetMode="Externa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hyperlink" Target="https://baike.baidu.com/item/%E5%85%89%E4%BC%8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Tao MA</dc:creator>
  <cp:lastModifiedBy>Administrator</cp:lastModifiedBy>
  <cp:revision>0</cp:revision>
  <dcterms:created xsi:type="dcterms:W3CDTF">2024-02-27T15:16:00Z</dcterms:created>
  <dcterms:modified xsi:type="dcterms:W3CDTF">2024-02-27T15:16:26Z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2019-03-04T00:00:00Z</vt:filetime>
  </property>
  <property fmtid="{D5CDD505-2E9C-101B-9397-08002B2CF9AE}" pid="3" name="Creator">
    <vt:lpwstr>Microsoft® Office Word 2007</vt:lpwstr>
  </property>
  <property fmtid="{D5CDD505-2E9C-101B-9397-08002B2CF9AE}" pid="4" name="ICV">
    <vt:lpwstr>48B4FCFE84C14168A2B3E6A0292044F6</vt:lpwstr>
  </property>
  <property fmtid="{D5CDD505-2E9C-101B-9397-08002B2CF9AE}" pid="5" name="KSOProductBuildVer">
    <vt:lpwstr>2052-11.8.2.11718</vt:lpwstr>
  </property>
  <property fmtid="{D5CDD505-2E9C-101B-9397-08002B2CF9AE}" pid="6" name="LastSaved">
    <vt:filetime>2024-02-27T00:00:00Z</vt:filetime>
  </property>
</Properties>
</file>