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ind w:firstLine="720" w:firstLineChars="100"/>
        <w:rPr>
          <w:rFonts w:ascii="Times New Roman" w:hAnsi="Times New Roman" w:cs="Times New Roman"/>
          <w:b/>
          <w:sz w:val="72"/>
        </w:rPr>
      </w:pPr>
      <w:r>
        <w:rPr>
          <w:rFonts w:ascii="Times New Roman" w:hAnsi="Times New Roman" w:cs="Times New Roman"/>
          <w:b/>
          <w:sz w:val="72"/>
        </w:rPr>
        <w:t>建设项目环境影响报告表</w:t>
      </w:r>
    </w:p>
    <w:p>
      <w:pPr>
        <w:spacing w:line="660" w:lineRule="exact"/>
        <w:ind w:firstLine="3960" w:firstLineChars="1100"/>
        <w:rPr>
          <w:rFonts w:ascii="Times New Roman" w:hAnsi="Times New Roman" w:cs="Times New Roman"/>
          <w:b/>
          <w:sz w:val="36"/>
          <w:szCs w:val="36"/>
        </w:rPr>
      </w:pPr>
      <w:r>
        <w:rPr>
          <w:rFonts w:ascii="Times New Roman" w:hAnsi="Times New Roman" w:cs="Times New Roman"/>
          <w:b/>
          <w:sz w:val="36"/>
          <w:szCs w:val="36"/>
        </w:rPr>
        <w:t>（</w:t>
      </w:r>
      <w:r>
        <w:rPr>
          <w:rFonts w:ascii="Times New Roman" w:hAnsi="Times New Roman" w:cs="Times New Roman" w:hint="eastAsia"/>
          <w:b/>
          <w:sz w:val="36"/>
          <w:szCs w:val="36"/>
          <w:lang w:val="en-US" w:eastAsia="zh-CN"/>
        </w:rPr>
        <w:t>公示</w:t>
      </w:r>
      <w:r>
        <w:rPr>
          <w:rFonts w:ascii="Times New Roman" w:hAnsi="Times New Roman" w:cs="Times New Roman"/>
          <w:b/>
          <w:sz w:val="36"/>
          <w:szCs w:val="36"/>
        </w:rPr>
        <w:t>稿）</w:t>
      </w:r>
    </w:p>
    <w:p>
      <w:pPr>
        <w:pStyle w:val="NormalIndent0"/>
        <w:ind w:firstLine="0" w:firstLineChars="0"/>
        <w:rPr>
          <w:rFonts w:ascii="Times New Roman" w:hAnsi="Times New Roman" w:cs="Times New Roman"/>
          <w:color w:val="000000"/>
        </w:rPr>
      </w:pPr>
    </w:p>
    <w:p>
      <w:pPr>
        <w:pStyle w:val="NormalIndent0"/>
        <w:ind w:firstLine="560"/>
        <w:rPr>
          <w:rFonts w:ascii="Times New Roman" w:hAnsi="Times New Roman" w:cs="Times New Roman"/>
          <w:color w:val="000000"/>
        </w:rPr>
      </w:pPr>
    </w:p>
    <w:p>
      <w:pPr>
        <w:pStyle w:val="NormalIndent0"/>
        <w:ind w:firstLine="560"/>
        <w:rPr>
          <w:rFonts w:ascii="Times New Roman" w:hAnsi="Times New Roman" w:cs="Times New Roman"/>
          <w:color w:val="000000"/>
        </w:rPr>
      </w:pPr>
    </w:p>
    <w:p>
      <w:pPr>
        <w:pStyle w:val="NormalIndent0"/>
        <w:ind w:firstLine="560"/>
        <w:rPr>
          <w:rFonts w:ascii="Times New Roman" w:hAnsi="Times New Roman" w:cs="Times New Roman"/>
          <w:color w:val="000000"/>
        </w:rPr>
      </w:pPr>
    </w:p>
    <w:p>
      <w:pPr>
        <w:pStyle w:val="NormalIndent0"/>
        <w:ind w:firstLine="560"/>
        <w:rPr>
          <w:rFonts w:ascii="Times New Roman" w:hAnsi="Times New Roman" w:cs="Times New Roman"/>
          <w:color w:val="000000"/>
        </w:rPr>
      </w:pPr>
    </w:p>
    <w:p>
      <w:pPr>
        <w:pStyle w:val="NormalIndent0"/>
        <w:ind w:firstLine="560"/>
        <w:rPr>
          <w:rFonts w:ascii="Times New Roman" w:hAnsi="Times New Roman" w:cs="Times New Roman"/>
          <w:color w:val="000000"/>
        </w:rPr>
      </w:pPr>
    </w:p>
    <w:p>
      <w:pPr>
        <w:spacing w:line="480" w:lineRule="auto"/>
        <w:ind w:firstLine="723"/>
        <w:rPr>
          <w:rFonts w:ascii="Times New Roman" w:hAnsi="Times New Roman" w:cs="Times New Roman"/>
          <w:b/>
          <w:color w:val="000000"/>
          <w:sz w:val="36"/>
          <w:u w:val="single"/>
        </w:rPr>
      </w:pPr>
      <w:r>
        <w:rPr>
          <w:rFonts w:ascii="Times New Roman" w:hAnsi="Times New Roman" w:cs="Times New Roman"/>
          <w:b/>
          <w:color w:val="000000"/>
          <w:sz w:val="36"/>
        </w:rPr>
        <w:t>项目名称：</w:t>
      </w:r>
      <w:r>
        <w:rPr>
          <w:rFonts w:ascii="Times New Roman" w:hAnsi="Times New Roman" w:cs="Times New Roman"/>
          <w:b/>
          <w:color w:val="000000"/>
          <w:sz w:val="36"/>
          <w:u w:val="single"/>
        </w:rPr>
        <w:t>三亚市育春路西侧市政道路A段工程项目</w:t>
      </w:r>
    </w:p>
    <w:p>
      <w:pPr>
        <w:spacing w:line="480" w:lineRule="auto"/>
        <w:ind w:firstLine="723"/>
        <w:rPr>
          <w:rFonts w:ascii="Times New Roman" w:hAnsi="Times New Roman" w:cs="Times New Roman"/>
          <w:b/>
          <w:color w:val="000000"/>
          <w:sz w:val="36"/>
          <w:u w:val="single"/>
        </w:rPr>
      </w:pPr>
      <w:r>
        <w:rPr>
          <w:rFonts w:ascii="Times New Roman" w:hAnsi="Times New Roman" w:cs="Times New Roman"/>
          <w:b/>
          <w:color w:val="000000"/>
          <w:sz w:val="36"/>
        </w:rPr>
        <w:t>建设单位(盖章)：</w:t>
      </w:r>
      <w:r>
        <w:rPr>
          <w:rFonts w:ascii="Times New Roman" w:hAnsi="Times New Roman" w:cs="Times New Roman"/>
          <w:b/>
          <w:color w:val="000000"/>
          <w:sz w:val="36"/>
          <w:u w:val="single"/>
        </w:rPr>
        <w:t xml:space="preserve"> 三亚市市政维护应急中心       </w:t>
      </w:r>
    </w:p>
    <w:p>
      <w:pPr>
        <w:ind w:firstLine="480"/>
        <w:rPr>
          <w:rFonts w:ascii="Times New Roman" w:hAnsi="Times New Roman" w:cs="Times New Roman"/>
          <w:color w:val="000000"/>
        </w:rPr>
      </w:pPr>
    </w:p>
    <w:p>
      <w:pPr>
        <w:ind w:firstLine="480"/>
        <w:rPr>
          <w:rFonts w:ascii="Times New Roman" w:hAnsi="Times New Roman" w:cs="Times New Roman"/>
          <w:color w:val="000000"/>
        </w:rPr>
      </w:pPr>
    </w:p>
    <w:p>
      <w:pPr>
        <w:ind w:firstLine="480"/>
        <w:rPr>
          <w:rFonts w:ascii="Times New Roman" w:hAnsi="Times New Roman" w:cs="Times New Roman"/>
          <w:color w:val="000000"/>
        </w:rPr>
      </w:pPr>
    </w:p>
    <w:p>
      <w:pPr>
        <w:ind w:firstLine="480"/>
        <w:rPr>
          <w:rFonts w:ascii="Times New Roman" w:hAnsi="Times New Roman" w:cs="Times New Roman"/>
          <w:color w:val="000000"/>
        </w:rPr>
      </w:pPr>
    </w:p>
    <w:p>
      <w:pPr>
        <w:ind w:firstLine="480"/>
        <w:rPr>
          <w:rFonts w:ascii="Times New Roman" w:hAnsi="Times New Roman" w:cs="Times New Roman"/>
          <w:color w:val="000000"/>
        </w:rPr>
      </w:pPr>
    </w:p>
    <w:p>
      <w:pPr>
        <w:pStyle w:val="NormalIndent0"/>
        <w:ind w:firstLine="0" w:firstLineChars="0"/>
        <w:rPr>
          <w:rFonts w:ascii="Times New Roman" w:hAnsi="Times New Roman" w:cs="Times New Roman"/>
          <w:color w:val="000000"/>
        </w:rPr>
      </w:pPr>
    </w:p>
    <w:p>
      <w:pPr>
        <w:pStyle w:val="NormalIndent0"/>
        <w:ind w:firstLine="560"/>
        <w:rPr>
          <w:rFonts w:ascii="Times New Roman" w:hAnsi="Times New Roman" w:cs="Times New Roman"/>
          <w:color w:val="000000"/>
        </w:rPr>
      </w:pPr>
    </w:p>
    <w:p>
      <w:pPr>
        <w:pStyle w:val="Default"/>
        <w:rPr>
          <w:rFonts w:ascii="Times New Roman"/>
        </w:rPr>
      </w:pPr>
    </w:p>
    <w:p>
      <w:pPr>
        <w:pStyle w:val="Default"/>
        <w:rPr>
          <w:rFonts w:ascii="Times New Roman"/>
          <w:b/>
          <w:bCs/>
          <w:sz w:val="36"/>
          <w:szCs w:val="36"/>
          <w:lang w:bidi="ar"/>
        </w:rPr>
      </w:pPr>
    </w:p>
    <w:p>
      <w:pPr>
        <w:pStyle w:val="Default"/>
        <w:jc w:val="center"/>
        <w:rPr>
          <w:rFonts w:ascii="Times New Roman"/>
          <w:b/>
          <w:bCs/>
          <w:sz w:val="32"/>
          <w:szCs w:val="32"/>
          <w:lang w:bidi="ar"/>
        </w:rPr>
      </w:pPr>
    </w:p>
    <w:p>
      <w:pPr>
        <w:pStyle w:val="Default"/>
        <w:jc w:val="center"/>
        <w:rPr>
          <w:rFonts w:ascii="Times New Roman"/>
          <w:b/>
          <w:bCs/>
          <w:sz w:val="32"/>
          <w:szCs w:val="32"/>
          <w:lang w:bidi="ar"/>
        </w:rPr>
      </w:pPr>
    </w:p>
    <w:p>
      <w:pPr>
        <w:pStyle w:val="Default"/>
        <w:spacing w:line="360" w:lineRule="auto"/>
        <w:ind w:firstLine="1920" w:firstLineChars="600"/>
        <w:rPr>
          <w:rFonts w:ascii="Times New Roman"/>
          <w:b/>
          <w:bCs/>
          <w:sz w:val="32"/>
          <w:szCs w:val="32"/>
          <w:lang w:bidi="ar"/>
        </w:rPr>
      </w:pPr>
      <w:r>
        <w:rPr>
          <w:rFonts w:ascii="Times New Roman"/>
          <w:b/>
          <w:bCs/>
          <w:sz w:val="32"/>
          <w:szCs w:val="32"/>
          <w:lang w:bidi="ar"/>
        </w:rPr>
        <w:t>编制单位：海南琼州环境评价有限公司</w:t>
      </w:r>
    </w:p>
    <w:p>
      <w:pPr>
        <w:pStyle w:val="Default"/>
        <w:spacing w:line="360" w:lineRule="auto"/>
        <w:ind w:firstLine="1920" w:firstLineChars="600"/>
        <w:rPr>
          <w:rFonts w:ascii="Times New Roman"/>
          <w:b/>
          <w:bCs/>
          <w:sz w:val="32"/>
          <w:szCs w:val="32"/>
          <w:lang w:bidi="ar"/>
        </w:rPr>
        <w:sectPr>
          <w:headerReference w:type="default" r:id="rId7"/>
          <w:footerReference w:type="default" r:id="rId8"/>
          <w:pgSz w:w="11907" w:h="16840"/>
          <w:pgMar w:top="1418" w:right="1418" w:bottom="1418" w:left="1218" w:header="851"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r>
        <w:rPr>
          <w:rFonts w:ascii="Times New Roman"/>
          <w:b/>
          <w:bCs/>
          <w:sz w:val="32"/>
          <w:szCs w:val="32"/>
          <w:lang w:bidi="ar"/>
        </w:rPr>
        <w:t>编制日期：20</w:t>
      </w:r>
      <w:r>
        <w:rPr>
          <w:rFonts w:ascii="Times New Roman" w:hint="eastAsia"/>
          <w:b/>
          <w:bCs/>
          <w:sz w:val="32"/>
          <w:szCs w:val="32"/>
          <w:lang w:val="en-US" w:eastAsia="zh-CN" w:bidi="ar"/>
        </w:rPr>
        <w:t>20</w:t>
      </w:r>
      <w:r>
        <w:rPr>
          <w:rFonts w:ascii="Times New Roman"/>
          <w:b/>
          <w:bCs/>
          <w:sz w:val="32"/>
          <w:szCs w:val="32"/>
          <w:lang w:bidi="ar"/>
        </w:rPr>
        <w:t>年</w:t>
      </w:r>
      <w:r>
        <w:rPr>
          <w:rFonts w:ascii="Times New Roman" w:hint="eastAsia"/>
          <w:b/>
          <w:bCs/>
          <w:sz w:val="32"/>
          <w:szCs w:val="32"/>
          <w:lang w:val="en-US" w:eastAsia="zh-CN" w:bidi="ar"/>
        </w:rPr>
        <w:t>6</w:t>
      </w:r>
      <w:r>
        <w:rPr>
          <w:rFonts w:ascii="Times New Roman"/>
          <w:b/>
          <w:bCs/>
          <w:sz w:val="32"/>
          <w:szCs w:val="32"/>
          <w:lang w:bidi="ar"/>
        </w:rPr>
        <w:t>月</w:t>
      </w:r>
    </w:p>
    <w:p>
      <w:pPr>
        <w:ind w:firstLine="723"/>
        <w:rPr>
          <w:rFonts w:ascii="Times New Roman" w:hAnsi="Times New Roman" w:cs="Times New Roman"/>
          <w:b/>
          <w:sz w:val="36"/>
          <w:szCs w:val="36"/>
        </w:rPr>
        <w:sectPr>
          <w:headerReference w:type="default" r:id="rId9"/>
          <w:footerReference w:type="default" r:id="rId10"/>
          <w:type w:val="continuous"/>
          <w:pgSz w:w="11907" w:h="16840"/>
          <w:pgMar w:top="1418" w:right="1669" w:bottom="1418" w:left="1418"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p>
      <w:pPr>
        <w:ind w:firstLine="0" w:firstLineChars="0"/>
        <w:jc w:val="center"/>
        <w:rPr>
          <w:rFonts w:ascii="Times New Roman" w:hAnsi="Times New Roman" w:cs="Times New Roman" w:hint="eastAsia"/>
          <w:b/>
          <w:sz w:val="36"/>
          <w:szCs w:val="36"/>
        </w:rPr>
        <w:sectPr>
          <w:headerReference w:type="default" r:id="rId11"/>
          <w:footerReference w:type="default" r:id="rId12"/>
          <w:pgSz w:w="11907" w:h="16840"/>
          <w:pgMar w:top="1418" w:right="1669" w:bottom="1418" w:left="1418"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p>
      <w:pPr>
        <w:ind w:firstLine="0" w:firstLineChars="0"/>
        <w:jc w:val="center"/>
        <w:rPr>
          <w:rFonts w:ascii="Times New Roman" w:hAnsi="Times New Roman" w:cs="Times New Roman"/>
          <w:b/>
          <w:sz w:val="36"/>
          <w:szCs w:val="36"/>
        </w:rPr>
      </w:pPr>
      <w:r>
        <w:rPr>
          <w:rFonts w:ascii="Times New Roman" w:hAnsi="Times New Roman" w:cs="Times New Roman"/>
          <w:b/>
          <w:sz w:val="36"/>
          <w:szCs w:val="36"/>
        </w:rPr>
        <w:t>《建设项目环境影响报告表》编制说明</w:t>
      </w:r>
    </w:p>
    <w:p>
      <w:pPr>
        <w:spacing w:line="660" w:lineRule="exact"/>
        <w:ind w:firstLine="560"/>
        <w:jc w:val="center"/>
        <w:rPr>
          <w:rFonts w:ascii="Times New Roman" w:hAnsi="Times New Roman" w:cs="Times New Roman"/>
          <w:sz w:val="28"/>
          <w:szCs w:val="28"/>
        </w:rPr>
      </w:pP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《建设项目环境影响报告表》由具有从事环境影响评价工作资质的单位编制。</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1．项目名称——指项目立项批复时的名称，应不超过30个字（两个英文字段作一个汉字）。</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2．建设地点——指项目所在地详细地址，公路、铁路应填写起止地点。</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3．行业类别——按国标填写。</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4．总投资——指项目投资总额。</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5．主要环境保护目标——指项目区周围一定范围内集中居民住宅区、学校、医院、保护文物、风景名胜区、水源地和生态敏感点等，应尽可能给出保护目标、性质、规模和距厂界距离等。</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7．预审意见——由行业主管部门填写答复意见，无主管部门项目，可不填。</w:t>
      </w:r>
    </w:p>
    <w:p>
      <w:pPr>
        <w:spacing w:line="660" w:lineRule="exact"/>
        <w:ind w:firstLine="560"/>
        <w:rPr>
          <w:rFonts w:ascii="Times New Roman" w:hAnsi="Times New Roman" w:cs="Times New Roman"/>
          <w:sz w:val="28"/>
          <w:szCs w:val="28"/>
        </w:rPr>
      </w:pPr>
      <w:r>
        <w:rPr>
          <w:rFonts w:ascii="Times New Roman" w:hAnsi="Times New Roman" w:cs="Times New Roman"/>
          <w:sz w:val="28"/>
          <w:szCs w:val="28"/>
        </w:rPr>
        <w:t>8．审批意见——由负责审批该项目的环境保护行政主管部门批复。</w:t>
      </w:r>
    </w:p>
    <w:p>
      <w:pPr>
        <w:spacing w:line="600" w:lineRule="exact"/>
        <w:ind w:firstLine="640"/>
        <w:rPr>
          <w:rFonts w:ascii="Times New Roman" w:hAnsi="Times New Roman" w:cs="Times New Roman"/>
          <w:sz w:val="32"/>
          <w:szCs w:val="32"/>
        </w:rPr>
      </w:pPr>
    </w:p>
    <w:p>
      <w:pPr>
        <w:spacing w:line="600" w:lineRule="exact"/>
        <w:ind w:firstLine="562"/>
        <w:rPr>
          <w:rFonts w:ascii="Times New Roman" w:hAnsi="Times New Roman" w:cs="Times New Roman"/>
          <w:b/>
          <w:sz w:val="28"/>
          <w:szCs w:val="28"/>
        </w:rPr>
        <w:sectPr>
          <w:headerReference w:type="default" r:id="rId13"/>
          <w:footerReference w:type="default" r:id="rId14"/>
          <w:pgSz w:w="11907" w:h="16840"/>
          <w:pgMar w:top="1418" w:right="1669" w:bottom="1418" w:left="1418"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p>
      <w:pPr>
        <w:spacing w:line="240" w:lineRule="auto"/>
        <w:ind w:firstLine="0" w:firstLineChars="0"/>
        <w:rPr>
          <w:rFonts w:ascii="Times New Roman" w:hAnsi="Times New Roman" w:cs="Times New Roman"/>
          <w:b/>
          <w:sz w:val="28"/>
          <w:szCs w:val="28"/>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column">
                  <wp:posOffset>-294640</wp:posOffset>
                </wp:positionH>
                <wp:positionV relativeFrom="paragraph">
                  <wp:posOffset>0</wp:posOffset>
                </wp:positionV>
                <wp:extent cx="1610995" cy="321945"/>
                <wp:effectExtent l="0" t="0" r="8255" b="1905"/>
                <wp:wrapSquare wrapText="bothSides"/>
                <wp:docPr id="75" name="文本框 5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610995" cy="321945"/>
                        </a:xfrm>
                        <a:prstGeom prst="rect">
                          <a:avLst/>
                        </a:prstGeom>
                        <a:solidFill>
                          <a:srgbClr val="FFFFFF"/>
                        </a:solidFill>
                        <a:ln>
                          <a:noFill/>
                        </a:ln>
                      </wps:spPr>
                      <wps:txbx>
                        <w:txbxContent>
                          <w:p>
                            <w:pPr>
                              <w:spacing w:line="240" w:lineRule="auto"/>
                              <w:ind w:firstLine="0" w:firstLineChars="0"/>
                              <w:rPr>
                                <w:b/>
                                <w:sz w:val="28"/>
                                <w:szCs w:val="28"/>
                              </w:rPr>
                            </w:pPr>
                            <w:r>
                              <w:rPr>
                                <w:b/>
                                <w:sz w:val="28"/>
                                <w:szCs w:val="28"/>
                              </w:rPr>
                              <w:t>建设项目基本情况</w:t>
                            </w:r>
                          </w:p>
                        </w:txbxContent>
                      </wps:txbx>
                      <wps:bodyPr wrap="none" upright="1">
                        <a:spAutoFit/>
                      </wps:bodyPr>
                    </wps:wsp>
                  </a:graphicData>
                </a:graphic>
              </wp:anchor>
            </w:drawing>
          </mc:Choice>
          <mc:Fallback>
            <w:pict>
              <v:shapetype id="_x0000_t202" coordsize="21600,21600" o:spt="202" path="m,l,21600r21600,l21600,xe">
                <v:stroke joinstyle="miter"/>
                <v:path gradientshapeok="t" o:connecttype="rect"/>
              </v:shapetype>
              <v:shape id="文本框 598" o:spid="_x0000_s1026" type="#_x0000_t202" style="width:126.85pt;height:25.35pt;margin-top:0;margin-left:-23.2pt;mso-wrap-distance-bottom:0;mso-wrap-distance-left:9pt;mso-wrap-distance-right:9pt;mso-wrap-distance-top:0;mso-wrap-style:none;position:absolute;v-text-anchor:top;z-index:251658240" fillcolor="white" stroked="f">
                <v:textbox style="mso-fit-shape-to-text:t">
                  <w:txbxContent>
                    <w:p>
                      <w:pPr>
                        <w:spacing w:line="240" w:lineRule="auto"/>
                        <w:ind w:firstLine="0" w:firstLineChars="0"/>
                        <w:rPr>
                          <w:b/>
                          <w:sz w:val="28"/>
                          <w:szCs w:val="28"/>
                        </w:rPr>
                      </w:pPr>
                      <w:r>
                        <w:rPr>
                          <w:b/>
                          <w:sz w:val="28"/>
                          <w:szCs w:val="28"/>
                        </w:rPr>
                        <w:t>建设项目基本情况</w:t>
                      </w:r>
                    </w:p>
                  </w:txbxContent>
                </v:textbox>
                <w10:wrap type="square"/>
              </v:shape>
            </w:pict>
          </mc:Fallback>
        </mc:AlternateConten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1"/>
        <w:gridCol w:w="550"/>
        <w:gridCol w:w="1701"/>
        <w:gridCol w:w="1773"/>
        <w:gridCol w:w="1382"/>
        <w:gridCol w:w="1522"/>
        <w:gridCol w:w="193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59"/>
          <w:jc w:val="center"/>
        </w:trPr>
        <w:tc>
          <w:tcPr>
            <w:tcW w:w="1181" w:type="dxa"/>
            <w:noWrap w:val="0"/>
            <w:vAlign w:val="center"/>
          </w:tcPr>
          <w:p>
            <w:pPr>
              <w:pStyle w:val="Date"/>
              <w:snapToGrid/>
              <w:spacing w:line="240" w:lineRule="auto"/>
              <w:ind w:firstLine="0" w:firstLineChars="0"/>
              <w:rPr>
                <w:rFonts w:ascii="Times New Roman" w:hAnsi="Times New Roman" w:cs="Times New Roman"/>
                <w:bCs/>
                <w:szCs w:val="24"/>
              </w:rPr>
            </w:pPr>
            <w:r>
              <w:rPr>
                <w:rFonts w:ascii="Times New Roman" w:hAnsi="Times New Roman" w:cs="Times New Roman"/>
                <w:bCs/>
                <w:szCs w:val="24"/>
              </w:rPr>
              <w:t>项目名称</w:t>
            </w:r>
          </w:p>
        </w:tc>
        <w:tc>
          <w:tcPr>
            <w:tcW w:w="8865" w:type="dxa"/>
            <w:gridSpan w:val="6"/>
            <w:noWrap w:val="0"/>
            <w:vAlign w:val="center"/>
          </w:tcPr>
          <w:p>
            <w:pPr>
              <w:snapToGrid/>
              <w:spacing w:line="240" w:lineRule="auto"/>
              <w:ind w:firstLine="0" w:firstLineChars="0"/>
              <w:jc w:val="center"/>
              <w:rPr>
                <w:rFonts w:ascii="Times New Roman" w:hAnsi="Times New Roman" w:cs="Times New Roman"/>
                <w:kern w:val="0"/>
              </w:rPr>
            </w:pPr>
            <w:r>
              <w:rPr>
                <w:rFonts w:ascii="Times New Roman" w:hAnsi="Times New Roman" w:cs="Times New Roman"/>
              </w:rPr>
              <w:t>三亚市育春路西侧市政道路A段工程</w:t>
            </w:r>
          </w:p>
        </w:tc>
      </w:tr>
      <w:tr>
        <w:tblPrEx>
          <w:tblW w:w="0" w:type="auto"/>
          <w:jc w:val="center"/>
          <w:tblLayout w:type="fixed"/>
          <w:tblCellMar>
            <w:top w:w="0" w:type="dxa"/>
            <w:left w:w="108" w:type="dxa"/>
            <w:bottom w:w="0" w:type="dxa"/>
            <w:right w:w="108" w:type="dxa"/>
          </w:tblCellMar>
        </w:tblPrEx>
        <w:trPr>
          <w:trHeight w:val="421"/>
          <w:jc w:val="center"/>
        </w:trPr>
        <w:tc>
          <w:tcPr>
            <w:tcW w:w="1181"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建设单位</w:t>
            </w:r>
          </w:p>
        </w:tc>
        <w:tc>
          <w:tcPr>
            <w:tcW w:w="8865" w:type="dxa"/>
            <w:gridSpan w:val="6"/>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三亚市市政维护应急中心</w:t>
            </w:r>
          </w:p>
        </w:tc>
      </w:tr>
      <w:tr>
        <w:tblPrEx>
          <w:tblW w:w="0" w:type="auto"/>
          <w:jc w:val="center"/>
          <w:tblLayout w:type="fixed"/>
          <w:tblCellMar>
            <w:top w:w="0" w:type="dxa"/>
            <w:left w:w="108" w:type="dxa"/>
            <w:bottom w:w="0" w:type="dxa"/>
            <w:right w:w="108" w:type="dxa"/>
          </w:tblCellMar>
        </w:tblPrEx>
        <w:trPr>
          <w:trHeight w:val="421"/>
          <w:jc w:val="center"/>
        </w:trPr>
        <w:tc>
          <w:tcPr>
            <w:tcW w:w="1181"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法人代表</w:t>
            </w:r>
          </w:p>
        </w:tc>
        <w:tc>
          <w:tcPr>
            <w:tcW w:w="4024" w:type="dxa"/>
            <w:gridSpan w:val="3"/>
            <w:noWrap w:val="0"/>
            <w:vAlign w:val="center"/>
          </w:tcPr>
          <w:p>
            <w:pPr>
              <w:snapToGrid/>
              <w:spacing w:line="240" w:lineRule="auto"/>
              <w:ind w:firstLine="0" w:firstLineChars="0"/>
              <w:jc w:val="center"/>
              <w:rPr>
                <w:rFonts w:ascii="Times New Roman" w:hAnsi="Times New Roman" w:cs="Times New Roman"/>
              </w:rPr>
            </w:pPr>
          </w:p>
        </w:tc>
        <w:tc>
          <w:tcPr>
            <w:tcW w:w="2904" w:type="dxa"/>
            <w:gridSpan w:val="2"/>
            <w:noWrap w:val="0"/>
            <w:vAlign w:val="center"/>
          </w:tcPr>
          <w:p>
            <w:pPr>
              <w:snapToGrid/>
              <w:spacing w:line="240" w:lineRule="auto"/>
              <w:ind w:firstLine="0" w:firstLineChars="0"/>
              <w:jc w:val="center"/>
              <w:rPr>
                <w:rFonts w:ascii="Times New Roman" w:hAnsi="Times New Roman" w:cs="Times New Roman"/>
              </w:rPr>
            </w:pPr>
          </w:p>
        </w:tc>
        <w:tc>
          <w:tcPr>
            <w:tcW w:w="1937" w:type="dxa"/>
            <w:noWrap w:val="0"/>
            <w:vAlign w:val="center"/>
          </w:tcPr>
          <w:p>
            <w:pPr>
              <w:snapToGrid/>
              <w:spacing w:line="240" w:lineRule="auto"/>
              <w:ind w:firstLine="0" w:firstLineChars="0"/>
              <w:jc w:val="center"/>
              <w:rPr>
                <w:rFonts w:ascii="Times New Roman" w:hAnsi="Times New Roman" w:cs="Times New Roman"/>
              </w:rPr>
            </w:pPr>
          </w:p>
        </w:tc>
      </w:tr>
      <w:tr>
        <w:tblPrEx>
          <w:tblW w:w="0" w:type="auto"/>
          <w:jc w:val="center"/>
          <w:tblLayout w:type="fixed"/>
          <w:tblCellMar>
            <w:top w:w="0" w:type="dxa"/>
            <w:left w:w="108" w:type="dxa"/>
            <w:bottom w:w="0" w:type="dxa"/>
            <w:right w:w="108" w:type="dxa"/>
          </w:tblCellMar>
        </w:tblPrEx>
        <w:trPr>
          <w:trHeight w:val="376"/>
          <w:jc w:val="center"/>
        </w:trPr>
        <w:tc>
          <w:tcPr>
            <w:tcW w:w="1181"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通讯地址</w:t>
            </w:r>
          </w:p>
        </w:tc>
        <w:tc>
          <w:tcPr>
            <w:tcW w:w="8865" w:type="dxa"/>
            <w:gridSpan w:val="6"/>
            <w:noWrap w:val="0"/>
            <w:vAlign w:val="center"/>
          </w:tcPr>
          <w:p>
            <w:pPr>
              <w:snapToGrid/>
              <w:spacing w:line="240" w:lineRule="auto"/>
              <w:ind w:firstLine="0" w:firstLineChars="0"/>
              <w:jc w:val="center"/>
              <w:rPr>
                <w:rFonts w:ascii="Times New Roman" w:hAnsi="Times New Roman" w:cs="Times New Roman"/>
              </w:rPr>
            </w:pPr>
            <w:r>
              <w:rPr>
                <w:rFonts w:hint="eastAsia"/>
                <w:color w:val="000000"/>
                <w:sz w:val="24"/>
              </w:rPr>
              <w:t>三亚市吉阳区凤凰路岭北新村市政维护应急中心</w:t>
            </w:r>
          </w:p>
        </w:tc>
      </w:tr>
      <w:tr>
        <w:tblPrEx>
          <w:tblW w:w="0" w:type="auto"/>
          <w:jc w:val="center"/>
          <w:tblLayout w:type="fixed"/>
          <w:tblCellMar>
            <w:top w:w="0" w:type="dxa"/>
            <w:left w:w="108" w:type="dxa"/>
            <w:bottom w:w="0" w:type="dxa"/>
            <w:right w:w="108" w:type="dxa"/>
          </w:tblCellMar>
        </w:tblPrEx>
        <w:trPr>
          <w:trHeight w:val="454"/>
          <w:jc w:val="center"/>
        </w:trPr>
        <w:tc>
          <w:tcPr>
            <w:tcW w:w="1181"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联系电话</w:t>
            </w:r>
          </w:p>
        </w:tc>
        <w:tc>
          <w:tcPr>
            <w:tcW w:w="2251"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1</w:t>
            </w:r>
            <w:bookmarkStart w:id="0" w:name="_GoBack"/>
            <w:bookmarkEnd w:id="0"/>
          </w:p>
        </w:tc>
        <w:tc>
          <w:tcPr>
            <w:tcW w:w="1773"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b/>
                <w:bCs/>
              </w:rPr>
              <w:t>传  真</w:t>
            </w:r>
          </w:p>
        </w:tc>
        <w:tc>
          <w:tcPr>
            <w:tcW w:w="1382"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w:t>
            </w:r>
          </w:p>
        </w:tc>
        <w:tc>
          <w:tcPr>
            <w:tcW w:w="1522"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b/>
                <w:bCs/>
              </w:rPr>
              <w:t>邮政编码</w:t>
            </w:r>
          </w:p>
        </w:tc>
        <w:tc>
          <w:tcPr>
            <w:tcW w:w="1937"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572000</w:t>
            </w:r>
          </w:p>
        </w:tc>
      </w:tr>
      <w:tr>
        <w:tblPrEx>
          <w:tblW w:w="0" w:type="auto"/>
          <w:jc w:val="center"/>
          <w:tblLayout w:type="fixed"/>
          <w:tblCellMar>
            <w:top w:w="0" w:type="dxa"/>
            <w:left w:w="108" w:type="dxa"/>
            <w:bottom w:w="0" w:type="dxa"/>
            <w:right w:w="108" w:type="dxa"/>
          </w:tblCellMar>
        </w:tblPrEx>
        <w:trPr>
          <w:trHeight w:val="269"/>
          <w:jc w:val="center"/>
        </w:trPr>
        <w:tc>
          <w:tcPr>
            <w:tcW w:w="1181"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建设地点</w:t>
            </w:r>
          </w:p>
        </w:tc>
        <w:tc>
          <w:tcPr>
            <w:tcW w:w="8865" w:type="dxa"/>
            <w:gridSpan w:val="6"/>
            <w:noWrap w:val="0"/>
            <w:vAlign w:val="center"/>
          </w:tcPr>
          <w:p>
            <w:pPr>
              <w:snapToGrid/>
              <w:spacing w:line="240" w:lineRule="auto"/>
              <w:ind w:firstLine="0" w:firstLineChars="0"/>
              <w:rPr>
                <w:rFonts w:ascii="Times New Roman" w:hAnsi="Times New Roman" w:cs="Times New Roman"/>
              </w:rPr>
            </w:pPr>
            <w:r>
              <w:rPr>
                <w:rFonts w:ascii="Times New Roman" w:hAnsi="Times New Roman" w:cs="Times New Roman"/>
              </w:rPr>
              <w:t>三亚市育春路西侧，</w:t>
            </w:r>
            <w:r>
              <w:rPr>
                <w:rFonts w:ascii="Times New Roman" w:hAnsi="Times New Roman" w:cs="Times New Roman"/>
                <w:szCs w:val="24"/>
              </w:rPr>
              <w:t>起点于育春路相接，终点至向西接现状水泥路</w:t>
            </w:r>
          </w:p>
        </w:tc>
      </w:tr>
      <w:tr>
        <w:tblPrEx>
          <w:tblW w:w="0" w:type="auto"/>
          <w:jc w:val="center"/>
          <w:tblLayout w:type="fixed"/>
          <w:tblCellMar>
            <w:top w:w="0" w:type="dxa"/>
            <w:left w:w="108" w:type="dxa"/>
            <w:bottom w:w="0" w:type="dxa"/>
            <w:right w:w="108" w:type="dxa"/>
          </w:tblCellMar>
        </w:tblPrEx>
        <w:trPr>
          <w:trHeight w:val="482"/>
          <w:jc w:val="center"/>
        </w:trPr>
        <w:tc>
          <w:tcPr>
            <w:tcW w:w="1731" w:type="dxa"/>
            <w:gridSpan w:val="2"/>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立项审批部门</w:t>
            </w:r>
          </w:p>
        </w:tc>
        <w:tc>
          <w:tcPr>
            <w:tcW w:w="3474"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三亚市发展和改革委员会</w:t>
            </w:r>
          </w:p>
        </w:tc>
        <w:tc>
          <w:tcPr>
            <w:tcW w:w="1382"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批准文号</w:t>
            </w:r>
          </w:p>
        </w:tc>
        <w:tc>
          <w:tcPr>
            <w:tcW w:w="3459"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三发改投[2018]454号</w:t>
            </w:r>
          </w:p>
        </w:tc>
      </w:tr>
      <w:tr>
        <w:tblPrEx>
          <w:tblW w:w="0" w:type="auto"/>
          <w:jc w:val="center"/>
          <w:tblLayout w:type="fixed"/>
          <w:tblCellMar>
            <w:top w:w="0" w:type="dxa"/>
            <w:left w:w="108" w:type="dxa"/>
            <w:bottom w:w="0" w:type="dxa"/>
            <w:right w:w="108" w:type="dxa"/>
          </w:tblCellMar>
        </w:tblPrEx>
        <w:trPr>
          <w:trHeight w:val="297"/>
          <w:jc w:val="center"/>
        </w:trPr>
        <w:tc>
          <w:tcPr>
            <w:tcW w:w="1731" w:type="dxa"/>
            <w:gridSpan w:val="2"/>
            <w:noWrap w:val="0"/>
            <w:vAlign w:val="center"/>
          </w:tcPr>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建设性质</w:t>
            </w:r>
          </w:p>
        </w:tc>
        <w:tc>
          <w:tcPr>
            <w:tcW w:w="3474"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新建</w:t>
            </w:r>
          </w:p>
        </w:tc>
        <w:tc>
          <w:tcPr>
            <w:tcW w:w="1382" w:type="dxa"/>
            <w:noWrap w:val="0"/>
            <w:vAlign w:val="center"/>
          </w:tcPr>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行业类别</w:t>
            </w:r>
          </w:p>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及代码</w:t>
            </w:r>
          </w:p>
        </w:tc>
        <w:tc>
          <w:tcPr>
            <w:tcW w:w="3459"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szCs w:val="24"/>
              </w:rPr>
              <w:t>E4813市政道路工程建筑</w:t>
            </w:r>
          </w:p>
        </w:tc>
      </w:tr>
      <w:tr>
        <w:tblPrEx>
          <w:tblW w:w="0" w:type="auto"/>
          <w:jc w:val="center"/>
          <w:tblLayout w:type="fixed"/>
          <w:tblCellMar>
            <w:top w:w="0" w:type="dxa"/>
            <w:left w:w="108" w:type="dxa"/>
            <w:bottom w:w="0" w:type="dxa"/>
            <w:right w:w="108" w:type="dxa"/>
          </w:tblCellMar>
        </w:tblPrEx>
        <w:trPr>
          <w:trHeight w:val="575"/>
          <w:jc w:val="center"/>
        </w:trPr>
        <w:tc>
          <w:tcPr>
            <w:tcW w:w="1731" w:type="dxa"/>
            <w:gridSpan w:val="2"/>
            <w:noWrap w:val="0"/>
            <w:vAlign w:val="center"/>
          </w:tcPr>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占地面积</w:t>
            </w:r>
          </w:p>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(平方米)</w:t>
            </w:r>
          </w:p>
        </w:tc>
        <w:tc>
          <w:tcPr>
            <w:tcW w:w="3474" w:type="dxa"/>
            <w:gridSpan w:val="2"/>
            <w:noWrap w:val="0"/>
            <w:vAlign w:val="center"/>
          </w:tcPr>
          <w:p>
            <w:pPr>
              <w:snapToGrid/>
              <w:spacing w:line="240" w:lineRule="auto"/>
              <w:ind w:firstLine="0" w:firstLineChars="0"/>
              <w:jc w:val="center"/>
              <w:rPr>
                <w:rFonts w:ascii="Times New Roman" w:hAnsi="Times New Roman" w:cs="Times New Roman" w:hint="default"/>
              </w:rPr>
            </w:pPr>
            <w:r>
              <w:rPr>
                <w:rFonts w:ascii="Times New Roman" w:hAnsi="Times New Roman" w:cs="Times New Roman" w:hint="eastAsia"/>
                <w:lang w:val="en-US" w:eastAsia="zh-CN"/>
              </w:rPr>
              <w:t>7196</w:t>
            </w:r>
          </w:p>
        </w:tc>
        <w:tc>
          <w:tcPr>
            <w:tcW w:w="1382" w:type="dxa"/>
            <w:noWrap w:val="0"/>
            <w:vAlign w:val="center"/>
          </w:tcPr>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绿化面积</w:t>
            </w:r>
          </w:p>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(平方米)</w:t>
            </w:r>
          </w:p>
        </w:tc>
        <w:tc>
          <w:tcPr>
            <w:tcW w:w="3459" w:type="dxa"/>
            <w:gridSpan w:val="2"/>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w:t>
            </w:r>
          </w:p>
        </w:tc>
      </w:tr>
      <w:tr>
        <w:tblPrEx>
          <w:tblW w:w="0" w:type="auto"/>
          <w:jc w:val="center"/>
          <w:tblLayout w:type="fixed"/>
          <w:tblCellMar>
            <w:top w:w="0" w:type="dxa"/>
            <w:left w:w="108" w:type="dxa"/>
            <w:bottom w:w="0" w:type="dxa"/>
            <w:right w:w="108" w:type="dxa"/>
          </w:tblCellMar>
        </w:tblPrEx>
        <w:trPr>
          <w:trHeight w:val="699"/>
          <w:jc w:val="center"/>
        </w:trPr>
        <w:tc>
          <w:tcPr>
            <w:tcW w:w="1731" w:type="dxa"/>
            <w:gridSpan w:val="2"/>
            <w:noWrap w:val="0"/>
            <w:vAlign w:val="center"/>
          </w:tcPr>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工程总投资</w:t>
            </w:r>
          </w:p>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(万元)</w:t>
            </w:r>
          </w:p>
        </w:tc>
        <w:tc>
          <w:tcPr>
            <w:tcW w:w="1701" w:type="dxa"/>
            <w:noWrap w:val="0"/>
            <w:vAlign w:val="center"/>
          </w:tcPr>
          <w:p>
            <w:pPr>
              <w:snapToGrid/>
              <w:spacing w:line="240" w:lineRule="auto"/>
              <w:ind w:firstLine="0" w:firstLineChars="0"/>
              <w:jc w:val="center"/>
              <w:rPr>
                <w:rFonts w:ascii="Times New Roman" w:hAnsi="Times New Roman" w:cs="Times New Roman" w:hint="default"/>
              </w:rPr>
            </w:pPr>
            <w:r>
              <w:rPr>
                <w:rFonts w:ascii="Times New Roman" w:hAnsi="Times New Roman" w:cs="Times New Roman" w:hint="eastAsia"/>
                <w:lang w:val="en-US" w:eastAsia="zh-CN"/>
              </w:rPr>
              <w:t>2842.94</w:t>
            </w:r>
          </w:p>
        </w:tc>
        <w:tc>
          <w:tcPr>
            <w:tcW w:w="1773" w:type="dxa"/>
            <w:noWrap w:val="0"/>
            <w:vAlign w:val="center"/>
          </w:tcPr>
          <w:p>
            <w:pPr>
              <w:snapToGrid/>
              <w:spacing w:line="240" w:lineRule="auto"/>
              <w:ind w:firstLine="0" w:firstLineChars="0"/>
              <w:rPr>
                <w:rFonts w:ascii="Times New Roman" w:hAnsi="Times New Roman" w:cs="Times New Roman"/>
                <w:b/>
                <w:bCs/>
              </w:rPr>
            </w:pPr>
            <w:r>
              <w:rPr>
                <w:rFonts w:ascii="Times New Roman" w:hAnsi="Times New Roman" w:cs="Times New Roman"/>
                <w:b/>
                <w:bCs/>
              </w:rPr>
              <w:t>其中:环保投资(万元)</w:t>
            </w:r>
          </w:p>
        </w:tc>
        <w:tc>
          <w:tcPr>
            <w:tcW w:w="1382" w:type="dxa"/>
            <w:noWrap w:val="0"/>
            <w:vAlign w:val="center"/>
          </w:tcPr>
          <w:p>
            <w:pPr>
              <w:snapToGrid/>
              <w:spacing w:line="240" w:lineRule="auto"/>
              <w:ind w:firstLine="0" w:firstLineChars="0"/>
              <w:jc w:val="center"/>
              <w:rPr>
                <w:rFonts w:ascii="Times New Roman" w:hAnsi="Times New Roman" w:cs="Times New Roman" w:hint="eastAsia"/>
              </w:rPr>
            </w:pPr>
            <w:r>
              <w:rPr>
                <w:rFonts w:ascii="Times New Roman" w:hAnsi="Times New Roman" w:cs="Times New Roman" w:hint="eastAsia"/>
              </w:rPr>
              <w:t>6</w:t>
            </w:r>
            <w:r>
              <w:rPr>
                <w:rFonts w:ascii="Times New Roman" w:hAnsi="Times New Roman" w:cs="Times New Roman" w:hint="eastAsia"/>
                <w:lang w:val="en-US" w:eastAsia="zh-CN"/>
              </w:rPr>
              <w:t>5</w:t>
            </w:r>
          </w:p>
        </w:tc>
        <w:tc>
          <w:tcPr>
            <w:tcW w:w="1522" w:type="dxa"/>
            <w:noWrap w:val="0"/>
            <w:vAlign w:val="center"/>
          </w:tcPr>
          <w:p>
            <w:pPr>
              <w:snapToGrid/>
              <w:spacing w:line="240" w:lineRule="auto"/>
              <w:ind w:firstLine="0" w:firstLineChars="0"/>
              <w:rPr>
                <w:rFonts w:ascii="Times New Roman" w:hAnsi="Times New Roman" w:cs="Times New Roman"/>
              </w:rPr>
            </w:pPr>
            <w:r>
              <w:rPr>
                <w:rFonts w:ascii="Times New Roman" w:hAnsi="Times New Roman" w:cs="Times New Roman"/>
                <w:b/>
                <w:bCs/>
              </w:rPr>
              <w:t>环保投资占总投资比例</w:t>
            </w:r>
          </w:p>
        </w:tc>
        <w:tc>
          <w:tcPr>
            <w:tcW w:w="1937"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2.</w:t>
            </w:r>
            <w:r>
              <w:rPr>
                <w:rFonts w:ascii="Times New Roman" w:hAnsi="Times New Roman" w:cs="Times New Roman" w:hint="eastAsia"/>
                <w:lang w:val="en-US" w:eastAsia="zh-CN"/>
              </w:rPr>
              <w:t>3</w:t>
            </w:r>
            <w:r>
              <w:rPr>
                <w:rFonts w:ascii="Times New Roman" w:hAnsi="Times New Roman" w:cs="Times New Roman"/>
              </w:rPr>
              <w:t>%</w:t>
            </w:r>
          </w:p>
        </w:tc>
      </w:tr>
      <w:tr>
        <w:tblPrEx>
          <w:tblW w:w="0" w:type="auto"/>
          <w:jc w:val="center"/>
          <w:tblLayout w:type="fixed"/>
          <w:tblCellMar>
            <w:top w:w="0" w:type="dxa"/>
            <w:left w:w="108" w:type="dxa"/>
            <w:bottom w:w="0" w:type="dxa"/>
            <w:right w:w="108" w:type="dxa"/>
          </w:tblCellMar>
        </w:tblPrEx>
        <w:trPr>
          <w:trHeight w:val="382"/>
          <w:jc w:val="center"/>
        </w:trPr>
        <w:tc>
          <w:tcPr>
            <w:tcW w:w="1731" w:type="dxa"/>
            <w:gridSpan w:val="2"/>
            <w:noWrap w:val="0"/>
            <w:vAlign w:val="center"/>
          </w:tcPr>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评价经费</w:t>
            </w:r>
          </w:p>
          <w:p>
            <w:pPr>
              <w:snapToGrid/>
              <w:spacing w:line="240" w:lineRule="auto"/>
              <w:ind w:firstLine="0" w:firstLineChars="0"/>
              <w:jc w:val="center"/>
              <w:rPr>
                <w:rFonts w:ascii="Times New Roman" w:hAnsi="Times New Roman" w:cs="Times New Roman"/>
                <w:b/>
                <w:bCs/>
                <w:szCs w:val="28"/>
              </w:rPr>
            </w:pPr>
            <w:r>
              <w:rPr>
                <w:rFonts w:ascii="Times New Roman" w:hAnsi="Times New Roman" w:cs="Times New Roman"/>
                <w:b/>
                <w:bCs/>
                <w:szCs w:val="28"/>
              </w:rPr>
              <w:t>(万元)</w:t>
            </w:r>
          </w:p>
        </w:tc>
        <w:tc>
          <w:tcPr>
            <w:tcW w:w="1701" w:type="dxa"/>
            <w:noWrap w:val="0"/>
            <w:vAlign w:val="center"/>
          </w:tcPr>
          <w:p>
            <w:pPr>
              <w:snapToGrid/>
              <w:spacing w:line="240" w:lineRule="auto"/>
              <w:ind w:firstLine="0" w:firstLineChars="0"/>
              <w:jc w:val="center"/>
              <w:rPr>
                <w:rFonts w:ascii="Times New Roman" w:hAnsi="Times New Roman" w:cs="Times New Roman"/>
              </w:rPr>
            </w:pPr>
            <w:r>
              <w:rPr>
                <w:rFonts w:ascii="Times New Roman" w:hAnsi="Times New Roman" w:cs="Times New Roman"/>
              </w:rPr>
              <w:t>/</w:t>
            </w:r>
          </w:p>
        </w:tc>
        <w:tc>
          <w:tcPr>
            <w:tcW w:w="1773" w:type="dxa"/>
            <w:noWrap w:val="0"/>
            <w:vAlign w:val="center"/>
          </w:tcPr>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预期投产日期</w:t>
            </w:r>
          </w:p>
        </w:tc>
        <w:tc>
          <w:tcPr>
            <w:tcW w:w="4841" w:type="dxa"/>
            <w:gridSpan w:val="3"/>
            <w:noWrap w:val="0"/>
            <w:vAlign w:val="center"/>
          </w:tcPr>
          <w:p>
            <w:pPr>
              <w:snapToGrid/>
              <w:spacing w:line="240" w:lineRule="auto"/>
              <w:ind w:firstLine="0" w:firstLineChars="0"/>
              <w:jc w:val="center"/>
              <w:rPr>
                <w:rFonts w:ascii="Times New Roman" w:hAnsi="Times New Roman" w:cs="Times New Roman" w:hint="default"/>
              </w:rPr>
            </w:pPr>
            <w:r>
              <w:rPr>
                <w:rFonts w:ascii="Times New Roman" w:hAnsi="Times New Roman" w:cs="Times New Roman"/>
              </w:rPr>
              <w:t>2021年</w:t>
            </w:r>
            <w:r>
              <w:rPr>
                <w:rFonts w:ascii="Times New Roman" w:hAnsi="Times New Roman" w:cs="Times New Roman" w:hint="eastAsia"/>
                <w:lang w:val="en-US" w:eastAsia="zh-CN"/>
              </w:rPr>
              <w:t>5月</w:t>
            </w:r>
          </w:p>
        </w:tc>
      </w:tr>
    </w:tbl>
    <w:p>
      <w:pPr>
        <w:ind w:firstLine="562"/>
        <w:rPr>
          <w:rFonts w:ascii="Times New Roman" w:hAnsi="Times New Roman" w:cs="Times New Roman"/>
          <w:b/>
          <w:sz w:val="28"/>
          <w:szCs w:val="28"/>
        </w:rPr>
        <w:sectPr>
          <w:headerReference w:type="default" r:id="rId15"/>
          <w:footerReference w:type="default" r:id="rId16"/>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p>
            <w:pPr>
              <w:adjustRightInd w:val="0"/>
              <w:ind w:firstLine="562"/>
              <w:rPr>
                <w:rFonts w:ascii="Times New Roman" w:hAnsi="Times New Roman" w:cs="Times New Roman"/>
                <w:b/>
                <w:sz w:val="28"/>
                <w:szCs w:val="28"/>
              </w:rPr>
            </w:pPr>
            <w:r>
              <w:rPr>
                <w:rFonts w:ascii="Times New Roman" w:hAnsi="Times New Roman" w:cs="Times New Roman"/>
                <w:b/>
                <w:sz w:val="28"/>
                <w:szCs w:val="28"/>
              </w:rPr>
              <w:t>工程内容及规模：</w:t>
            </w:r>
          </w:p>
          <w:p>
            <w:pPr>
              <w:adjustRightInd w:val="0"/>
              <w:ind w:firstLine="482"/>
              <w:rPr>
                <w:rFonts w:ascii="Times New Roman" w:hAnsi="Times New Roman" w:cs="Times New Roman"/>
                <w:b/>
                <w:bCs/>
              </w:rPr>
            </w:pPr>
            <w:r>
              <w:rPr>
                <w:rFonts w:ascii="Times New Roman" w:hAnsi="Times New Roman" w:cs="Times New Roman"/>
                <w:b/>
                <w:bCs/>
              </w:rPr>
              <w:t>一、项目背景</w:t>
            </w:r>
          </w:p>
          <w:p>
            <w:pPr>
              <w:adjustRightInd w:val="0"/>
              <w:ind w:firstLine="480"/>
              <w:rPr>
                <w:rFonts w:ascii="Times New Roman" w:hAnsi="Times New Roman" w:cs="Times New Roman" w:hint="default"/>
                <w:color w:val="000000"/>
                <w:szCs w:val="24"/>
              </w:rPr>
            </w:pPr>
            <w:r>
              <w:rPr>
                <w:rFonts w:ascii="Times New Roman" w:hAnsi="Times New Roman" w:cs="Times New Roman"/>
              </w:rPr>
              <w:t>三亚市育春路西侧市政道路A段工程，位于三亚市育春路西侧，起点</w:t>
            </w:r>
            <w:r>
              <w:rPr>
                <w:rFonts w:ascii="Times New Roman" w:hAnsi="Times New Roman" w:cs="Times New Roman" w:hint="eastAsia"/>
                <w:lang w:val="en-US" w:eastAsia="zh-CN"/>
              </w:rPr>
              <w:t>与</w:t>
            </w:r>
            <w:r>
              <w:rPr>
                <w:rFonts w:ascii="Times New Roman" w:hAnsi="Times New Roman" w:cs="Times New Roman"/>
              </w:rPr>
              <w:t>育春路相接，终点向西接现状水泥路。</w:t>
            </w:r>
            <w:r>
              <w:rPr>
                <w:rFonts w:ascii="Times New Roman" w:hAnsi="Times New Roman" w:cs="Times New Roman" w:hint="eastAsia"/>
                <w:lang w:val="en-US" w:eastAsia="zh-CN"/>
              </w:rPr>
              <w:t>因</w:t>
            </w:r>
            <w:r>
              <w:rPr>
                <w:rFonts w:ascii="Times New Roman" w:hAnsi="Times New Roman" w:cs="Times New Roman"/>
              </w:rPr>
              <w:t>现状道路路网不完善，现状道路条件已不适应三亚市的交通需求，严重制约了当地居民的出行</w:t>
            </w:r>
            <w:r>
              <w:rPr>
                <w:rFonts w:ascii="Times New Roman" w:hAnsi="Times New Roman" w:cs="Times New Roman" w:hint="eastAsia"/>
                <w:lang w:eastAsia="zh-CN"/>
              </w:rPr>
              <w:t>，</w:t>
            </w:r>
            <w:r>
              <w:rPr>
                <w:rFonts w:ascii="Times New Roman" w:hAnsi="Times New Roman" w:cs="Times New Roman"/>
              </w:rPr>
              <w:t>为</w:t>
            </w:r>
            <w:r>
              <w:rPr>
                <w:rFonts w:ascii="Times New Roman" w:hAnsi="Times New Roman" w:cs="Times New Roman" w:hint="eastAsia"/>
                <w:lang w:val="en-US" w:eastAsia="zh-CN"/>
              </w:rPr>
              <w:t>了</w:t>
            </w:r>
            <w:r>
              <w:rPr>
                <w:rFonts w:ascii="Times New Roman" w:hAnsi="Times New Roman" w:cs="Times New Roman"/>
              </w:rPr>
              <w:t>缓解该区域的交通压力，改变市民的生活环境和城市面貌，解决附近地块缺乏市政基础设施的问题，吸引更多的外商投资，助推三亚“双城”、“双修”的建设，加快城镇的社会经济发展步伐</w:t>
            </w:r>
            <w:r>
              <w:rPr>
                <w:rFonts w:ascii="Times New Roman" w:hAnsi="Times New Roman" w:cs="Times New Roman" w:hint="eastAsia"/>
                <w:lang w:eastAsia="zh-CN"/>
              </w:rPr>
              <w:t>，</w:t>
            </w:r>
            <w:r>
              <w:rPr>
                <w:rFonts w:ascii="Times New Roman" w:hAnsi="Times New Roman" w:cs="Times New Roman" w:hint="eastAsia"/>
                <w:lang w:val="en-US" w:eastAsia="zh-CN"/>
              </w:rPr>
              <w:t>建设单位提出了《</w:t>
            </w:r>
            <w:r>
              <w:rPr>
                <w:rFonts w:ascii="Times New Roman" w:hAnsi="Times New Roman" w:cs="Times New Roman"/>
              </w:rPr>
              <w:t>三亚市育春路西侧市政道路A段工程</w:t>
            </w:r>
            <w:r>
              <w:rPr>
                <w:rFonts w:ascii="Times New Roman" w:hAnsi="Times New Roman" w:cs="Times New Roman" w:hint="eastAsia"/>
                <w:lang w:val="en-US" w:eastAsia="zh-CN"/>
              </w:rPr>
              <w:t>》的建设方案。</w:t>
            </w:r>
          </w:p>
          <w:p>
            <w:pPr>
              <w:pStyle w:val="CommentText"/>
              <w:adjustRightInd w:val="0"/>
              <w:ind w:firstLine="480"/>
              <w:rPr>
                <w:rFonts w:ascii="Times New Roman" w:hAnsi="Times New Roman" w:cs="Times New Roman"/>
              </w:rPr>
            </w:pPr>
            <w:r>
              <w:rPr>
                <w:rFonts w:ascii="Times New Roman" w:hAnsi="Times New Roman" w:cs="Times New Roman"/>
              </w:rPr>
              <w:t>根据《中华人民共和国环境影响评价法》、《建设项目环境保护管理条例》的有关法律法规的规定，该项目应进行环境影响评价。依据《建设项目环境影响评价分类管理名录》（生态环境保护部令第</w:t>
            </w:r>
            <w:r>
              <w:rPr>
                <w:rFonts w:ascii="Times New Roman" w:hAnsi="Times New Roman" w:cs="Times New Roman" w:hint="eastAsia"/>
              </w:rPr>
              <w:t>44</w:t>
            </w:r>
            <w:r>
              <w:rPr>
                <w:rFonts w:ascii="Times New Roman" w:hAnsi="Times New Roman" w:cs="Times New Roman"/>
              </w:rPr>
              <w:t>号）（2018年版），</w:t>
            </w:r>
            <w:r>
              <w:rPr>
                <w:rFonts w:ascii="Times New Roman" w:hAnsi="Times New Roman" w:cs="Times New Roman"/>
                <w:bCs/>
                <w:color w:val="000000"/>
                <w:szCs w:val="24"/>
              </w:rPr>
              <w:t>本项目属“四十九、交通运输业、管道运输业和仓储业”第172项“城市道路</w:t>
            </w:r>
            <w:r>
              <w:rPr>
                <w:rFonts w:ascii="Times New Roman" w:hAnsi="Times New Roman" w:cs="Times New Roman" w:hint="eastAsia"/>
                <w:bCs/>
                <w:color w:val="000000"/>
                <w:szCs w:val="24"/>
              </w:rPr>
              <w:t>（不含维护，不含支路）</w:t>
            </w:r>
            <w:r>
              <w:rPr>
                <w:rFonts w:ascii="Times New Roman" w:hAnsi="Times New Roman" w:cs="Times New Roman"/>
                <w:bCs/>
                <w:color w:val="000000"/>
                <w:szCs w:val="24"/>
              </w:rPr>
              <w:t>”中的“</w:t>
            </w:r>
            <w:r>
              <w:rPr>
                <w:rFonts w:ascii="Times New Roman" w:hAnsi="Times New Roman" w:cs="Times New Roman" w:hint="eastAsia"/>
                <w:bCs/>
                <w:color w:val="000000"/>
                <w:szCs w:val="24"/>
              </w:rPr>
              <w:t>新建快速路、干道</w:t>
            </w:r>
            <w:r>
              <w:rPr>
                <w:rFonts w:ascii="Times New Roman" w:hAnsi="Times New Roman" w:cs="Times New Roman"/>
                <w:bCs/>
                <w:color w:val="000000"/>
                <w:szCs w:val="24"/>
              </w:rPr>
              <w:t>”，应编制环境影响报告表。三亚市市政维护应急中心委托海南琼州环境评价有限公司承担该项目环境影响评价工作，编制人员在现场踏勘基础上，</w:t>
            </w:r>
            <w:r>
              <w:rPr>
                <w:rFonts w:ascii="Times New Roman" w:hAnsi="Times New Roman" w:cs="Times New Roman"/>
              </w:rPr>
              <w:t>根据相关技术规范编制完成《三亚市育春路西侧市政道路A段工程环境影响报告表》。</w:t>
            </w:r>
          </w:p>
          <w:p>
            <w:pPr>
              <w:pStyle w:val="Heading3"/>
              <w:adjustRightInd w:val="0"/>
              <w:ind w:firstLine="482"/>
              <w:rPr>
                <w:rFonts w:cs="Times New Roman"/>
              </w:rPr>
            </w:pPr>
            <w:r>
              <w:rPr>
                <w:rFonts w:cs="Times New Roman"/>
              </w:rPr>
              <w:t>二、项目工程内容及规模</w:t>
            </w:r>
          </w:p>
          <w:p>
            <w:pPr>
              <w:adjustRightInd w:val="0"/>
              <w:spacing w:after="0"/>
              <w:ind w:firstLine="480"/>
              <w:rPr>
                <w:rFonts w:ascii="Times New Roman" w:hAnsi="Times New Roman" w:cs="Times New Roman"/>
              </w:rPr>
            </w:pPr>
            <w:r>
              <w:rPr>
                <w:rFonts w:ascii="Times New Roman" w:hAnsi="Times New Roman" w:cs="Times New Roman"/>
              </w:rPr>
              <w:t>本项目新建道路设计起点接现状育春路，终点向西接现状水泥路。</w:t>
            </w:r>
            <w:r>
              <w:rPr>
                <w:rFonts w:ascii="Times New Roman" w:hAnsi="Times New Roman" w:cs="Times New Roman" w:hint="eastAsia"/>
                <w:lang w:val="en-US" w:eastAsia="zh-CN"/>
              </w:rPr>
              <w:t>新建</w:t>
            </w:r>
          </w:p>
        </w:tc>
      </w:tr>
    </w:tbl>
    <w:p>
      <w:pPr>
        <w:sectPr>
          <w:headerReference w:type="default" r:id="rId17"/>
          <w:footerReference w:type="default" r:id="rId18"/>
          <w:type w:val="continuous"/>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p>
            <w:pPr>
              <w:adjustRightInd w:val="0"/>
              <w:spacing w:before="0"/>
              <w:ind w:firstLine="480"/>
              <w:rPr>
                <w:rFonts w:ascii="Times New Roman" w:hAnsi="Times New Roman" w:cs="Times New Roman"/>
              </w:rPr>
            </w:pPr>
            <w:r>
              <w:rPr>
                <w:rFonts w:ascii="Times New Roman" w:hAnsi="Times New Roman" w:cs="Times New Roman"/>
              </w:rPr>
              <w:t>道路全长271.287m，道路红线宽度为</w:t>
            </w:r>
            <w:r>
              <w:rPr>
                <w:rFonts w:ascii="Times New Roman" w:hAnsi="Times New Roman" w:cs="Times New Roman"/>
              </w:rPr>
              <w:t xml:space="preserve"> 24-28m，其中K0+000-K0+100段，红线宽度为24m；K0+100-K0+271.287段，红线宽度为28m。道路等级为城市次干路，双向四车道，设计车速为40km/h，及配套照明工程、电力通信工程、道路绿化工程等；</w:t>
            </w:r>
          </w:p>
          <w:p>
            <w:pPr>
              <w:adjustRightInd w:val="0"/>
              <w:ind w:firstLine="480"/>
              <w:rPr>
                <w:rFonts w:ascii="Times New Roman" w:hAnsi="Times New Roman" w:cs="Times New Roman"/>
                <w:bCs/>
                <w:color w:val="000000"/>
                <w:szCs w:val="24"/>
              </w:rPr>
            </w:pPr>
            <w:r>
              <w:rPr>
                <w:rFonts w:ascii="Times New Roman" w:hAnsi="Times New Roman" w:cs="Times New Roman"/>
              </w:rPr>
              <w:t>改造工程在AK0+000-AK0+211.684段加铺沥青混凝土进行改造，改造路段</w:t>
            </w:r>
            <w:r>
              <w:rPr>
                <w:rFonts w:ascii="Times New Roman" w:hAnsi="Times New Roman" w:cs="Times New Roman"/>
                <w:bCs/>
                <w:color w:val="000000"/>
                <w:szCs w:val="24"/>
              </w:rPr>
              <w:t>全长为211.684m，路宽为23.5m；</w:t>
            </w:r>
          </w:p>
          <w:p>
            <w:pPr>
              <w:pStyle w:val="Default"/>
              <w:snapToGrid w:val="0"/>
              <w:spacing w:line="360" w:lineRule="auto"/>
              <w:ind w:firstLine="480" w:firstLineChars="200"/>
              <w:jc w:val="both"/>
              <w:rPr>
                <w:rFonts w:ascii="Times New Roman"/>
              </w:rPr>
            </w:pPr>
            <w:r>
              <w:rPr>
                <w:rFonts w:ascii="Times New Roman"/>
              </w:rPr>
              <w:t>本项目给水管道在项目K0+262-K0-016段南侧自西向东铺设，管径为DN200，埋深＜1.5米，接现状给水管网；雨水管道在项目K0+255-AK0+000段北侧自西向东铺设，管径为DN1200~DN1500，埋深</w:t>
            </w:r>
            <w:r>
              <w:rPr>
                <w:rFonts w:ascii="Times New Roman" w:hint="eastAsia"/>
                <w:lang w:val="en-US" w:eastAsia="zh-CN"/>
              </w:rPr>
              <w:t>＞</w:t>
            </w:r>
            <w:r>
              <w:rPr>
                <w:rFonts w:ascii="Times New Roman"/>
              </w:rPr>
              <w:t>1.5米</w:t>
            </w:r>
            <w:r>
              <w:rPr>
                <w:rFonts w:ascii="Times New Roman" w:hint="eastAsia"/>
                <w:lang w:val="en-US" w:eastAsia="zh-CN"/>
              </w:rPr>
              <w:t>＜</w:t>
            </w:r>
            <w:r>
              <w:rPr>
                <w:rFonts w:ascii="Times New Roman"/>
              </w:rPr>
              <w:t>4米，</w:t>
            </w:r>
            <w:r>
              <w:rPr>
                <w:rFonts w:ascii="Times New Roman" w:hint="eastAsia"/>
                <w:lang w:val="en-US" w:eastAsia="zh-CN"/>
              </w:rPr>
              <w:t>雨水经收集后</w:t>
            </w:r>
            <w:r>
              <w:rPr>
                <w:rFonts w:ascii="Times New Roman"/>
              </w:rPr>
              <w:t>排入三亚河；污水管道在项目南侧K0+255-K0+006段自西向东铺设，管径为DN400，埋深</w:t>
            </w:r>
            <w:r>
              <w:rPr>
                <w:rFonts w:ascii="Times New Roman" w:hint="eastAsia"/>
                <w:lang w:val="en-US" w:eastAsia="zh-CN"/>
              </w:rPr>
              <w:t>＞</w:t>
            </w:r>
            <w:r>
              <w:rPr>
                <w:rFonts w:ascii="Times New Roman"/>
              </w:rPr>
              <w:t>1.5米</w:t>
            </w:r>
            <w:r>
              <w:rPr>
                <w:rFonts w:ascii="Times New Roman" w:hint="eastAsia"/>
                <w:lang w:val="en-US" w:eastAsia="zh-CN"/>
              </w:rPr>
              <w:t>＜</w:t>
            </w:r>
            <w:r>
              <w:rPr>
                <w:rFonts w:ascii="Times New Roman"/>
              </w:rPr>
              <w:t>4米，接育春路现状污水管网。</w:t>
            </w:r>
          </w:p>
          <w:p>
            <w:pPr>
              <w:adjustRightInd w:val="0"/>
              <w:ind w:firstLine="480"/>
              <w:rPr>
                <w:rFonts w:ascii="Times New Roman" w:hAnsi="Times New Roman" w:cs="Times New Roman"/>
              </w:rPr>
            </w:pPr>
            <w:r>
              <w:rPr>
                <w:rFonts w:ascii="Times New Roman" w:hAnsi="Times New Roman" w:cs="Times New Roman"/>
                <w:bCs/>
                <w:color w:val="000000"/>
                <w:szCs w:val="24"/>
              </w:rPr>
              <w:t>本项目总投资为</w:t>
            </w:r>
            <w:r>
              <w:rPr>
                <w:rFonts w:ascii="Times New Roman" w:hAnsi="Times New Roman" w:cs="Times New Roman" w:hint="eastAsia"/>
                <w:bCs/>
                <w:color w:val="000000"/>
                <w:szCs w:val="24"/>
                <w:lang w:val="en-US" w:eastAsia="zh-CN"/>
              </w:rPr>
              <w:t>2842.94</w:t>
            </w:r>
            <w:r>
              <w:rPr>
                <w:rFonts w:ascii="Times New Roman" w:hAnsi="Times New Roman" w:cs="Times New Roman"/>
                <w:bCs/>
                <w:color w:val="000000"/>
                <w:szCs w:val="24"/>
              </w:rPr>
              <w:t>万元，环保投资为</w:t>
            </w:r>
            <w:r>
              <w:rPr>
                <w:rFonts w:ascii="Times New Roman" w:hAnsi="Times New Roman" w:cs="Times New Roman" w:hint="eastAsia"/>
                <w:bCs/>
                <w:color w:val="000000"/>
                <w:szCs w:val="24"/>
              </w:rPr>
              <w:t>6</w:t>
            </w:r>
            <w:r>
              <w:rPr>
                <w:rFonts w:ascii="Times New Roman" w:hAnsi="Times New Roman" w:cs="Times New Roman" w:hint="eastAsia"/>
                <w:bCs/>
                <w:color w:val="000000"/>
                <w:szCs w:val="24"/>
                <w:lang w:val="en-US" w:eastAsia="zh-CN"/>
              </w:rPr>
              <w:t>5</w:t>
            </w:r>
            <w:r>
              <w:rPr>
                <w:rFonts w:ascii="Times New Roman" w:hAnsi="Times New Roman" w:cs="Times New Roman"/>
                <w:bCs/>
                <w:color w:val="000000"/>
                <w:szCs w:val="24"/>
              </w:rPr>
              <w:t>万元，占总投资比例2.</w:t>
            </w:r>
            <w:r>
              <w:rPr>
                <w:rFonts w:ascii="Times New Roman" w:hAnsi="Times New Roman" w:cs="Times New Roman" w:hint="eastAsia"/>
                <w:bCs/>
                <w:color w:val="000000"/>
                <w:szCs w:val="24"/>
                <w:lang w:val="en-US" w:eastAsia="zh-CN"/>
              </w:rPr>
              <w:t>3</w:t>
            </w:r>
            <w:r>
              <w:rPr>
                <w:rFonts w:ascii="Times New Roman" w:hAnsi="Times New Roman" w:cs="Times New Roman"/>
                <w:bCs/>
                <w:color w:val="000000"/>
                <w:szCs w:val="24"/>
              </w:rPr>
              <w:t>%。</w:t>
            </w:r>
            <w:r>
              <w:rPr>
                <w:rFonts w:ascii="Times New Roman" w:hAnsi="Times New Roman" w:cs="Times New Roman"/>
              </w:rPr>
              <w:t>本项目总工程量见下表：</w:t>
            </w:r>
          </w:p>
          <w:p>
            <w:pPr>
              <w:pStyle w:val="1"/>
              <w:spacing w:line="240" w:lineRule="auto"/>
              <w:ind w:firstLine="0" w:firstLineChars="0"/>
              <w:rPr>
                <w:rFonts w:ascii="Times New Roman" w:hAnsi="Times New Roman" w:cs="Times New Roman"/>
              </w:rPr>
            </w:pPr>
            <w:r>
              <w:rPr>
                <w:rFonts w:ascii="Times New Roman" w:hAnsi="Times New Roman" w:cs="Times New Roman"/>
              </w:rPr>
              <w:t>表1  本项目总工程量</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87"/>
              <w:gridCol w:w="2842"/>
              <w:gridCol w:w="859"/>
              <w:gridCol w:w="1508"/>
              <w:gridCol w:w="307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42"/>
                <w:jc w:val="center"/>
              </w:trPr>
              <w:tc>
                <w:tcPr>
                  <w:tcW w:w="787" w:type="dxa"/>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序号</w:t>
                  </w:r>
                </w:p>
              </w:tc>
              <w:tc>
                <w:tcPr>
                  <w:tcW w:w="2842" w:type="dxa"/>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项目</w:t>
                  </w:r>
                </w:p>
              </w:tc>
              <w:tc>
                <w:tcPr>
                  <w:tcW w:w="859" w:type="dxa"/>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单位</w:t>
                  </w:r>
                </w:p>
              </w:tc>
              <w:tc>
                <w:tcPr>
                  <w:tcW w:w="1508" w:type="dxa"/>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数量</w:t>
                  </w:r>
                </w:p>
              </w:tc>
              <w:tc>
                <w:tcPr>
                  <w:tcW w:w="3075" w:type="dxa"/>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备注</w:t>
                  </w:r>
                </w:p>
              </w:tc>
            </w:tr>
            <w:tr>
              <w:tblPrEx>
                <w:tblW w:w="0" w:type="auto"/>
                <w:jc w:val="center"/>
                <w:tblLayout w:type="fixed"/>
                <w:tblCellMar>
                  <w:top w:w="0" w:type="dxa"/>
                  <w:left w:w="108" w:type="dxa"/>
                  <w:bottom w:w="0" w:type="dxa"/>
                  <w:right w:w="108" w:type="dxa"/>
                </w:tblCellMar>
              </w:tblPrEx>
              <w:trPr>
                <w:trHeight w:val="542"/>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b/>
                      <w:color w:val="000000"/>
                      <w:sz w:val="21"/>
                    </w:rPr>
                  </w:pPr>
                  <w:r>
                    <w:rPr>
                      <w:rFonts w:ascii="Times New Roman" w:hAnsi="Times New Roman" w:cs="Times New Roman"/>
                      <w:b/>
                      <w:color w:val="000000"/>
                      <w:sz w:val="21"/>
                    </w:rPr>
                    <w:t>道路工程</w:t>
                  </w: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b/>
                      <w:bCs/>
                      <w:color w:val="000000"/>
                      <w:sz w:val="21"/>
                    </w:rPr>
                    <w:t>（一）路基及防护工程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道路挖土方</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3</w:t>
                  </w:r>
                </w:p>
              </w:tc>
              <w:tc>
                <w:tcPr>
                  <w:tcW w:w="1508" w:type="dxa"/>
                  <w:noWrap w:val="0"/>
                  <w:vAlign w:val="center"/>
                </w:tcPr>
                <w:p>
                  <w:pPr>
                    <w:widowControl/>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2720.484</w:t>
                  </w:r>
                </w:p>
              </w:tc>
              <w:tc>
                <w:tcPr>
                  <w:tcW w:w="3075" w:type="dxa"/>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余土外弃（10公里）</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道路填土方</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3</w:t>
                  </w:r>
                </w:p>
              </w:tc>
              <w:tc>
                <w:tcPr>
                  <w:tcW w:w="1508" w:type="dxa"/>
                  <w:noWrap w:val="0"/>
                  <w:vAlign w:val="center"/>
                </w:tcPr>
                <w:p>
                  <w:pPr>
                    <w:widowControl/>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796.826</w:t>
                  </w:r>
                </w:p>
              </w:tc>
              <w:tc>
                <w:tcPr>
                  <w:tcW w:w="3075" w:type="dxa"/>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购土回填（10公里）</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清除表土30cm厚</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3</w:t>
                  </w:r>
                </w:p>
              </w:tc>
              <w:tc>
                <w:tcPr>
                  <w:tcW w:w="1508" w:type="dxa"/>
                  <w:noWrap w:val="0"/>
                  <w:vAlign w:val="center"/>
                </w:tcPr>
                <w:p>
                  <w:pPr>
                    <w:widowControl/>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1480.5</w:t>
                  </w:r>
                </w:p>
              </w:tc>
              <w:tc>
                <w:tcPr>
                  <w:tcW w:w="3075" w:type="dxa"/>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挖出外运（10公里）</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植草防护</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widowControl/>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573</w:t>
                  </w:r>
                </w:p>
              </w:tc>
              <w:tc>
                <w:tcPr>
                  <w:tcW w:w="3075" w:type="dxa"/>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widowControl/>
                    <w:snapToGrid/>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b/>
                      <w:bCs/>
                      <w:color w:val="000000"/>
                      <w:sz w:val="21"/>
                    </w:rPr>
                    <w:t>（二）机动车道工程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5cm厚细粒式沥青混凝土土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7128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5"/>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7cm厚中粒式沥青混凝土土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7128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5"/>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32cm水泥稳定碎石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7424</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5"/>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20cm级配碎石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7578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（三）非机动车道</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4cm AC-13C 沥青混凝土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1540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粘油层;</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1540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6cm厚AC-20C型中粒式沥青混凝土；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1540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乳化沥青透层；</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1540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20cm水泥稳定碎石；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1632</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6"/>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15cm级配碎石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1817</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（四）人行道</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7"/>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6cm厚水泥混凝土透水砖；</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1848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7"/>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3cm厚M10干硬性水泥砂浆；</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1848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7"/>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10cm厚透水水泥混凝土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1940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7"/>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15cm级配碎石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2125</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圆管涵工程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φ50cm钢筋混凝土圆管涵</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top"/>
                </w:tcPr>
                <w:p>
                  <w:pPr>
                    <w:snapToGrid/>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sz w:val="21"/>
                    </w:rPr>
                    <w:t>新建道路路面工程</w:t>
                  </w:r>
                </w:p>
              </w:tc>
            </w:tr>
          </w:tbl>
          <w:p/>
        </w:tc>
      </w:tr>
    </w:tbl>
    <w:p>
      <w:pPr>
        <w:sectPr>
          <w:headerReference w:type="default" r:id="rId19"/>
          <w:footerReference w:type="default" r:id="rId20"/>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87"/>
              <w:gridCol w:w="2842"/>
              <w:gridCol w:w="859"/>
              <w:gridCol w:w="1508"/>
              <w:gridCol w:w="307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071" w:type="dxa"/>
                  <w:gridSpan w:val="5"/>
                  <w:noWrap w:val="0"/>
                  <w:vAlign w:val="top"/>
                </w:tcPr>
                <w:p>
                  <w:pPr>
                    <w:snapToGrid/>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sz w:val="21"/>
                    </w:rPr>
                    <w:t>（一）新建沥青车行道</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5cm厚细粒式沥青砼（AC-13C）</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7893</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7cm厚中粒式沥青砼（AC-20C）</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7893</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32cm厚5%水泥稳定碎石</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8288</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20cm厚级配碎石</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8702</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粘层油</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7893</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8"/>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乳化沥青透层</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8288</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sz w:val="21"/>
                    </w:rPr>
                    <w:t>新建人行道</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9"/>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6cm厚透水砖</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2489</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9"/>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3cm厚干硬性水泥砂浆</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2489</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9"/>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15cm厚透水水泥混凝土</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2489</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top"/>
                </w:tcPr>
                <w:p>
                  <w:pPr>
                    <w:numPr>
                      <w:ilvl w:val="0"/>
                      <w:numId w:val="9"/>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10cm厚级配碎石</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2638</w:t>
                  </w:r>
                </w:p>
              </w:tc>
              <w:tc>
                <w:tcPr>
                  <w:tcW w:w="3075" w:type="dxa"/>
                  <w:noWrap w:val="0"/>
                  <w:vAlign w:val="top"/>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sz w:val="21"/>
                    </w:rPr>
                    <w:t>改造道路路面工程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0"/>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4cm厚细粒式沥青砼（AC-13C）</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2175</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0"/>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粘层油</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2175</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0"/>
                    </w:numPr>
                    <w:snapToGrid/>
                    <w:spacing w:line="240" w:lineRule="auto"/>
                    <w:ind w:firstLineChars="0"/>
                    <w:jc w:val="center"/>
                    <w:rPr>
                      <w:rFonts w:ascii="Times New Roman" w:hAnsi="Times New Roman" w:cs="Times New Roman"/>
                      <w:color w:val="000000"/>
                      <w:sz w:val="21"/>
                    </w:rPr>
                  </w:pPr>
                </w:p>
              </w:tc>
              <w:tc>
                <w:tcPr>
                  <w:tcW w:w="2842"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6cm厚中粒式沥青砼（AC-20C）</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m</w:t>
                  </w:r>
                  <w:r>
                    <w:rPr>
                      <w:rFonts w:ascii="Times New Roman" w:hAnsi="Times New Roman" w:cs="Times New Roman"/>
                      <w:sz w:val="21"/>
                      <w:vertAlign w:val="superscript"/>
                    </w:rPr>
                    <w:t>2</w:t>
                  </w:r>
                </w:p>
              </w:tc>
              <w:tc>
                <w:tcPr>
                  <w:tcW w:w="1508"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rPr>
                    <w:t>2175</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小型构件</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1"/>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树池</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560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1"/>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侧边石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616</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1"/>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路缘石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1848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1"/>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阻车石</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12</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道路绿化</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火焰木</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93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灌木</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r>
                    <w:rPr>
                      <w:rFonts w:ascii="Times New Roman" w:hAnsi="Times New Roman" w:cs="Times New Roman"/>
                      <w:color w:val="000000"/>
                      <w:sz w:val="21"/>
                      <w:vertAlign w:val="superscript"/>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718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rPr>
                    <w:t>交通工程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交通标线</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302</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F型标志牌</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4</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小型标志牌（一杆双牌）</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小型标志牌（一杆单牌）</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4</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路名牌</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T型交通信号灯</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套</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2"/>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隔离栏杆</w:t>
                  </w:r>
                </w:p>
              </w:tc>
              <w:tc>
                <w:tcPr>
                  <w:tcW w:w="859" w:type="dxa"/>
                  <w:noWrap w:val="0"/>
                  <w:vAlign w:val="top"/>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264</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给排水工程</w:t>
                  </w: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（一）给水工程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聚乙烯（PE）给水管DN200</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290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埋深2m，含挖方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聚乙烯（PE）给水管DN200</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149.6</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埋深2m，含挖方</w:t>
                  </w: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color w:val="000000"/>
                      <w:sz w:val="21"/>
                      <w:lang w:val="zh-CN"/>
                    </w:rPr>
                    <w:t>（</w:t>
                  </w:r>
                  <w:r>
                    <w:rPr>
                      <w:rFonts w:ascii="Times New Roman" w:hAnsi="Times New Roman" w:cs="Times New Roman"/>
                      <w:b/>
                      <w:color w:val="000000"/>
                      <w:sz w:val="21"/>
                    </w:rPr>
                    <w:t>二</w:t>
                  </w:r>
                  <w:r>
                    <w:rPr>
                      <w:rFonts w:ascii="Times New Roman" w:hAnsi="Times New Roman" w:cs="Times New Roman"/>
                      <w:b/>
                      <w:color w:val="000000"/>
                      <w:sz w:val="21"/>
                      <w:lang w:val="zh-CN"/>
                    </w:rPr>
                    <w:t>）雨水工程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DN1200 Ⅱ钢筋混凝土管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290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埋深3.5m，含挖方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DN1500 Ⅱ钢筋混凝土管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471</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埋深3.5m，含挖方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DN500Ⅱ级钢筋砼管铺设</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259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埋深3m，含挖方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DN300Ⅱ级钢筋砼管铺设</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249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埋深1.5m，砼满包</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DN1500排出口</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1</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单箅偏沟雨水口</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33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6m槽钢桩支护</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2039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3"/>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破除及恢复现状水泥路面</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r>
                    <w:rPr>
                      <w:rFonts w:ascii="Times New Roman" w:hAnsi="Times New Roman" w:cs="Times New Roman"/>
                      <w:color w:val="000000"/>
                      <w:sz w:val="21"/>
                      <w:vertAlign w:val="superscript"/>
                      <w:lang w:val="zh-CN"/>
                    </w:rPr>
                    <w:t>2</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1649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22cm+20cm+18cm</w:t>
                  </w:r>
                </w:p>
              </w:tc>
            </w:tr>
          </w:tbl>
          <w:p/>
        </w:tc>
      </w:tr>
    </w:tbl>
    <w:p>
      <w:pPr>
        <w:sectPr>
          <w:headerReference w:type="default" r:id="rId21"/>
          <w:footerReference w:type="default" r:id="rId22"/>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87"/>
              <w:gridCol w:w="2842"/>
              <w:gridCol w:w="859"/>
              <w:gridCol w:w="1508"/>
              <w:gridCol w:w="307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bCs/>
                      <w:color w:val="000000"/>
                      <w:sz w:val="21"/>
                      <w:lang w:val="zh-CN"/>
                    </w:rPr>
                    <w:t>（</w:t>
                  </w:r>
                  <w:r>
                    <w:rPr>
                      <w:rFonts w:ascii="Times New Roman" w:hAnsi="Times New Roman" w:cs="Times New Roman"/>
                      <w:b/>
                      <w:bCs/>
                      <w:color w:val="000000"/>
                      <w:sz w:val="21"/>
                    </w:rPr>
                    <w:t>三</w:t>
                  </w:r>
                  <w:r>
                    <w:rPr>
                      <w:rFonts w:ascii="Times New Roman" w:hAnsi="Times New Roman" w:cs="Times New Roman"/>
                      <w:b/>
                      <w:bCs/>
                      <w:color w:val="000000"/>
                      <w:sz w:val="21"/>
                      <w:lang w:val="zh-CN"/>
                    </w:rPr>
                    <w:t>）污水工程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D300 HDPE增强中空壁缠绕管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99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埋深4m，含挖方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D400 HDPE增强中空壁缠绕管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290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埋深4m，含挖方</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6m槽钢桩支护</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lang w:val="zh-CN"/>
                    </w:rPr>
                    <w:t>777</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color w:val="000000"/>
                      <w:sz w:val="21"/>
                    </w:rPr>
                    <w:t>照明工程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12m路灯杆</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11m不对称双臂路灯杆</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杆</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17</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照明配电箱</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12m路灯杆基础</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11m不对称双臂路灯杆基础</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17</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垂直接地极</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根</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46</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水平接地线</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161</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低压电缆（主回路）</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低压电缆（外接电源）</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500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导线</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265</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手孔井</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钢管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74</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PVC管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1100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接线盒</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4"/>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接地软铜丝缆</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color w:val="000000"/>
                      <w:sz w:val="21"/>
                    </w:rPr>
                    <w:t>电力管沟工程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16线砖砌行人电力沟</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6线直埋管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90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16线复合支架</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3000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电力直通井（16线）</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垂直接地极</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根</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108</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5"/>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水平接地线</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1170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9071" w:type="dxa"/>
                  <w:gridSpan w:val="5"/>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b/>
                      <w:color w:val="000000"/>
                      <w:sz w:val="21"/>
                    </w:rPr>
                    <w:t>通信管沟工程</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8线通信直埋管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300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4线通信横过路砼包封管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电力直通井</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电力直通井</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电力三通井</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电力三通井</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手孔井</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座</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手孔井</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排水管</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m</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270</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排水管</w:t>
                  </w:r>
                </w:p>
              </w:tc>
            </w:tr>
            <w:tr>
              <w:tblPrEx>
                <w:tblW w:w="0" w:type="auto"/>
                <w:jc w:val="center"/>
                <w:tblLayout w:type="fixed"/>
                <w:tblCellMar>
                  <w:top w:w="0" w:type="dxa"/>
                  <w:left w:w="108" w:type="dxa"/>
                  <w:bottom w:w="0" w:type="dxa"/>
                  <w:right w:w="108" w:type="dxa"/>
                </w:tblCellMar>
              </w:tblPrEx>
              <w:trPr>
                <w:jc w:val="center"/>
              </w:trPr>
              <w:tc>
                <w:tcPr>
                  <w:tcW w:w="787" w:type="dxa"/>
                  <w:noWrap w:val="0"/>
                  <w:vAlign w:val="center"/>
                </w:tcPr>
                <w:p>
                  <w:pPr>
                    <w:numPr>
                      <w:ilvl w:val="0"/>
                      <w:numId w:val="16"/>
                    </w:numPr>
                    <w:snapToGrid/>
                    <w:spacing w:line="240" w:lineRule="auto"/>
                    <w:ind w:firstLineChars="0"/>
                    <w:jc w:val="center"/>
                    <w:rPr>
                      <w:rFonts w:ascii="Times New Roman" w:hAnsi="Times New Roman" w:cs="Times New Roman"/>
                      <w:color w:val="000000"/>
                      <w:sz w:val="21"/>
                    </w:rPr>
                  </w:pPr>
                </w:p>
              </w:tc>
              <w:tc>
                <w:tcPr>
                  <w:tcW w:w="284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集水坑</w:t>
                  </w:r>
                </w:p>
              </w:tc>
              <w:tc>
                <w:tcPr>
                  <w:tcW w:w="859"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个</w:t>
                  </w:r>
                </w:p>
              </w:tc>
              <w:tc>
                <w:tcPr>
                  <w:tcW w:w="1508"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9</w:t>
                  </w:r>
                </w:p>
              </w:tc>
              <w:tc>
                <w:tcPr>
                  <w:tcW w:w="3075"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集水坑</w:t>
                  </w:r>
                </w:p>
              </w:tc>
            </w:tr>
          </w:tbl>
          <w:p>
            <w:pPr>
              <w:pStyle w:val="3"/>
              <w:adjustRightInd w:val="0"/>
              <w:spacing w:before="0" w:beforeAutospacing="0" w:after="0" w:afterAutospacing="0" w:line="360" w:lineRule="auto"/>
              <w:ind w:firstLine="480" w:firstLineChars="200"/>
              <w:outlineLvl w:val="9"/>
              <w:rPr>
                <w:rFonts w:ascii="Times New Roman" w:eastAsia="宋体" w:hAnsi="Times New Roman" w:cs="Times New Roman"/>
              </w:rPr>
            </w:pPr>
            <w:r>
              <w:rPr>
                <w:rFonts w:ascii="Times New Roman" w:eastAsia="宋体" w:hAnsi="Times New Roman" w:cs="Times New Roman"/>
              </w:rPr>
              <w:t>三、项目设计方案</w:t>
            </w:r>
          </w:p>
          <w:p>
            <w:pPr>
              <w:adjustRightInd w:val="0"/>
              <w:ind w:firstLine="482"/>
              <w:rPr>
                <w:rFonts w:ascii="Times New Roman" w:hAnsi="Times New Roman" w:cs="Times New Roman"/>
                <w:b/>
                <w:bCs/>
              </w:rPr>
            </w:pPr>
            <w:r>
              <w:rPr>
                <w:rFonts w:ascii="Times New Roman" w:hAnsi="Times New Roman" w:cs="Times New Roman"/>
                <w:b/>
                <w:bCs/>
              </w:rPr>
              <w:t>1、道路工程设计</w:t>
            </w:r>
          </w:p>
          <w:p>
            <w:pPr>
              <w:adjustRightInd w:val="0"/>
              <w:ind w:firstLine="482"/>
              <w:rPr>
                <w:rFonts w:ascii="Times New Roman" w:hAnsi="Times New Roman" w:cs="Times New Roman"/>
                <w:b/>
                <w:bCs/>
                <w:szCs w:val="24"/>
              </w:rPr>
            </w:pPr>
            <w:r>
              <w:rPr>
                <w:rFonts w:ascii="Times New Roman" w:hAnsi="Times New Roman" w:cs="Times New Roman"/>
                <w:b/>
                <w:bCs/>
                <w:szCs w:val="24"/>
              </w:rPr>
              <w:t>（1）纵断面设计方案</w:t>
            </w:r>
          </w:p>
          <w:p>
            <w:pPr>
              <w:adjustRightInd w:val="0"/>
              <w:ind w:firstLine="480"/>
              <w:rPr>
                <w:rFonts w:ascii="Times New Roman" w:hAnsi="Times New Roman" w:cs="Times New Roman"/>
                <w:szCs w:val="24"/>
              </w:rPr>
            </w:pPr>
            <w:r>
              <w:rPr>
                <w:rFonts w:ascii="Times New Roman" w:hAnsi="Times New Roman" w:cs="Times New Roman"/>
                <w:szCs w:val="24"/>
              </w:rPr>
              <w:t>本项目新建道路工程设计的纵坡走向与规划基本保持一致，新建道路的纵断面标高综合考虑道路起终点与现状道路衔接、两侧地块地坪标高进行设计，局部路段进行纵断面优化。改造路面工程设计纵坡为0.414%，不设置变坡点。新建道路</w:t>
            </w:r>
            <w:r>
              <w:rPr>
                <w:rFonts w:ascii="Times New Roman" w:hAnsi="Times New Roman" w:cs="Times New Roman"/>
                <w:bCs/>
                <w:szCs w:val="24"/>
              </w:rPr>
              <w:t>纵断面技术指标见表2。</w:t>
            </w:r>
          </w:p>
          <w:p>
            <w:pPr>
              <w:snapToGrid/>
              <w:spacing w:line="240" w:lineRule="auto"/>
              <w:ind w:firstLine="0" w:firstLineChars="0"/>
              <w:jc w:val="center"/>
              <w:rPr>
                <w:rFonts w:ascii="Times New Roman" w:hAnsi="Times New Roman" w:cs="Times New Roman"/>
                <w:b/>
                <w:color w:val="000000"/>
                <w:szCs w:val="24"/>
              </w:rPr>
            </w:pPr>
            <w:r>
              <w:rPr>
                <w:rFonts w:ascii="Times New Roman" w:hAnsi="Times New Roman" w:cs="Times New Roman"/>
                <w:b/>
                <w:color w:val="000000"/>
                <w:szCs w:val="24"/>
              </w:rPr>
              <w:t>表2 新建道路纵断面技术指标</w:t>
            </w:r>
          </w:p>
        </w:tc>
      </w:tr>
    </w:tbl>
    <w:p>
      <w:pPr>
        <w:sectPr>
          <w:headerReference w:type="default" r:id="rId23"/>
          <w:footerReference w:type="default" r:id="rId24"/>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28" w:type="dxa"/>
                <w:left w:w="28" w:type="dxa"/>
                <w:bottom w:w="28" w:type="dxa"/>
                <w:right w:w="28" w:type="dxa"/>
              </w:tblCellMar>
            </w:tblPr>
            <w:tblGrid>
              <w:gridCol w:w="734"/>
              <w:gridCol w:w="4122"/>
              <w:gridCol w:w="1241"/>
              <w:gridCol w:w="1487"/>
              <w:gridCol w:w="1487"/>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28" w:type="dxa"/>
                  <w:left w:w="28" w:type="dxa"/>
                  <w:bottom w:w="28" w:type="dxa"/>
                  <w:right w:w="28" w:type="dxa"/>
                </w:tblCellMar>
              </w:tblPrEx>
              <w:trPr>
                <w:cantSplit/>
                <w:trHeight w:val="866"/>
                <w:tblHeader/>
                <w:jc w:val="center"/>
              </w:trPr>
              <w:tc>
                <w:tcPr>
                  <w:tcW w:w="734" w:type="dxa"/>
                  <w:noWrap w:val="0"/>
                  <w:vAlign w:val="center"/>
                </w:tcPr>
                <w:p>
                  <w:pPr>
                    <w:pStyle w:val="a23"/>
                    <w:snapToGrid w:val="0"/>
                    <w:rPr>
                      <w:color w:val="000000"/>
                      <w:szCs w:val="21"/>
                    </w:rPr>
                  </w:pPr>
                  <w:r>
                    <w:rPr>
                      <w:color w:val="000000"/>
                      <w:szCs w:val="21"/>
                    </w:rPr>
                    <w:t>序号</w:t>
                  </w:r>
                </w:p>
              </w:tc>
              <w:tc>
                <w:tcPr>
                  <w:tcW w:w="4122" w:type="dxa"/>
                  <w:noWrap w:val="0"/>
                  <w:vAlign w:val="center"/>
                </w:tcPr>
                <w:p>
                  <w:pPr>
                    <w:pStyle w:val="a23"/>
                    <w:snapToGrid w:val="0"/>
                    <w:rPr>
                      <w:color w:val="000000"/>
                      <w:szCs w:val="21"/>
                    </w:rPr>
                  </w:pPr>
                  <w:r>
                    <w:rPr>
                      <w:color w:val="000000"/>
                      <w:szCs w:val="21"/>
                    </w:rPr>
                    <w:t>项目</w:t>
                  </w:r>
                </w:p>
              </w:tc>
              <w:tc>
                <w:tcPr>
                  <w:tcW w:w="1241" w:type="dxa"/>
                  <w:noWrap w:val="0"/>
                  <w:vAlign w:val="center"/>
                </w:tcPr>
                <w:p>
                  <w:pPr>
                    <w:pStyle w:val="a23"/>
                    <w:snapToGrid w:val="0"/>
                    <w:rPr>
                      <w:color w:val="000000"/>
                      <w:szCs w:val="21"/>
                    </w:rPr>
                  </w:pPr>
                  <w:r>
                    <w:rPr>
                      <w:color w:val="000000"/>
                      <w:szCs w:val="21"/>
                    </w:rPr>
                    <w:t>单位</w:t>
                  </w:r>
                </w:p>
              </w:tc>
              <w:tc>
                <w:tcPr>
                  <w:tcW w:w="1487" w:type="dxa"/>
                  <w:noWrap w:val="0"/>
                  <w:vAlign w:val="center"/>
                </w:tcPr>
                <w:p>
                  <w:pPr>
                    <w:pStyle w:val="a23"/>
                    <w:snapToGrid w:val="0"/>
                    <w:rPr>
                      <w:color w:val="000000"/>
                      <w:szCs w:val="21"/>
                    </w:rPr>
                  </w:pPr>
                  <w:r>
                    <w:rPr>
                      <w:color w:val="000000"/>
                      <w:szCs w:val="21"/>
                    </w:rPr>
                    <w:t>规范</w:t>
                  </w:r>
                </w:p>
              </w:tc>
              <w:tc>
                <w:tcPr>
                  <w:tcW w:w="1487" w:type="dxa"/>
                  <w:noWrap w:val="0"/>
                  <w:vAlign w:val="center"/>
                </w:tcPr>
                <w:p>
                  <w:pPr>
                    <w:pStyle w:val="a23"/>
                    <w:snapToGrid w:val="0"/>
                    <w:rPr>
                      <w:color w:val="000000"/>
                      <w:szCs w:val="21"/>
                    </w:rPr>
                  </w:pPr>
                  <w:r>
                    <w:rPr>
                      <w:color w:val="000000"/>
                      <w:szCs w:val="21"/>
                    </w:rPr>
                    <w:t>采用</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1</w:t>
                  </w:r>
                </w:p>
              </w:tc>
              <w:tc>
                <w:tcPr>
                  <w:tcW w:w="4122" w:type="dxa"/>
                  <w:noWrap w:val="0"/>
                  <w:vAlign w:val="center"/>
                </w:tcPr>
                <w:p>
                  <w:pPr>
                    <w:pStyle w:val="a18"/>
                    <w:snapToGrid w:val="0"/>
                    <w:rPr>
                      <w:rFonts w:cs="Times New Roman"/>
                      <w:color w:val="000000"/>
                    </w:rPr>
                  </w:pPr>
                  <w:r>
                    <w:rPr>
                      <w:rFonts w:cs="Times New Roman"/>
                      <w:color w:val="000000"/>
                    </w:rPr>
                    <w:t>计算行车速度</w:t>
                  </w:r>
                </w:p>
              </w:tc>
              <w:tc>
                <w:tcPr>
                  <w:tcW w:w="1241" w:type="dxa"/>
                  <w:noWrap w:val="0"/>
                  <w:vAlign w:val="center"/>
                </w:tcPr>
                <w:p>
                  <w:pPr>
                    <w:pStyle w:val="a24"/>
                    <w:snapToGrid w:val="0"/>
                    <w:ind w:left="0" w:firstLine="0" w:leftChars="0" w:firstLineChars="0"/>
                    <w:rPr>
                      <w:color w:val="000000"/>
                    </w:rPr>
                  </w:pPr>
                  <w:r>
                    <w:rPr>
                      <w:color w:val="000000"/>
                    </w:rPr>
                    <w:t>km/h</w:t>
                  </w:r>
                </w:p>
              </w:tc>
              <w:tc>
                <w:tcPr>
                  <w:tcW w:w="1487" w:type="dxa"/>
                  <w:noWrap w:val="0"/>
                  <w:vAlign w:val="center"/>
                </w:tcPr>
                <w:p>
                  <w:pPr>
                    <w:pStyle w:val="a24"/>
                    <w:snapToGrid w:val="0"/>
                    <w:ind w:left="0" w:firstLine="0" w:leftChars="0" w:firstLineChars="0"/>
                    <w:rPr>
                      <w:color w:val="000000"/>
                    </w:rPr>
                  </w:pPr>
                  <w:r>
                    <w:rPr>
                      <w:color w:val="000000"/>
                    </w:rPr>
                    <w:t>50、40、30、</w:t>
                  </w:r>
                </w:p>
              </w:tc>
              <w:tc>
                <w:tcPr>
                  <w:tcW w:w="1487" w:type="dxa"/>
                  <w:noWrap w:val="0"/>
                  <w:vAlign w:val="center"/>
                </w:tcPr>
                <w:p>
                  <w:pPr>
                    <w:pStyle w:val="a24"/>
                    <w:snapToGrid w:val="0"/>
                    <w:ind w:left="0" w:firstLine="0" w:leftChars="0" w:firstLineChars="0"/>
                    <w:rPr>
                      <w:color w:val="000000"/>
                    </w:rPr>
                  </w:pPr>
                  <w:r>
                    <w:rPr>
                      <w:color w:val="000000"/>
                    </w:rPr>
                    <w:t>40</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2</w:t>
                  </w:r>
                </w:p>
              </w:tc>
              <w:tc>
                <w:tcPr>
                  <w:tcW w:w="4122" w:type="dxa"/>
                  <w:noWrap w:val="0"/>
                  <w:vAlign w:val="center"/>
                </w:tcPr>
                <w:p>
                  <w:pPr>
                    <w:pStyle w:val="a18"/>
                    <w:snapToGrid w:val="0"/>
                    <w:rPr>
                      <w:rFonts w:cs="Times New Roman"/>
                      <w:color w:val="000000"/>
                    </w:rPr>
                  </w:pPr>
                  <w:r>
                    <w:rPr>
                      <w:rFonts w:cs="Times New Roman"/>
                      <w:color w:val="000000"/>
                    </w:rPr>
                    <w:t>最大纵坡(一般值)</w:t>
                  </w:r>
                </w:p>
              </w:tc>
              <w:tc>
                <w:tcPr>
                  <w:tcW w:w="1241" w:type="dxa"/>
                  <w:noWrap w:val="0"/>
                  <w:vAlign w:val="center"/>
                </w:tcPr>
                <w:p>
                  <w:pPr>
                    <w:pStyle w:val="a24"/>
                    <w:snapToGrid w:val="0"/>
                    <w:ind w:left="0" w:firstLine="0" w:leftChars="0" w:firstLineChars="0"/>
                    <w:rPr>
                      <w:color w:val="000000"/>
                    </w:rPr>
                  </w:pPr>
                  <w:r>
                    <w:rPr>
                      <w:color w:val="000000"/>
                    </w:rPr>
                    <w:t>%</w:t>
                  </w:r>
                </w:p>
              </w:tc>
              <w:tc>
                <w:tcPr>
                  <w:tcW w:w="1487" w:type="dxa"/>
                  <w:noWrap w:val="0"/>
                  <w:vAlign w:val="center"/>
                </w:tcPr>
                <w:p>
                  <w:pPr>
                    <w:pStyle w:val="a24"/>
                    <w:snapToGrid w:val="0"/>
                    <w:ind w:left="0" w:firstLine="0" w:leftChars="0" w:firstLineChars="0"/>
                    <w:rPr>
                      <w:color w:val="000000"/>
                    </w:rPr>
                  </w:pPr>
                  <w:r>
                    <w:rPr>
                      <w:color w:val="000000"/>
                    </w:rPr>
                    <w:t>7</w:t>
                  </w:r>
                </w:p>
              </w:tc>
              <w:tc>
                <w:tcPr>
                  <w:tcW w:w="1487" w:type="dxa"/>
                  <w:noWrap w:val="0"/>
                  <w:vAlign w:val="center"/>
                </w:tcPr>
                <w:p>
                  <w:pPr>
                    <w:pStyle w:val="a24"/>
                    <w:snapToGrid w:val="0"/>
                    <w:ind w:left="0" w:firstLine="0" w:leftChars="0" w:firstLineChars="0"/>
                    <w:rPr>
                      <w:color w:val="000000"/>
                    </w:rPr>
                  </w:pPr>
                  <w:r>
                    <w:rPr>
                      <w:color w:val="000000"/>
                    </w:rPr>
                    <w:t>0.414</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3</w:t>
                  </w:r>
                </w:p>
              </w:tc>
              <w:tc>
                <w:tcPr>
                  <w:tcW w:w="4122" w:type="dxa"/>
                  <w:noWrap w:val="0"/>
                  <w:vAlign w:val="center"/>
                </w:tcPr>
                <w:p>
                  <w:pPr>
                    <w:pStyle w:val="a18"/>
                    <w:snapToGrid w:val="0"/>
                    <w:rPr>
                      <w:rFonts w:cs="Times New Roman"/>
                      <w:color w:val="000000"/>
                    </w:rPr>
                  </w:pPr>
                  <w:r>
                    <w:rPr>
                      <w:rFonts w:cs="Times New Roman"/>
                      <w:color w:val="000000"/>
                    </w:rPr>
                    <w:t>最大纵坡(极限值)</w:t>
                  </w:r>
                </w:p>
              </w:tc>
              <w:tc>
                <w:tcPr>
                  <w:tcW w:w="1241" w:type="dxa"/>
                  <w:noWrap w:val="0"/>
                  <w:vAlign w:val="center"/>
                </w:tcPr>
                <w:p>
                  <w:pPr>
                    <w:pStyle w:val="a24"/>
                    <w:snapToGrid w:val="0"/>
                    <w:ind w:left="0" w:firstLine="0" w:leftChars="0" w:firstLineChars="0"/>
                    <w:rPr>
                      <w:color w:val="000000"/>
                    </w:rPr>
                  </w:pPr>
                  <w:r>
                    <w:rPr>
                      <w:color w:val="000000"/>
                    </w:rPr>
                    <w:t>%</w:t>
                  </w:r>
                </w:p>
              </w:tc>
              <w:tc>
                <w:tcPr>
                  <w:tcW w:w="1487" w:type="dxa"/>
                  <w:noWrap w:val="0"/>
                  <w:vAlign w:val="center"/>
                </w:tcPr>
                <w:p>
                  <w:pPr>
                    <w:pStyle w:val="a24"/>
                    <w:snapToGrid w:val="0"/>
                    <w:ind w:left="0" w:firstLine="0" w:leftChars="0" w:firstLineChars="0"/>
                    <w:rPr>
                      <w:color w:val="000000"/>
                    </w:rPr>
                  </w:pPr>
                  <w:r>
                    <w:rPr>
                      <w:color w:val="000000"/>
                    </w:rPr>
                    <w:t>8</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4</w:t>
                  </w:r>
                </w:p>
              </w:tc>
              <w:tc>
                <w:tcPr>
                  <w:tcW w:w="4122" w:type="dxa"/>
                  <w:noWrap w:val="0"/>
                  <w:vAlign w:val="center"/>
                </w:tcPr>
                <w:p>
                  <w:pPr>
                    <w:pStyle w:val="a18"/>
                    <w:snapToGrid w:val="0"/>
                    <w:rPr>
                      <w:rFonts w:cs="Times New Roman"/>
                      <w:color w:val="000000"/>
                    </w:rPr>
                  </w:pPr>
                  <w:r>
                    <w:rPr>
                      <w:rFonts w:cs="Times New Roman"/>
                      <w:color w:val="000000"/>
                    </w:rPr>
                    <w:t>最小坡长</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85</w:t>
                  </w:r>
                </w:p>
              </w:tc>
              <w:tc>
                <w:tcPr>
                  <w:tcW w:w="1487" w:type="dxa"/>
                  <w:noWrap w:val="0"/>
                  <w:vAlign w:val="center"/>
                </w:tcPr>
                <w:p>
                  <w:pPr>
                    <w:pStyle w:val="a24"/>
                    <w:snapToGrid w:val="0"/>
                    <w:ind w:left="0" w:firstLine="0" w:leftChars="0" w:firstLineChars="0"/>
                    <w:rPr>
                      <w:color w:val="000000"/>
                    </w:rPr>
                  </w:pPr>
                  <w:r>
                    <w:rPr>
                      <w:color w:val="000000"/>
                    </w:rPr>
                    <w:t>271.287</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5</w:t>
                  </w:r>
                </w:p>
              </w:tc>
              <w:tc>
                <w:tcPr>
                  <w:tcW w:w="4122" w:type="dxa"/>
                  <w:noWrap w:val="0"/>
                  <w:vAlign w:val="center"/>
                </w:tcPr>
                <w:p>
                  <w:pPr>
                    <w:pStyle w:val="a18"/>
                    <w:snapToGrid w:val="0"/>
                    <w:rPr>
                      <w:rFonts w:cs="Times New Roman"/>
                      <w:color w:val="000000"/>
                    </w:rPr>
                  </w:pPr>
                  <w:r>
                    <w:rPr>
                      <w:rFonts w:cs="Times New Roman"/>
                      <w:color w:val="000000"/>
                    </w:rPr>
                    <w:t>凸形竖曲线最小半径(一般值)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400</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6</w:t>
                  </w:r>
                </w:p>
              </w:tc>
              <w:tc>
                <w:tcPr>
                  <w:tcW w:w="4122" w:type="dxa"/>
                  <w:noWrap w:val="0"/>
                  <w:vAlign w:val="center"/>
                </w:tcPr>
                <w:p>
                  <w:pPr>
                    <w:pStyle w:val="a18"/>
                    <w:snapToGrid w:val="0"/>
                    <w:rPr>
                      <w:rFonts w:cs="Times New Roman"/>
                      <w:color w:val="000000"/>
                    </w:rPr>
                  </w:pPr>
                  <w:r>
                    <w:rPr>
                      <w:rFonts w:cs="Times New Roman"/>
                      <w:color w:val="000000"/>
                    </w:rPr>
                    <w:t>凸形竖曲线最小半径(极限值)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250</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7</w:t>
                  </w:r>
                </w:p>
              </w:tc>
              <w:tc>
                <w:tcPr>
                  <w:tcW w:w="4122" w:type="dxa"/>
                  <w:noWrap w:val="0"/>
                  <w:vAlign w:val="center"/>
                </w:tcPr>
                <w:p>
                  <w:pPr>
                    <w:pStyle w:val="a18"/>
                    <w:snapToGrid w:val="0"/>
                    <w:rPr>
                      <w:rFonts w:cs="Times New Roman"/>
                      <w:color w:val="000000"/>
                    </w:rPr>
                  </w:pPr>
                  <w:r>
                    <w:rPr>
                      <w:rFonts w:cs="Times New Roman"/>
                      <w:color w:val="000000"/>
                    </w:rPr>
                    <w:t>凹形竖曲线最小半径(一般值)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400</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8</w:t>
                  </w:r>
                </w:p>
              </w:tc>
              <w:tc>
                <w:tcPr>
                  <w:tcW w:w="4122" w:type="dxa"/>
                  <w:noWrap w:val="0"/>
                  <w:vAlign w:val="center"/>
                </w:tcPr>
                <w:p>
                  <w:pPr>
                    <w:pStyle w:val="a18"/>
                    <w:snapToGrid w:val="0"/>
                    <w:rPr>
                      <w:rFonts w:cs="Times New Roman"/>
                      <w:color w:val="000000"/>
                    </w:rPr>
                  </w:pPr>
                  <w:r>
                    <w:rPr>
                      <w:rFonts w:cs="Times New Roman"/>
                      <w:color w:val="000000"/>
                    </w:rPr>
                    <w:t>凹形竖曲线最小半径(极限值)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250</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9</w:t>
                  </w:r>
                </w:p>
              </w:tc>
              <w:tc>
                <w:tcPr>
                  <w:tcW w:w="4122" w:type="dxa"/>
                  <w:noWrap w:val="0"/>
                  <w:vAlign w:val="center"/>
                </w:tcPr>
                <w:p>
                  <w:pPr>
                    <w:pStyle w:val="a18"/>
                    <w:snapToGrid w:val="0"/>
                    <w:rPr>
                      <w:rFonts w:cs="Times New Roman"/>
                      <w:color w:val="000000"/>
                    </w:rPr>
                  </w:pPr>
                  <w:r>
                    <w:rPr>
                      <w:rFonts w:cs="Times New Roman"/>
                      <w:color w:val="000000"/>
                    </w:rPr>
                    <w:t>竖曲线最小长度(一般值)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60</w:t>
                  </w:r>
                </w:p>
              </w:tc>
              <w:tc>
                <w:tcPr>
                  <w:tcW w:w="1487" w:type="dxa"/>
                  <w:noWrap w:val="0"/>
                  <w:vAlign w:val="center"/>
                </w:tcPr>
                <w:p>
                  <w:pPr>
                    <w:pStyle w:val="a24"/>
                    <w:snapToGrid w:val="0"/>
                    <w:ind w:left="0" w:firstLine="0" w:leftChars="0" w:firstLineChars="0"/>
                    <w:rPr>
                      <w:color w:val="000000"/>
                    </w:rPr>
                  </w:pPr>
                  <w:r>
                    <w:rPr>
                      <w:color w:val="000000"/>
                    </w:rPr>
                    <w:t>-</w:t>
                  </w:r>
                </w:p>
              </w:tc>
            </w:tr>
            <w:tr>
              <w:tblPrEx>
                <w:tblW w:w="0" w:type="auto"/>
                <w:jc w:val="center"/>
                <w:tblLayout w:type="fixed"/>
                <w:tblCellMar>
                  <w:top w:w="28" w:type="dxa"/>
                  <w:left w:w="28" w:type="dxa"/>
                  <w:bottom w:w="28" w:type="dxa"/>
                  <w:right w:w="28" w:type="dxa"/>
                </w:tblCellMar>
              </w:tblPrEx>
              <w:trPr>
                <w:cantSplit/>
                <w:trHeight w:val="397"/>
                <w:jc w:val="center"/>
              </w:trPr>
              <w:tc>
                <w:tcPr>
                  <w:tcW w:w="734" w:type="dxa"/>
                  <w:noWrap w:val="0"/>
                  <w:vAlign w:val="center"/>
                </w:tcPr>
                <w:p>
                  <w:pPr>
                    <w:pStyle w:val="a24"/>
                    <w:snapToGrid w:val="0"/>
                    <w:ind w:left="0" w:firstLine="0" w:leftChars="0" w:firstLineChars="0"/>
                    <w:rPr>
                      <w:color w:val="000000"/>
                    </w:rPr>
                  </w:pPr>
                  <w:r>
                    <w:rPr>
                      <w:color w:val="000000"/>
                    </w:rPr>
                    <w:t>10</w:t>
                  </w:r>
                </w:p>
              </w:tc>
              <w:tc>
                <w:tcPr>
                  <w:tcW w:w="4122" w:type="dxa"/>
                  <w:noWrap w:val="0"/>
                  <w:vAlign w:val="center"/>
                </w:tcPr>
                <w:p>
                  <w:pPr>
                    <w:pStyle w:val="a18"/>
                    <w:snapToGrid w:val="0"/>
                    <w:rPr>
                      <w:rFonts w:cs="Times New Roman"/>
                      <w:color w:val="000000"/>
                    </w:rPr>
                  </w:pPr>
                  <w:r>
                    <w:rPr>
                      <w:rFonts w:cs="Times New Roman"/>
                      <w:color w:val="000000"/>
                    </w:rPr>
                    <w:t>竖曲线最小长度(极限值)</w:t>
                  </w:r>
                </w:p>
              </w:tc>
              <w:tc>
                <w:tcPr>
                  <w:tcW w:w="1241" w:type="dxa"/>
                  <w:noWrap w:val="0"/>
                  <w:vAlign w:val="center"/>
                </w:tcPr>
                <w:p>
                  <w:pPr>
                    <w:pStyle w:val="a24"/>
                    <w:snapToGrid w:val="0"/>
                    <w:ind w:left="0" w:firstLine="0" w:leftChars="0" w:firstLineChars="0"/>
                    <w:rPr>
                      <w:color w:val="000000"/>
                    </w:rPr>
                  </w:pPr>
                  <w:r>
                    <w:rPr>
                      <w:color w:val="000000"/>
                    </w:rPr>
                    <w:t>m</w:t>
                  </w:r>
                </w:p>
              </w:tc>
              <w:tc>
                <w:tcPr>
                  <w:tcW w:w="1487" w:type="dxa"/>
                  <w:noWrap w:val="0"/>
                  <w:vAlign w:val="center"/>
                </w:tcPr>
                <w:p>
                  <w:pPr>
                    <w:pStyle w:val="a24"/>
                    <w:snapToGrid w:val="0"/>
                    <w:ind w:left="0" w:firstLine="0" w:leftChars="0" w:firstLineChars="0"/>
                    <w:rPr>
                      <w:color w:val="000000"/>
                    </w:rPr>
                  </w:pPr>
                  <w:r>
                    <w:rPr>
                      <w:color w:val="000000"/>
                    </w:rPr>
                    <w:t>25</w:t>
                  </w:r>
                </w:p>
              </w:tc>
              <w:tc>
                <w:tcPr>
                  <w:tcW w:w="1487" w:type="dxa"/>
                  <w:noWrap w:val="0"/>
                  <w:vAlign w:val="center"/>
                </w:tcPr>
                <w:p>
                  <w:pPr>
                    <w:pStyle w:val="a24"/>
                    <w:snapToGrid w:val="0"/>
                    <w:ind w:left="0" w:firstLine="0" w:leftChars="0" w:firstLineChars="0"/>
                    <w:rPr>
                      <w:color w:val="000000"/>
                    </w:rPr>
                  </w:pPr>
                  <w:r>
                    <w:rPr>
                      <w:color w:val="000000"/>
                    </w:rPr>
                    <w:t>--</w:t>
                  </w:r>
                </w:p>
              </w:tc>
            </w:tr>
          </w:tbl>
          <w:p>
            <w:pPr>
              <w:adjustRightInd w:val="0"/>
              <w:ind w:firstLine="482"/>
              <w:rPr>
                <w:rFonts w:ascii="Times New Roman" w:hAnsi="Times New Roman" w:cs="Times New Roman"/>
                <w:b/>
                <w:bCs/>
              </w:rPr>
            </w:pPr>
            <w:r>
              <w:rPr>
                <w:rFonts w:ascii="Times New Roman" w:hAnsi="Times New Roman" w:cs="Times New Roman"/>
                <w:b/>
                <w:bCs/>
              </w:rPr>
              <w:t>（2）横断面设计方案</w:t>
            </w:r>
          </w:p>
          <w:p>
            <w:pPr>
              <w:adjustRightInd w:val="0"/>
              <w:ind w:firstLine="480"/>
              <w:rPr>
                <w:rFonts w:ascii="Times New Roman" w:hAnsi="Times New Roman" w:cs="Times New Roman"/>
              </w:rPr>
            </w:pPr>
            <w:r>
              <w:rPr>
                <w:rFonts w:ascii="Times New Roman" w:eastAsia="宋体" w:hAnsi="Times New Roman" w:cs="Times New Roman"/>
                <w:color w:val="000000"/>
              </w:rPr>
              <w:drawing>
                <wp:anchor distT="0" distB="0" distL="114300" distR="114300" simplePos="0" relativeHeight="251660288" behindDoc="0" locked="0" layoutInCell="1" allowOverlap="1">
                  <wp:simplePos x="0" y="0"/>
                  <wp:positionH relativeFrom="column">
                    <wp:posOffset>339725</wp:posOffset>
                  </wp:positionH>
                  <wp:positionV relativeFrom="paragraph">
                    <wp:posOffset>1490980</wp:posOffset>
                  </wp:positionV>
                  <wp:extent cx="5448935" cy="2642235"/>
                  <wp:effectExtent l="0" t="0" r="18415" b="5715"/>
                  <wp:wrapNone/>
                  <wp:docPr id="72" name="图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94"/>
                          <pic:cNvPicPr>
                            <a:picLocks noChangeAspect="1"/>
                          </pic:cNvPicPr>
                        </pic:nvPicPr>
                        <pic:blipFill>
                          <a:blip xmlns:r="http://schemas.openxmlformats.org/officeDocument/2006/relationships" r:embed="rId25"/>
                          <a:stretch>
                            <a:fillRect/>
                          </a:stretch>
                        </pic:blipFill>
                        <pic:spPr>
                          <a:xfrm>
                            <a:off x="0" y="0"/>
                            <a:ext cx="5448935" cy="2642235"/>
                          </a:xfrm>
                          <a:prstGeom prst="rect">
                            <a:avLst/>
                          </a:prstGeom>
                          <a:noFill/>
                          <a:ln>
                            <a:noFill/>
                          </a:ln>
                        </pic:spPr>
                      </pic:pic>
                    </a:graphicData>
                  </a:graphic>
                </wp:anchor>
              </w:drawing>
            </w:r>
            <w:r>
              <w:rPr>
                <w:rFonts w:ascii="Times New Roman" w:hAnsi="Times New Roman" w:cs="Times New Roman"/>
              </w:rPr>
              <w:t>本项目新建道路横断面车道横坡均为1.5%坡向道路两侧：人行道横坡为2%，坡向路中。路缘石外露高度采用15cm。K0+000-K0+100路段，路宽为24m=2m人行道+2.75非机动车道+14.5m行车道+2.75非机动车道+2m人行道；K0+100-K0+271.287路段，路宽为28m=3.5m人行道+3.25m非机动车道+14.5m车行道+3.25m非机动车道+3.5m人行道；本项目改造路面工程在AK0+000-AK0+211.684段进行加铺沥青，路宽为23.5m=4.5m人行道+14.5m车行道+4.5m人行道。本项目新建工程的横断面见图1、图2，改造路面工程的横断面见图3。</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pPr>
              <w:ind w:firstLine="480"/>
              <w:rPr>
                <w:rFonts w:ascii="Times New Roman"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r>
              <w:rPr>
                <w:rFonts w:ascii="Times New Roman" w:eastAsia="宋体" w:hAnsi="Times New Roman" w:cs="Times New Roman"/>
              </w:rPr>
              <w:t>图1  K0+000-K0+100路基标准横断面图（路宽2</w:t>
            </w:r>
            <w:r>
              <w:rPr>
                <w:rFonts w:ascii="Times New Roman" w:eastAsia="宋体" w:hAnsi="Times New Roman" w:cs="Times New Roman" w:hint="eastAsia"/>
                <w:lang w:val="en-US" w:eastAsia="zh-CN"/>
              </w:rPr>
              <w:t>4</w:t>
            </w:r>
            <w:r>
              <w:rPr>
                <w:rFonts w:ascii="Times New Roman" w:eastAsia="宋体" w:hAnsi="Times New Roman" w:cs="Times New Roman"/>
              </w:rPr>
              <w:t>m）</w:t>
            </w: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r>
              <w:rPr>
                <w:rFonts w:ascii="Times New Roman" w:hAnsi="Times New Roman" w:cs="Times New Roman"/>
              </w:rPr>
              <w:drawing>
                <wp:anchor distT="0" distB="0" distL="114300" distR="114300" simplePos="0" relativeHeight="251661312" behindDoc="1" locked="0" layoutInCell="1" allowOverlap="1">
                  <wp:simplePos x="0" y="0"/>
                  <wp:positionH relativeFrom="column">
                    <wp:posOffset>266700</wp:posOffset>
                  </wp:positionH>
                  <wp:positionV relativeFrom="paragraph">
                    <wp:posOffset>14605</wp:posOffset>
                  </wp:positionV>
                  <wp:extent cx="5495290" cy="2447925"/>
                  <wp:effectExtent l="0" t="0" r="10160" b="9525"/>
                  <wp:wrapNone/>
                  <wp:docPr id="47" name="图片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42"/>
                          <pic:cNvPicPr>
                            <a:picLocks noChangeAspect="1"/>
                          </pic:cNvPicPr>
                        </pic:nvPicPr>
                        <pic:blipFill>
                          <a:blip xmlns:r="http://schemas.openxmlformats.org/officeDocument/2006/relationships" r:embed="rId26"/>
                          <a:stretch>
                            <a:fillRect/>
                          </a:stretch>
                        </pic:blipFill>
                        <pic:spPr>
                          <a:xfrm>
                            <a:off x="0" y="0"/>
                            <a:ext cx="5495290" cy="2447925"/>
                          </a:xfrm>
                          <a:prstGeom prst="rect">
                            <a:avLst/>
                          </a:prstGeom>
                          <a:noFill/>
                          <a:ln>
                            <a:noFill/>
                          </a:ln>
                        </pic:spPr>
                      </pic:pic>
                    </a:graphicData>
                  </a:graphic>
                </wp:anchor>
              </w:drawing>
            </w:r>
          </w:p>
        </w:tc>
      </w:tr>
    </w:tbl>
    <w:p>
      <w:pPr>
        <w:sectPr>
          <w:headerReference w:type="default" r:id="rId27"/>
          <w:footerReference w:type="default" r:id="rId28"/>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640" w:firstLineChars="1100"/>
              <w:outlineLvl w:val="9"/>
              <w:rPr>
                <w:rFonts w:ascii="Times New Roman" w:eastAsia="宋体" w:hAnsi="Times New Roman" w:cs="Times New Roman"/>
              </w:rPr>
            </w:pPr>
          </w:p>
          <w:p>
            <w:pPr>
              <w:pStyle w:val="3"/>
              <w:spacing w:before="0" w:beforeAutospacing="0" w:after="0" w:afterAutospacing="0" w:line="360" w:lineRule="auto"/>
              <w:ind w:firstLine="2160" w:firstLineChars="900"/>
              <w:outlineLvl w:val="9"/>
              <w:rPr>
                <w:rFonts w:ascii="Times New Roman" w:eastAsia="宋体" w:hAnsi="Times New Roman" w:cs="Times New Roman"/>
              </w:rPr>
            </w:pPr>
            <w:r>
              <w:rPr>
                <w:rFonts w:ascii="Times New Roman" w:eastAsia="宋体" w:hAnsi="Times New Roman" w:cs="Times New Roman"/>
              </w:rPr>
              <w:drawing>
                <wp:anchor distT="0" distB="0" distL="114300" distR="114300" simplePos="0" relativeHeight="251662336" behindDoc="1" locked="0" layoutInCell="1" allowOverlap="1">
                  <wp:simplePos x="0" y="0"/>
                  <wp:positionH relativeFrom="column">
                    <wp:posOffset>257175</wp:posOffset>
                  </wp:positionH>
                  <wp:positionV relativeFrom="paragraph">
                    <wp:posOffset>162560</wp:posOffset>
                  </wp:positionV>
                  <wp:extent cx="5534025" cy="2724150"/>
                  <wp:effectExtent l="0" t="0" r="9525" b="0"/>
                  <wp:wrapNone/>
                  <wp:docPr id="27" name="图片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39"/>
                          <pic:cNvPicPr>
                            <a:picLocks noChangeAspect="1"/>
                          </pic:cNvPicPr>
                        </pic:nvPicPr>
                        <pic:blipFill>
                          <a:blip xmlns:r="http://schemas.openxmlformats.org/officeDocument/2006/relationships" r:embed="rId29"/>
                          <a:stretch>
                            <a:fillRect/>
                          </a:stretch>
                        </pic:blipFill>
                        <pic:spPr>
                          <a:xfrm>
                            <a:off x="0" y="0"/>
                            <a:ext cx="5534025" cy="2724150"/>
                          </a:xfrm>
                          <a:prstGeom prst="rect">
                            <a:avLst/>
                          </a:prstGeom>
                          <a:noFill/>
                          <a:ln>
                            <a:noFill/>
                          </a:ln>
                        </pic:spPr>
                      </pic:pic>
                    </a:graphicData>
                  </a:graphic>
                </wp:anchor>
              </w:drawing>
            </w:r>
            <w:r>
              <w:rPr>
                <w:rFonts w:ascii="Times New Roman" w:eastAsia="宋体" w:hAnsi="Times New Roman" w:cs="Times New Roman"/>
              </w:rPr>
              <w:t>图2  K0+100-K0+271.287路基标准横断面图（路宽2</w:t>
            </w:r>
            <w:r>
              <w:rPr>
                <w:rFonts w:ascii="Times New Roman" w:eastAsia="宋体" w:hAnsi="Times New Roman" w:cs="Times New Roman" w:hint="eastAsia"/>
                <w:lang w:val="en-US" w:eastAsia="zh-CN"/>
              </w:rPr>
              <w:t>8</w:t>
            </w:r>
            <w:r>
              <w:rPr>
                <w:rFonts w:ascii="Times New Roman" w:eastAsia="宋体" w:hAnsi="Times New Roman" w:cs="Times New Roman"/>
              </w:rPr>
              <w:t xml:space="preserve">m）   </w:t>
            </w:r>
            <w:r>
              <w:rPr>
                <w:rFonts w:ascii="Times New Roman" w:eastAsia="宋体" w:hAnsi="Times New Roman" w:cs="Times New Roman"/>
              </w:rPr>
              <w:br/>
            </w:r>
          </w:p>
          <w:p>
            <w:pPr>
              <w:pStyle w:val="3"/>
              <w:spacing w:before="0" w:beforeAutospacing="0" w:after="0" w:afterAutospacing="0" w:line="360" w:lineRule="auto"/>
              <w:ind w:firstLine="2160" w:firstLineChars="900"/>
              <w:outlineLvl w:val="9"/>
              <w:rPr>
                <w:rFonts w:ascii="Times New Roman" w:eastAsia="宋体" w:hAnsi="Times New Roman" w:cs="Times New Roman"/>
              </w:rPr>
            </w:pPr>
            <w:r>
              <w:rPr>
                <w:rFonts w:ascii="Times New Roman" w:eastAsia="宋体" w:hAnsi="Times New Roman" w:cs="Times New Roman"/>
              </w:rPr>
              <w:br/>
            </w:r>
            <w:r>
              <w:rPr>
                <w:rFonts w:ascii="Times New Roman" w:eastAsia="宋体" w:hAnsi="Times New Roman" w:cs="Times New Roman"/>
              </w:rPr>
              <w:br/>
            </w:r>
            <w:r>
              <w:rPr>
                <w:rFonts w:ascii="Times New Roman" w:eastAsia="宋体" w:hAnsi="Times New Roman" w:cs="Times New Roman"/>
              </w:rPr>
              <w:br/>
            </w:r>
            <w:r>
              <w:rPr>
                <w:rFonts w:ascii="Times New Roman" w:eastAsia="宋体" w:hAnsi="Times New Roman" w:cs="Times New Roman"/>
              </w:rPr>
              <w:br/>
            </w:r>
            <w:r>
              <w:rPr>
                <w:rFonts w:ascii="Times New Roman" w:eastAsia="宋体" w:hAnsi="Times New Roman" w:cs="Times New Roman"/>
              </w:rPr>
              <w:br/>
            </w:r>
            <w:r>
              <w:rPr>
                <w:rFonts w:ascii="Times New Roman" w:eastAsia="宋体" w:hAnsi="Times New Roman" w:cs="Times New Roman"/>
              </w:rPr>
              <w:br/>
            </w:r>
          </w:p>
          <w:p>
            <w:pPr>
              <w:pStyle w:val="3"/>
              <w:spacing w:before="0" w:beforeAutospacing="0" w:after="0" w:afterAutospacing="0" w:line="360" w:lineRule="auto"/>
              <w:ind w:firstLine="480" w:firstLineChars="200"/>
              <w:outlineLvl w:val="9"/>
              <w:rPr>
                <w:rFonts w:ascii="Times New Roman" w:eastAsia="宋体" w:hAnsi="Times New Roman" w:cs="Times New Roman"/>
              </w:rPr>
            </w:pPr>
          </w:p>
          <w:p>
            <w:pPr>
              <w:pStyle w:val="3"/>
              <w:spacing w:before="0" w:beforeAutospacing="0" w:after="0" w:afterAutospacing="0" w:line="360" w:lineRule="auto"/>
              <w:ind w:firstLine="1680" w:firstLineChars="700"/>
              <w:outlineLvl w:val="9"/>
              <w:rPr>
                <w:rFonts w:ascii="Times New Roman" w:eastAsia="宋体" w:hAnsi="Times New Roman" w:cs="Times New Roman"/>
              </w:rPr>
            </w:pPr>
          </w:p>
          <w:p>
            <w:pPr>
              <w:pStyle w:val="3"/>
              <w:spacing w:before="0" w:beforeAutospacing="0" w:after="0" w:afterAutospacing="0" w:line="360" w:lineRule="auto"/>
              <w:ind w:firstLine="1680" w:firstLineChars="700"/>
              <w:outlineLvl w:val="9"/>
              <w:rPr>
                <w:rFonts w:ascii="Times New Roman" w:eastAsia="宋体" w:hAnsi="Times New Roman" w:cs="Times New Roman"/>
              </w:rPr>
            </w:pPr>
            <w:r>
              <w:rPr>
                <w:rFonts w:ascii="Times New Roman" w:eastAsia="宋体" w:hAnsi="Times New Roman" w:cs="Times New Roman"/>
              </w:rPr>
              <w:t>图3  AK0+000-AK0+211.684路基标准横断面图（路宽23.5m）</w:t>
            </w:r>
          </w:p>
          <w:p>
            <w:pPr>
              <w:adjustRightInd w:val="0"/>
              <w:ind w:firstLine="482"/>
              <w:rPr>
                <w:rFonts w:ascii="Times New Roman" w:hAnsi="Times New Roman" w:cs="Times New Roman"/>
                <w:b/>
                <w:bCs/>
              </w:rPr>
            </w:pPr>
            <w:r>
              <w:rPr>
                <w:rFonts w:ascii="Times New Roman" w:hAnsi="Times New Roman" w:cs="Times New Roman"/>
                <w:b/>
                <w:bCs/>
              </w:rPr>
              <w:t>2、路基设计方案</w:t>
            </w:r>
          </w:p>
          <w:p>
            <w:pPr>
              <w:adjustRightInd w:val="0"/>
              <w:ind w:firstLine="482"/>
              <w:rPr>
                <w:rFonts w:ascii="Times New Roman" w:hAnsi="Times New Roman" w:cs="Times New Roman"/>
                <w:b/>
                <w:bCs/>
              </w:rPr>
            </w:pPr>
            <w:r>
              <w:rPr>
                <w:rFonts w:ascii="Times New Roman" w:hAnsi="Times New Roman" w:cs="Times New Roman"/>
                <w:b/>
                <w:bCs/>
              </w:rPr>
              <w:t>（1）路基清表</w:t>
            </w:r>
          </w:p>
          <w:p>
            <w:pPr>
              <w:adjustRightInd w:val="0"/>
              <w:ind w:firstLine="480"/>
              <w:rPr>
                <w:rFonts w:ascii="Times New Roman" w:hAnsi="Times New Roman" w:cs="Times New Roman"/>
              </w:rPr>
            </w:pPr>
            <w:r>
              <w:rPr>
                <w:rFonts w:ascii="Times New Roman" w:hAnsi="Times New Roman" w:cs="Times New Roman"/>
              </w:rPr>
              <w:t>项目新建道路区域范围内，现状</w:t>
            </w:r>
            <w:r>
              <w:rPr>
                <w:rFonts w:ascii="Times New Roman" w:hAnsi="Times New Roman" w:cs="Times New Roman" w:hint="eastAsia"/>
                <w:lang w:val="en-US" w:eastAsia="zh-CN"/>
              </w:rPr>
              <w:t>环境有</w:t>
            </w:r>
            <w:r>
              <w:rPr>
                <w:rFonts w:ascii="Times New Roman" w:hAnsi="Times New Roman" w:cs="Times New Roman"/>
              </w:rPr>
              <w:t>建筑物、瓜蔬种植地、林树</w:t>
            </w:r>
            <w:r>
              <w:rPr>
                <w:rFonts w:ascii="Times New Roman" w:hAnsi="Times New Roman" w:cs="Times New Roman" w:hint="eastAsia"/>
              </w:rPr>
              <w:t>等需拆迁，</w:t>
            </w:r>
            <w:r>
              <w:rPr>
                <w:rFonts w:ascii="Times New Roman" w:hAnsi="Times New Roman" w:cs="Times New Roman"/>
              </w:rPr>
              <w:t>拆迁工程由天涯区人民政府组织进行，</w:t>
            </w:r>
            <w:r>
              <w:rPr>
                <w:rFonts w:ascii="Times New Roman" w:hAnsi="Times New Roman" w:cs="Times New Roman" w:hint="eastAsia"/>
              </w:rPr>
              <w:t>不纳入本项目工程</w:t>
            </w:r>
            <w:r>
              <w:rPr>
                <w:rFonts w:ascii="Times New Roman" w:hAnsi="Times New Roman" w:cs="Times New Roman"/>
              </w:rPr>
              <w:t>。</w:t>
            </w:r>
          </w:p>
          <w:p>
            <w:pPr>
              <w:adjustRightInd w:val="0"/>
              <w:ind w:firstLine="482"/>
              <w:rPr>
                <w:rFonts w:ascii="Times New Roman" w:hAnsi="Times New Roman" w:cs="Times New Roman"/>
                <w:b/>
                <w:bCs/>
              </w:rPr>
            </w:pPr>
            <w:r>
              <w:rPr>
                <w:rFonts w:ascii="Times New Roman" w:hAnsi="Times New Roman" w:cs="Times New Roman"/>
                <w:b/>
                <w:bCs/>
              </w:rPr>
              <w:t>（2）路基横断面设计</w:t>
            </w:r>
          </w:p>
          <w:p>
            <w:pPr>
              <w:adjustRightInd w:val="0"/>
              <w:ind w:firstLine="480"/>
              <w:rPr>
                <w:rFonts w:ascii="Times New Roman" w:hAnsi="Times New Roman" w:cs="Times New Roman"/>
                <w:bCs/>
              </w:rPr>
            </w:pPr>
            <w:r>
              <w:rPr>
                <w:rFonts w:ascii="Times New Roman" w:hAnsi="Times New Roman" w:cs="Times New Roman"/>
              </w:rPr>
              <w:t>本项目新建工程标准路段路基宽度为24~28m，路基设计标高为中心线位置的路面标高。采用双向横坡，行车道采用1.5%坡向两侧，人行采用2%的反向横坡，坡向路中，土方填方路段按1:1.5坡率放坡，土质挖方段按1:1坡率放坡。路基填方压实度见表3。</w:t>
            </w:r>
          </w:p>
          <w:p>
            <w:pPr>
              <w:pStyle w:val="3"/>
              <w:spacing w:before="0" w:beforeAutospacing="0" w:after="0" w:afterAutospacing="0" w:line="240" w:lineRule="auto"/>
              <w:ind w:firstLine="0" w:firstLineChars="0"/>
              <w:jc w:val="center"/>
              <w:outlineLvl w:val="9"/>
              <w:rPr>
                <w:rFonts w:ascii="Times New Roman" w:eastAsia="宋体" w:hAnsi="Times New Roman" w:cs="Times New Roman"/>
              </w:rPr>
            </w:pPr>
            <w:r>
              <w:rPr>
                <w:rFonts w:ascii="Times New Roman" w:eastAsia="宋体" w:hAnsi="Times New Roman" w:cs="Times New Roman"/>
              </w:rPr>
              <w:t>表3  路基填方压实度表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815"/>
              <w:gridCol w:w="1814"/>
              <w:gridCol w:w="1814"/>
              <w:gridCol w:w="1814"/>
              <w:gridCol w:w="1814"/>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1815"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填挖类型</w:t>
                  </w:r>
                </w:p>
              </w:tc>
              <w:tc>
                <w:tcPr>
                  <w:tcW w:w="1814"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路床顶面以下深度（m）</w:t>
                  </w:r>
                </w:p>
              </w:tc>
              <w:tc>
                <w:tcPr>
                  <w:tcW w:w="1814"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填料最小强度（CBR）（%）</w:t>
                  </w:r>
                </w:p>
              </w:tc>
              <w:tc>
                <w:tcPr>
                  <w:tcW w:w="1814"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填料最大粒径（cm）</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sz w:val="21"/>
                      <w:szCs w:val="21"/>
                    </w:rPr>
                  </w:pPr>
                  <w:r>
                    <w:rPr>
                      <w:rFonts w:ascii="Times New Roman" w:eastAsia="宋体" w:hAnsi="Times New Roman" w:cs="Times New Roman"/>
                      <w:sz w:val="21"/>
                      <w:szCs w:val="21"/>
                    </w:rPr>
                    <w:t>路基最小压实度</w:t>
                  </w:r>
                </w:p>
              </w:tc>
            </w:tr>
            <w:tr>
              <w:tblPrEx>
                <w:tblW w:w="0" w:type="auto"/>
                <w:jc w:val="center"/>
                <w:tblLayout w:type="fixed"/>
                <w:tblCellMar>
                  <w:top w:w="0" w:type="dxa"/>
                  <w:left w:w="108" w:type="dxa"/>
                  <w:bottom w:w="0" w:type="dxa"/>
                  <w:right w:w="108" w:type="dxa"/>
                </w:tblCellMar>
              </w:tblPrEx>
              <w:trPr>
                <w:jc w:val="center"/>
              </w:trPr>
              <w:tc>
                <w:tcPr>
                  <w:tcW w:w="1815"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次干道</w:t>
                  </w:r>
                </w:p>
              </w:tc>
            </w:tr>
            <w:tr>
              <w:tblPrEx>
                <w:tblW w:w="0" w:type="auto"/>
                <w:jc w:val="center"/>
                <w:tblLayout w:type="fixed"/>
                <w:tblCellMar>
                  <w:top w:w="0" w:type="dxa"/>
                  <w:left w:w="108" w:type="dxa"/>
                  <w:bottom w:w="0" w:type="dxa"/>
                  <w:right w:w="108" w:type="dxa"/>
                </w:tblCellMar>
              </w:tblPrEx>
              <w:trPr>
                <w:jc w:val="center"/>
              </w:trPr>
              <w:tc>
                <w:tcPr>
                  <w:tcW w:w="1815"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填方</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0-30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6</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94</w:t>
                  </w:r>
                </w:p>
              </w:tc>
            </w:tr>
            <w:tr>
              <w:tblPrEx>
                <w:tblW w:w="0" w:type="auto"/>
                <w:jc w:val="center"/>
                <w:tblLayout w:type="fixed"/>
                <w:tblCellMar>
                  <w:top w:w="0" w:type="dxa"/>
                  <w:left w:w="108" w:type="dxa"/>
                  <w:bottom w:w="0" w:type="dxa"/>
                  <w:right w:w="108" w:type="dxa"/>
                </w:tblCellMar>
              </w:tblPrEx>
              <w:trPr>
                <w:jc w:val="center"/>
              </w:trPr>
              <w:tc>
                <w:tcPr>
                  <w:tcW w:w="1815"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30-80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4</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94</w:t>
                  </w:r>
                </w:p>
              </w:tc>
            </w:tr>
            <w:tr>
              <w:tblPrEx>
                <w:tblW w:w="0" w:type="auto"/>
                <w:jc w:val="center"/>
                <w:tblLayout w:type="fixed"/>
                <w:tblCellMar>
                  <w:top w:w="0" w:type="dxa"/>
                  <w:left w:w="108" w:type="dxa"/>
                  <w:bottom w:w="0" w:type="dxa"/>
                  <w:right w:w="108" w:type="dxa"/>
                </w:tblCellMar>
              </w:tblPrEx>
              <w:trPr>
                <w:jc w:val="center"/>
              </w:trPr>
              <w:tc>
                <w:tcPr>
                  <w:tcW w:w="1815"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80-150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3</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15</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92</w:t>
                  </w:r>
                </w:p>
              </w:tc>
            </w:tr>
          </w:tbl>
          <w:p/>
        </w:tc>
      </w:tr>
    </w:tbl>
    <w:p>
      <w:pPr>
        <w:sectPr>
          <w:headerReference w:type="default" r:id="rId30"/>
          <w:footerReference w:type="default" r:id="rId31"/>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815"/>
              <w:gridCol w:w="1814"/>
              <w:gridCol w:w="1814"/>
              <w:gridCol w:w="1814"/>
              <w:gridCol w:w="1814"/>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1815"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＞150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2</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15</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91</w:t>
                  </w:r>
                </w:p>
              </w:tc>
            </w:tr>
            <w:tr>
              <w:tblPrEx>
                <w:tblW w:w="0" w:type="auto"/>
                <w:jc w:val="center"/>
                <w:tblLayout w:type="fixed"/>
                <w:tblCellMar>
                  <w:top w:w="0" w:type="dxa"/>
                  <w:left w:w="108" w:type="dxa"/>
                  <w:bottom w:w="0" w:type="dxa"/>
                  <w:right w:w="108" w:type="dxa"/>
                </w:tblCellMar>
              </w:tblPrEx>
              <w:trPr>
                <w:jc w:val="center"/>
              </w:trPr>
              <w:tc>
                <w:tcPr>
                  <w:tcW w:w="1815" w:type="dxa"/>
                  <w:vMerge w:val="restart"/>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零填或挖方</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0-30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6</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94</w:t>
                  </w:r>
                </w:p>
              </w:tc>
            </w:tr>
            <w:tr>
              <w:tblPrEx>
                <w:tblW w:w="0" w:type="auto"/>
                <w:jc w:val="center"/>
                <w:tblLayout w:type="fixed"/>
                <w:tblCellMar>
                  <w:top w:w="0" w:type="dxa"/>
                  <w:left w:w="108" w:type="dxa"/>
                  <w:bottom w:w="0" w:type="dxa"/>
                  <w:right w:w="108" w:type="dxa"/>
                </w:tblCellMar>
              </w:tblPrEx>
              <w:trPr>
                <w:jc w:val="center"/>
              </w:trPr>
              <w:tc>
                <w:tcPr>
                  <w:tcW w:w="1815" w:type="dxa"/>
                  <w:vMerge/>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30-80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4</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10</w:t>
                  </w:r>
                </w:p>
              </w:tc>
              <w:tc>
                <w:tcPr>
                  <w:tcW w:w="1814" w:type="dxa"/>
                  <w:noWrap w:val="0"/>
                  <w:vAlign w:val="top"/>
                </w:tcPr>
                <w:p>
                  <w:pPr>
                    <w:pStyle w:val="3"/>
                    <w:spacing w:before="0" w:beforeAutospacing="0" w:after="0" w:afterAutospacing="0" w:line="240" w:lineRule="auto"/>
                    <w:ind w:firstLine="0" w:firstLineChars="0"/>
                    <w:jc w:val="center"/>
                    <w:rPr>
                      <w:rFonts w:ascii="Times New Roman" w:eastAsia="宋体" w:hAnsi="Times New Roman" w:cs="Times New Roman"/>
                      <w:b w:val="0"/>
                      <w:bCs/>
                      <w:sz w:val="21"/>
                      <w:szCs w:val="21"/>
                    </w:rPr>
                  </w:pPr>
                  <w:r>
                    <w:rPr>
                      <w:rFonts w:ascii="Times New Roman" w:eastAsia="宋体" w:hAnsi="Times New Roman" w:cs="Times New Roman"/>
                      <w:b w:val="0"/>
                      <w:bCs/>
                      <w:sz w:val="21"/>
                      <w:szCs w:val="21"/>
                    </w:rPr>
                    <w:t>--</w:t>
                  </w:r>
                </w:p>
              </w:tc>
            </w:tr>
          </w:tbl>
          <w:p>
            <w:pPr>
              <w:adjustRightInd w:val="0"/>
              <w:ind w:firstLine="482"/>
              <w:rPr>
                <w:rFonts w:ascii="Times New Roman" w:hAnsi="Times New Roman" w:cs="Times New Roman"/>
                <w:b/>
                <w:bCs/>
              </w:rPr>
            </w:pPr>
            <w:r>
              <w:rPr>
                <w:rFonts w:ascii="Times New Roman" w:hAnsi="Times New Roman" w:cs="Times New Roman"/>
                <w:b/>
                <w:bCs/>
              </w:rPr>
              <w:t>（3）路基防护设计</w:t>
            </w:r>
          </w:p>
          <w:p>
            <w:pPr>
              <w:adjustRightInd w:val="0"/>
              <w:ind w:firstLine="480"/>
              <w:rPr>
                <w:rFonts w:ascii="Times New Roman" w:hAnsi="Times New Roman" w:cs="Times New Roman"/>
              </w:rPr>
            </w:pPr>
            <w:r>
              <w:rPr>
                <w:rFonts w:ascii="Times New Roman" w:hAnsi="Times New Roman" w:cs="Times New Roman"/>
              </w:rPr>
              <w:t>本新建工程采用植草护坡。边坡高度 H＜3m 采用喷播植草护坡；3m≤H 时采用网格植草护坡。</w:t>
            </w:r>
          </w:p>
          <w:p>
            <w:pPr>
              <w:adjustRightInd w:val="0"/>
              <w:ind w:firstLine="482"/>
              <w:rPr>
                <w:rFonts w:ascii="Times New Roman" w:hAnsi="Times New Roman" w:cs="Times New Roman"/>
                <w:b/>
                <w:bCs/>
              </w:rPr>
            </w:pPr>
            <w:r>
              <w:rPr>
                <w:rFonts w:ascii="Times New Roman" w:hAnsi="Times New Roman" w:cs="Times New Roman"/>
                <w:b/>
                <w:bCs/>
              </w:rPr>
              <w:t>（4）特殊路基设计</w:t>
            </w:r>
          </w:p>
          <w:p>
            <w:pPr>
              <w:adjustRightInd w:val="0"/>
              <w:ind w:firstLine="480"/>
              <w:rPr>
                <w:rFonts w:ascii="Times New Roman" w:hAnsi="Times New Roman" w:cs="Times New Roman"/>
              </w:rPr>
            </w:pPr>
            <w:r>
              <w:rPr>
                <w:rFonts w:ascii="Times New Roman" w:hAnsi="Times New Roman" w:cs="Times New Roman"/>
              </w:rPr>
              <w:t>本新建工程K0+000~K0+150段采用80cm碎石砂换填，K0+150~K0+271.287路段采用50cm碎石砂换填。</w:t>
            </w:r>
          </w:p>
          <w:p>
            <w:pPr>
              <w:adjustRightInd w:val="0"/>
              <w:ind w:firstLine="482"/>
              <w:rPr>
                <w:rFonts w:ascii="Times New Roman" w:hAnsi="Times New Roman" w:cs="Times New Roman"/>
                <w:b/>
                <w:bCs/>
              </w:rPr>
            </w:pPr>
            <w:r>
              <w:rPr>
                <w:rFonts w:ascii="Times New Roman" w:hAnsi="Times New Roman" w:cs="Times New Roman"/>
                <w:b/>
                <w:bCs/>
              </w:rPr>
              <w:t>（5）路基、路面排水设计</w:t>
            </w:r>
          </w:p>
          <w:p>
            <w:pPr>
              <w:adjustRightInd w:val="0"/>
              <w:ind w:firstLine="480"/>
              <w:rPr>
                <w:rFonts w:ascii="Times New Roman" w:hAnsi="Times New Roman" w:cs="Times New Roman"/>
              </w:rPr>
            </w:pPr>
            <w:r>
              <w:rPr>
                <w:rFonts w:ascii="Times New Roman" w:hAnsi="Times New Roman" w:cs="Times New Roman"/>
              </w:rPr>
              <w:t>道路两侧场地内的雨水通过预留在路基外侧的雨水检查井汇入雨水管道，</w:t>
            </w:r>
            <w:r>
              <w:rPr>
                <w:rFonts w:ascii="Times New Roman" w:hAnsi="Times New Roman" w:cs="Times New Roman" w:hint="eastAsia"/>
                <w:lang w:val="en-US" w:eastAsia="zh-CN"/>
              </w:rPr>
              <w:t>最终</w:t>
            </w:r>
            <w:r>
              <w:rPr>
                <w:rFonts w:ascii="Times New Roman" w:hAnsi="Times New Roman" w:cs="Times New Roman"/>
              </w:rPr>
              <w:t>排入三亚河。</w:t>
            </w:r>
          </w:p>
          <w:p>
            <w:pPr>
              <w:adjustRightInd w:val="0"/>
              <w:ind w:firstLine="482"/>
              <w:rPr>
                <w:rFonts w:ascii="Times New Roman" w:hAnsi="Times New Roman" w:cs="Times New Roman"/>
                <w:b/>
                <w:bCs/>
              </w:rPr>
            </w:pPr>
            <w:r>
              <w:rPr>
                <w:rFonts w:ascii="Times New Roman" w:hAnsi="Times New Roman" w:cs="Times New Roman"/>
                <w:b/>
                <w:bCs/>
              </w:rPr>
              <w:t>3、路面设计方案</w:t>
            </w:r>
          </w:p>
          <w:p>
            <w:pPr>
              <w:adjustRightInd w:val="0"/>
              <w:ind w:firstLine="482"/>
              <w:rPr>
                <w:rFonts w:ascii="Times New Roman" w:hAnsi="Times New Roman" w:cs="Times New Roman"/>
                <w:b/>
                <w:bCs/>
              </w:rPr>
            </w:pPr>
            <w:r>
              <w:rPr>
                <w:rFonts w:ascii="Times New Roman" w:hAnsi="Times New Roman" w:cs="Times New Roman"/>
                <w:b/>
                <w:bCs/>
              </w:rPr>
              <w:t>（1）路面结构设计</w:t>
            </w:r>
          </w:p>
          <w:p>
            <w:pPr>
              <w:adjustRightInd w:val="0"/>
              <w:ind w:firstLine="480"/>
              <w:rPr>
                <w:rFonts w:ascii="Times New Roman" w:hAnsi="Times New Roman" w:cs="Times New Roman"/>
              </w:rPr>
            </w:pPr>
            <w:r>
              <w:rPr>
                <w:rFonts w:ascii="Times New Roman" w:hAnsi="Times New Roman" w:cs="Times New Roman"/>
              </w:rPr>
              <w:t>本项目改造工程车行道路面结构采用沥青混凝土路面，具体道路路面结构设计见表4。</w:t>
            </w:r>
          </w:p>
          <w:p>
            <w:pPr>
              <w:pStyle w:val="Default"/>
              <w:snapToGrid w:val="0"/>
              <w:jc w:val="center"/>
              <w:rPr>
                <w:rFonts w:ascii="Times New Roman"/>
                <w:b/>
                <w:bCs/>
              </w:rPr>
            </w:pPr>
            <w:r>
              <w:rPr>
                <w:rFonts w:ascii="Times New Roman"/>
                <w:b/>
                <w:bCs/>
              </w:rPr>
              <w:t>表4 路面结构设计</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4535"/>
              <w:gridCol w:w="12"/>
              <w:gridCol w:w="4524"/>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9071" w:type="dxa"/>
                  <w:gridSpan w:val="3"/>
                  <w:noWrap w:val="0"/>
                  <w:vAlign w:val="top"/>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车行道路面结构设计</w:t>
                  </w:r>
                </w:p>
              </w:tc>
            </w:tr>
            <w:tr>
              <w:tblPrEx>
                <w:tblW w:w="0" w:type="auto"/>
                <w:jc w:val="center"/>
                <w:tblLayout w:type="fixed"/>
                <w:tblCellMar>
                  <w:top w:w="0" w:type="dxa"/>
                  <w:left w:w="108" w:type="dxa"/>
                  <w:bottom w:w="0" w:type="dxa"/>
                  <w:right w:w="108" w:type="dxa"/>
                </w:tblCellMar>
              </w:tblPrEx>
              <w:trPr>
                <w:jc w:val="center"/>
              </w:trPr>
              <w:tc>
                <w:tcPr>
                  <w:tcW w:w="4535" w:type="dxa"/>
                  <w:noWrap w:val="0"/>
                  <w:vAlign w:val="top"/>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结构层</w:t>
                  </w:r>
                </w:p>
              </w:tc>
              <w:tc>
                <w:tcPr>
                  <w:tcW w:w="4536" w:type="dxa"/>
                  <w:gridSpan w:val="2"/>
                  <w:noWrap w:val="0"/>
                  <w:vAlign w:val="top"/>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建设材料</w:t>
                  </w:r>
                </w:p>
              </w:tc>
            </w:tr>
            <w:tr>
              <w:tblPrEx>
                <w:tblW w:w="0" w:type="auto"/>
                <w:jc w:val="center"/>
                <w:tblLayout w:type="fixed"/>
                <w:tblCellMar>
                  <w:top w:w="0" w:type="dxa"/>
                  <w:left w:w="108" w:type="dxa"/>
                  <w:bottom w:w="0" w:type="dxa"/>
                  <w:right w:w="108" w:type="dxa"/>
                </w:tblCellMar>
              </w:tblPrEx>
              <w:trPr>
                <w:jc w:val="center"/>
              </w:trPr>
              <w:tc>
                <w:tcPr>
                  <w:tcW w:w="4535"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表面层</w:t>
                  </w:r>
                </w:p>
              </w:tc>
              <w:tc>
                <w:tcPr>
                  <w:tcW w:w="4536"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5cm厚细粒式沥青混凝土</w:t>
                  </w:r>
                </w:p>
              </w:tc>
            </w:tr>
            <w:tr>
              <w:tblPrEx>
                <w:tblW w:w="0" w:type="auto"/>
                <w:jc w:val="center"/>
                <w:tblLayout w:type="fixed"/>
                <w:tblCellMar>
                  <w:top w:w="0" w:type="dxa"/>
                  <w:left w:w="108" w:type="dxa"/>
                  <w:bottom w:w="0" w:type="dxa"/>
                  <w:right w:w="108" w:type="dxa"/>
                </w:tblCellMar>
              </w:tblPrEx>
              <w:trPr>
                <w:jc w:val="center"/>
              </w:trPr>
              <w:tc>
                <w:tcPr>
                  <w:tcW w:w="4535"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中面层</w:t>
                  </w:r>
                </w:p>
              </w:tc>
              <w:tc>
                <w:tcPr>
                  <w:tcW w:w="4536"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7cm厚中粒式沥青混凝土</w:t>
                  </w:r>
                </w:p>
              </w:tc>
            </w:tr>
            <w:tr>
              <w:tblPrEx>
                <w:tblW w:w="0" w:type="auto"/>
                <w:jc w:val="center"/>
                <w:tblLayout w:type="fixed"/>
                <w:tblCellMar>
                  <w:top w:w="0" w:type="dxa"/>
                  <w:left w:w="108" w:type="dxa"/>
                  <w:bottom w:w="0" w:type="dxa"/>
                  <w:right w:w="108" w:type="dxa"/>
                </w:tblCellMar>
              </w:tblPrEx>
              <w:trPr>
                <w:jc w:val="center"/>
              </w:trPr>
              <w:tc>
                <w:tcPr>
                  <w:tcW w:w="4535"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水泥稳定碎石基层</w:t>
                  </w:r>
                </w:p>
              </w:tc>
              <w:tc>
                <w:tcPr>
                  <w:tcW w:w="4536"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32cm水泥稳定碎石</w:t>
                  </w:r>
                </w:p>
              </w:tc>
            </w:tr>
            <w:tr>
              <w:tblPrEx>
                <w:tblW w:w="0" w:type="auto"/>
                <w:jc w:val="center"/>
                <w:tblLayout w:type="fixed"/>
                <w:tblCellMar>
                  <w:top w:w="0" w:type="dxa"/>
                  <w:left w:w="108" w:type="dxa"/>
                  <w:bottom w:w="0" w:type="dxa"/>
                  <w:right w:w="108" w:type="dxa"/>
                </w:tblCellMar>
              </w:tblPrEx>
              <w:trPr>
                <w:jc w:val="center"/>
              </w:trPr>
              <w:tc>
                <w:tcPr>
                  <w:tcW w:w="4535"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底基层</w:t>
                  </w:r>
                </w:p>
              </w:tc>
              <w:tc>
                <w:tcPr>
                  <w:tcW w:w="4536"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20cm级配碎石</w:t>
                  </w:r>
                </w:p>
              </w:tc>
            </w:tr>
            <w:tr>
              <w:tblPrEx>
                <w:tblW w:w="0" w:type="auto"/>
                <w:jc w:val="center"/>
                <w:tblLayout w:type="fixed"/>
                <w:tblCellMar>
                  <w:top w:w="0" w:type="dxa"/>
                  <w:left w:w="108" w:type="dxa"/>
                  <w:bottom w:w="0" w:type="dxa"/>
                  <w:right w:w="108" w:type="dxa"/>
                </w:tblCellMar>
              </w:tblPrEx>
              <w:trPr>
                <w:jc w:val="center"/>
              </w:trPr>
              <w:tc>
                <w:tcPr>
                  <w:tcW w:w="9071" w:type="dxa"/>
                  <w:gridSpan w:val="3"/>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b/>
                      <w:bCs/>
                      <w:sz w:val="21"/>
                    </w:rPr>
                    <w:t>人行道路面结构设计</w:t>
                  </w:r>
                </w:p>
              </w:tc>
            </w:tr>
            <w:tr>
              <w:tblPrEx>
                <w:tblW w:w="0" w:type="auto"/>
                <w:jc w:val="center"/>
                <w:tblLayout w:type="fixed"/>
                <w:tblCellMar>
                  <w:top w:w="0" w:type="dxa"/>
                  <w:left w:w="108" w:type="dxa"/>
                  <w:bottom w:w="0" w:type="dxa"/>
                  <w:right w:w="108" w:type="dxa"/>
                </w:tblCellMar>
              </w:tblPrEx>
              <w:trPr>
                <w:jc w:val="center"/>
              </w:trPr>
              <w:tc>
                <w:tcPr>
                  <w:tcW w:w="4547"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结构层</w:t>
                  </w:r>
                </w:p>
              </w:tc>
              <w:tc>
                <w:tcPr>
                  <w:tcW w:w="4524"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6cm厚水泥混凝土透水砖</w:t>
                  </w:r>
                </w:p>
              </w:tc>
            </w:tr>
            <w:tr>
              <w:tblPrEx>
                <w:tblW w:w="0" w:type="auto"/>
                <w:jc w:val="center"/>
                <w:tblLayout w:type="fixed"/>
                <w:tblCellMar>
                  <w:top w:w="0" w:type="dxa"/>
                  <w:left w:w="108" w:type="dxa"/>
                  <w:bottom w:w="0" w:type="dxa"/>
                  <w:right w:w="108" w:type="dxa"/>
                </w:tblCellMar>
              </w:tblPrEx>
              <w:trPr>
                <w:jc w:val="center"/>
              </w:trPr>
              <w:tc>
                <w:tcPr>
                  <w:tcW w:w="4547"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表面层</w:t>
                  </w:r>
                </w:p>
              </w:tc>
              <w:tc>
                <w:tcPr>
                  <w:tcW w:w="4524"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3cm厚M10干硬性水泥砂浆</w:t>
                  </w:r>
                </w:p>
              </w:tc>
            </w:tr>
            <w:tr>
              <w:tblPrEx>
                <w:tblW w:w="0" w:type="auto"/>
                <w:jc w:val="center"/>
                <w:tblLayout w:type="fixed"/>
                <w:tblCellMar>
                  <w:top w:w="0" w:type="dxa"/>
                  <w:left w:w="108" w:type="dxa"/>
                  <w:bottom w:w="0" w:type="dxa"/>
                  <w:right w:w="108" w:type="dxa"/>
                </w:tblCellMar>
              </w:tblPrEx>
              <w:trPr>
                <w:trHeight w:val="317"/>
                <w:jc w:val="center"/>
              </w:trPr>
              <w:tc>
                <w:tcPr>
                  <w:tcW w:w="4547"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中面层</w:t>
                  </w:r>
                </w:p>
              </w:tc>
              <w:tc>
                <w:tcPr>
                  <w:tcW w:w="4524"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10cm厚透水水泥混凝土</w:t>
                  </w:r>
                </w:p>
              </w:tc>
            </w:tr>
            <w:tr>
              <w:tblPrEx>
                <w:tblW w:w="0" w:type="auto"/>
                <w:jc w:val="center"/>
                <w:tblLayout w:type="fixed"/>
                <w:tblCellMar>
                  <w:top w:w="0" w:type="dxa"/>
                  <w:left w:w="108" w:type="dxa"/>
                  <w:bottom w:w="0" w:type="dxa"/>
                  <w:right w:w="108" w:type="dxa"/>
                </w:tblCellMar>
              </w:tblPrEx>
              <w:trPr>
                <w:jc w:val="center"/>
              </w:trPr>
              <w:tc>
                <w:tcPr>
                  <w:tcW w:w="4547" w:type="dxa"/>
                  <w:gridSpan w:val="2"/>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级配碎石</w:t>
                  </w:r>
                </w:p>
              </w:tc>
              <w:tc>
                <w:tcPr>
                  <w:tcW w:w="4524" w:type="dxa"/>
                  <w:noWrap w:val="0"/>
                  <w:vAlign w:val="top"/>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color w:val="000000"/>
                      <w:sz w:val="21"/>
                    </w:rPr>
                    <w:t>15cm级配碎石</w:t>
                  </w:r>
                </w:p>
              </w:tc>
            </w:tr>
          </w:tbl>
          <w:p>
            <w:pPr>
              <w:ind w:firstLine="482"/>
              <w:rPr>
                <w:rFonts w:ascii="Times New Roman" w:hAnsi="Times New Roman" w:cs="Times New Roman"/>
                <w:b/>
                <w:bCs/>
              </w:rPr>
            </w:pPr>
            <w:r>
              <w:rPr>
                <w:rFonts w:ascii="Times New Roman" w:hAnsi="Times New Roman" w:cs="Times New Roman"/>
                <w:b/>
                <w:bCs/>
              </w:rPr>
              <w:t>（2）交叉路口设计</w:t>
            </w:r>
          </w:p>
          <w:p>
            <w:pPr>
              <w:ind w:firstLine="480"/>
              <w:rPr>
                <w:rFonts w:ascii="Times New Roman" w:hAnsi="Times New Roman" w:cs="Times New Roman"/>
              </w:rPr>
            </w:pPr>
            <w:r>
              <w:rPr>
                <w:rFonts w:ascii="Times New Roman" w:hAnsi="Times New Roman" w:cs="Times New Roman"/>
              </w:rPr>
              <w:t>本次工程共设计2个交叉口，如下表所示：</w:t>
            </w:r>
          </w:p>
          <w:p>
            <w:pPr>
              <w:snapToGrid/>
              <w:spacing w:line="240" w:lineRule="auto"/>
              <w:ind w:firstLine="0" w:firstLineChars="0"/>
              <w:jc w:val="center"/>
              <w:rPr>
                <w:rFonts w:ascii="Times New Roman" w:hAnsi="Times New Roman" w:cs="Times New Roman"/>
                <w:b/>
                <w:bCs/>
              </w:rPr>
            </w:pPr>
            <w:r>
              <w:rPr>
                <w:rFonts w:ascii="Times New Roman" w:hAnsi="Times New Roman" w:cs="Times New Roman"/>
                <w:b/>
                <w:bCs/>
              </w:rPr>
              <w:t>表5 道路交叉口相交形式及控制形式表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
            <w:tblGrid>
              <w:gridCol w:w="629"/>
              <w:gridCol w:w="1430"/>
              <w:gridCol w:w="1852"/>
              <w:gridCol w:w="1148"/>
              <w:gridCol w:w="4012"/>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Ex>
              <w:trPr>
                <w:trHeight w:val="397"/>
                <w:jc w:val="center"/>
              </w:trPr>
              <w:tc>
                <w:tcPr>
                  <w:tcW w:w="629"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序号</w:t>
                  </w:r>
                </w:p>
              </w:tc>
              <w:tc>
                <w:tcPr>
                  <w:tcW w:w="1430"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被交路</w:t>
                  </w:r>
                </w:p>
              </w:tc>
              <w:tc>
                <w:tcPr>
                  <w:tcW w:w="1852"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平面交叉口</w:t>
                  </w:r>
                </w:p>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类型</w:t>
                  </w:r>
                </w:p>
              </w:tc>
              <w:tc>
                <w:tcPr>
                  <w:tcW w:w="1148"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采用型式</w:t>
                  </w:r>
                </w:p>
              </w:tc>
              <w:tc>
                <w:tcPr>
                  <w:tcW w:w="4012"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备注</w:t>
                  </w:r>
                </w:p>
              </w:tc>
            </w:tr>
            <w:tr>
              <w:tblPrEx>
                <w:tblW w:w="0" w:type="auto"/>
                <w:jc w:val="center"/>
                <w:tblLayout w:type="fixed"/>
                <w:tblCellMar>
                  <w:top w:w="0" w:type="dxa"/>
                  <w:left w:w="0" w:type="dxa"/>
                  <w:bottom w:w="0" w:type="dxa"/>
                  <w:right w:w="0" w:type="dxa"/>
                </w:tblCellMar>
              </w:tblPrEx>
              <w:trPr>
                <w:trHeight w:val="397"/>
                <w:jc w:val="center"/>
              </w:trPr>
              <w:tc>
                <w:tcPr>
                  <w:tcW w:w="629"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w:t>
                  </w:r>
                </w:p>
              </w:tc>
              <w:tc>
                <w:tcPr>
                  <w:tcW w:w="1430"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育春路</w:t>
                  </w:r>
                </w:p>
              </w:tc>
              <w:tc>
                <w:tcPr>
                  <w:tcW w:w="1852"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次干道-次干路</w:t>
                  </w:r>
                </w:p>
              </w:tc>
              <w:tc>
                <w:tcPr>
                  <w:tcW w:w="1148"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平A1类</w:t>
                  </w:r>
                </w:p>
              </w:tc>
              <w:tc>
                <w:tcPr>
                  <w:tcW w:w="4012"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交通信号灯控制</w:t>
                  </w:r>
                </w:p>
              </w:tc>
            </w:tr>
            <w:tr>
              <w:tblPrEx>
                <w:tblW w:w="0" w:type="auto"/>
                <w:jc w:val="center"/>
                <w:tblLayout w:type="fixed"/>
                <w:tblCellMar>
                  <w:top w:w="0" w:type="dxa"/>
                  <w:left w:w="0" w:type="dxa"/>
                  <w:bottom w:w="0" w:type="dxa"/>
                  <w:right w:w="0" w:type="dxa"/>
                </w:tblCellMar>
              </w:tblPrEx>
              <w:trPr>
                <w:trHeight w:val="397"/>
                <w:jc w:val="center"/>
              </w:trPr>
              <w:tc>
                <w:tcPr>
                  <w:tcW w:w="629"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w:t>
                  </w:r>
                </w:p>
              </w:tc>
              <w:tc>
                <w:tcPr>
                  <w:tcW w:w="1430"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现状水泥路</w:t>
                  </w:r>
                </w:p>
              </w:tc>
              <w:tc>
                <w:tcPr>
                  <w:tcW w:w="1852"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支路-次干道</w:t>
                  </w:r>
                </w:p>
              </w:tc>
              <w:tc>
                <w:tcPr>
                  <w:tcW w:w="1148"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平B2类</w:t>
                  </w:r>
                </w:p>
              </w:tc>
              <w:tc>
                <w:tcPr>
                  <w:tcW w:w="4012"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减速让行或停车让行标志管制</w:t>
                  </w:r>
                </w:p>
              </w:tc>
            </w:tr>
          </w:tbl>
          <w:p>
            <w:pPr>
              <w:pStyle w:val="Default"/>
              <w:numPr>
                <w:ilvl w:val="0"/>
                <w:numId w:val="26"/>
              </w:numPr>
              <w:snapToGrid w:val="0"/>
              <w:spacing w:line="360" w:lineRule="auto"/>
              <w:ind w:firstLine="480" w:firstLineChars="200"/>
              <w:rPr>
                <w:rFonts w:ascii="Times New Roman"/>
                <w:b/>
                <w:bCs/>
              </w:rPr>
            </w:pPr>
            <w:r>
              <w:rPr>
                <w:rFonts w:ascii="Times New Roman"/>
                <w:b/>
                <w:bCs/>
              </w:rPr>
              <w:t>给排水工程设计方案</w:t>
            </w:r>
          </w:p>
          <w:p>
            <w:pPr>
              <w:adjustRightInd w:val="0"/>
              <w:ind w:firstLine="480"/>
              <w:rPr>
                <w:rFonts w:ascii="Times New Roman" w:hAnsi="Times New Roman" w:cs="Times New Roman"/>
                <w:color w:val="000000"/>
                <w:szCs w:val="24"/>
              </w:rPr>
            </w:pPr>
            <w:r>
              <w:rPr>
                <w:rFonts w:ascii="Times New Roman" w:hAnsi="Times New Roman" w:cs="Times New Roman"/>
                <w:color w:val="000000"/>
                <w:szCs w:val="24"/>
              </w:rPr>
              <w:t>本工程设计给水系统、雨水系统、污水系统。</w:t>
            </w:r>
          </w:p>
          <w:p>
            <w:pPr>
              <w:adjustRightInd w:val="0"/>
              <w:ind w:firstLine="482"/>
              <w:rPr>
                <w:rFonts w:ascii="Times New Roman" w:hAnsi="Times New Roman" w:cs="Times New Roman"/>
                <w:b/>
                <w:bCs/>
              </w:rPr>
            </w:pPr>
            <w:r>
              <w:rPr>
                <w:rFonts w:ascii="Times New Roman" w:hAnsi="Times New Roman" w:cs="Times New Roman"/>
                <w:b/>
                <w:bCs/>
              </w:rPr>
              <w:t>（1）给水工程设计方案</w:t>
            </w:r>
          </w:p>
        </w:tc>
      </w:tr>
    </w:tbl>
    <w:p>
      <w:pPr>
        <w:sectPr>
          <w:headerReference w:type="default" r:id="rId32"/>
          <w:footerReference w:type="default" r:id="rId33"/>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7"/>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p>
            <w:pPr>
              <w:adjustRightInd w:val="0"/>
              <w:ind w:firstLine="480"/>
              <w:rPr>
                <w:rFonts w:ascii="Times New Roman" w:hAnsi="Times New Roman" w:cs="Times New Roman"/>
                <w:color w:val="000000"/>
                <w:szCs w:val="24"/>
              </w:rPr>
            </w:pPr>
            <w:r>
              <w:rPr>
                <w:rFonts w:ascii="Times New Roman" w:hAnsi="Times New Roman" w:cs="Times New Roman"/>
                <w:color w:val="000000"/>
                <w:szCs w:val="24"/>
              </w:rPr>
              <w:t>本项目给水管道拟在新建道路南侧</w:t>
            </w:r>
            <w:r>
              <w:rPr>
                <w:rFonts w:ascii="Times New Roman" w:hAnsi="Times New Roman" w:cs="Times New Roman"/>
              </w:rPr>
              <w:t>K0+262-K0-016段自西向东</w:t>
            </w:r>
            <w:r>
              <w:rPr>
                <w:rFonts w:ascii="Times New Roman" w:hAnsi="Times New Roman" w:cs="Times New Roman"/>
                <w:color w:val="000000"/>
                <w:szCs w:val="24"/>
              </w:rPr>
              <w:t>进行布管，管径为DN200，预留支管管径 DN150，敷设距离道路中心线10m，敷设深度为管顶覆土1.2m，敷设完成后接现状育春路的市政给水管网。</w:t>
            </w:r>
          </w:p>
          <w:p>
            <w:pPr>
              <w:adjustRightInd w:val="0"/>
              <w:ind w:firstLine="482"/>
              <w:rPr>
                <w:rFonts w:ascii="Times New Roman" w:hAnsi="Times New Roman" w:cs="Times New Roman"/>
                <w:b/>
                <w:bCs/>
              </w:rPr>
            </w:pPr>
            <w:r>
              <w:rPr>
                <w:rFonts w:ascii="Times New Roman" w:hAnsi="Times New Roman" w:cs="Times New Roman"/>
                <w:b/>
                <w:bCs/>
              </w:rPr>
              <w:t>（2）排水工程设计方案</w:t>
            </w:r>
          </w:p>
          <w:p>
            <w:pPr>
              <w:adjustRightInd w:val="0"/>
              <w:ind w:firstLine="482"/>
              <w:rPr>
                <w:rFonts w:ascii="Times New Roman" w:hAnsi="Times New Roman" w:cs="Times New Roman"/>
                <w:b/>
                <w:bCs/>
              </w:rPr>
            </w:pPr>
            <w:r>
              <w:rPr>
                <w:rFonts w:ascii="Times New Roman" w:hAnsi="Times New Roman" w:cs="Times New Roman"/>
                <w:b/>
                <w:bCs/>
              </w:rPr>
              <w:t>①排水现状</w:t>
            </w:r>
          </w:p>
          <w:p>
            <w:pPr>
              <w:adjustRightInd w:val="0"/>
              <w:ind w:firstLine="480"/>
              <w:rPr>
                <w:rFonts w:ascii="Times New Roman" w:hAnsi="Times New Roman" w:cs="Times New Roman"/>
              </w:rPr>
            </w:pPr>
            <w:r>
              <w:rPr>
                <w:rFonts w:ascii="Times New Roman" w:hAnsi="Times New Roman" w:cs="Times New Roman"/>
              </w:rPr>
              <w:t>本项目新建道路设计范围内无污水管道、雨水管道、给水管道，</w:t>
            </w:r>
            <w:r>
              <w:rPr>
                <w:rFonts w:ascii="Times New Roman" w:hAnsi="Times New Roman" w:cs="Times New Roman" w:hint="eastAsia"/>
                <w:lang w:val="en-US" w:eastAsia="zh-CN"/>
              </w:rPr>
              <w:t>道</w:t>
            </w:r>
            <w:r>
              <w:rPr>
                <w:rFonts w:ascii="Times New Roman" w:hAnsi="Times New Roman" w:cs="Times New Roman"/>
              </w:rPr>
              <w:t>路两侧有少数居民房；改造道路段现状有雨水管，管径为DN600，管道埋深为3.0米，</w:t>
            </w:r>
            <w:r>
              <w:rPr>
                <w:rFonts w:ascii="Times New Roman" w:hAnsi="Times New Roman" w:cs="Times New Roman" w:hint="eastAsia"/>
                <w:lang w:val="en-US" w:eastAsia="zh-CN"/>
              </w:rPr>
              <w:t>雨水经收集后</w:t>
            </w:r>
            <w:r>
              <w:rPr>
                <w:rFonts w:ascii="Times New Roman" w:hAnsi="Times New Roman" w:cs="Times New Roman"/>
              </w:rPr>
              <w:t>排</w:t>
            </w:r>
            <w:r>
              <w:rPr>
                <w:rFonts w:ascii="Times New Roman" w:hAnsi="Times New Roman" w:cs="Times New Roman" w:hint="eastAsia"/>
                <w:lang w:val="en-US" w:eastAsia="zh-CN"/>
              </w:rPr>
              <w:t>入</w:t>
            </w:r>
            <w:r>
              <w:rPr>
                <w:rFonts w:ascii="Times New Roman" w:hAnsi="Times New Roman" w:cs="Times New Roman"/>
              </w:rPr>
              <w:t>三亚河。</w:t>
            </w:r>
          </w:p>
          <w:p>
            <w:pPr>
              <w:adjustRightInd w:val="0"/>
              <w:ind w:firstLine="482"/>
              <w:rPr>
                <w:rFonts w:ascii="Times New Roman" w:hAnsi="Times New Roman" w:cs="Times New Roman"/>
                <w:b/>
                <w:bCs/>
              </w:rPr>
            </w:pPr>
            <w:r>
              <w:rPr>
                <w:rFonts w:ascii="Times New Roman" w:hAnsi="Times New Roman" w:cs="Times New Roman"/>
                <w:b/>
                <w:bCs/>
              </w:rPr>
              <w:t>②雨水工程</w:t>
            </w:r>
          </w:p>
          <w:p>
            <w:pPr>
              <w:adjustRightInd w:val="0"/>
              <w:ind w:firstLine="480"/>
              <w:rPr>
                <w:rFonts w:ascii="Times New Roman" w:hAnsi="Times New Roman" w:cs="Times New Roman"/>
              </w:rPr>
            </w:pPr>
            <w:r>
              <w:rPr>
                <w:rFonts w:ascii="Times New Roman" w:hAnsi="Times New Roman" w:cs="Times New Roman"/>
              </w:rPr>
              <w:t>项目雨水工程拟在K0+255-K0+000段新建一</w:t>
            </w:r>
            <w:r>
              <w:rPr>
                <w:rFonts w:ascii="Times New Roman" w:hAnsi="Times New Roman" w:cs="Times New Roman" w:hint="eastAsia"/>
                <w:lang w:val="en-US" w:eastAsia="zh-CN"/>
              </w:rPr>
              <w:t>段</w:t>
            </w:r>
            <w:r>
              <w:rPr>
                <w:rFonts w:ascii="Times New Roman" w:hAnsi="Times New Roman" w:cs="Times New Roman"/>
              </w:rPr>
              <w:t>管径为DN1200雨水管，</w:t>
            </w:r>
            <w:r>
              <w:rPr>
                <w:rFonts w:ascii="Times New Roman" w:hAnsi="Times New Roman" w:cs="Times New Roman" w:hint="eastAsia"/>
                <w:lang w:val="en-US" w:eastAsia="zh-CN"/>
              </w:rPr>
              <w:t>拟</w:t>
            </w:r>
            <w:r>
              <w:rPr>
                <w:rFonts w:ascii="Times New Roman" w:hAnsi="Times New Roman" w:cs="Times New Roman"/>
              </w:rPr>
              <w:t>在AK0+211.684-AK0+000段新建一条DN1500雨水管，沿道路北侧自西向东铺设，距道路中心线3.0（6.0）m，</w:t>
            </w:r>
            <w:r>
              <w:rPr>
                <w:rFonts w:ascii="Times New Roman" w:hAnsi="Times New Roman" w:cs="Times New Roman" w:hint="eastAsia"/>
                <w:lang w:val="en-US" w:eastAsia="zh-CN"/>
              </w:rPr>
              <w:t>雨水经收集后</w:t>
            </w:r>
            <w:r>
              <w:rPr>
                <w:rFonts w:ascii="Times New Roman" w:hAnsi="Times New Roman" w:cs="Times New Roman"/>
              </w:rPr>
              <w:t>排</w:t>
            </w:r>
            <w:r>
              <w:rPr>
                <w:rFonts w:ascii="Times New Roman" w:hAnsi="Times New Roman" w:cs="Times New Roman" w:hint="eastAsia"/>
                <w:lang w:val="en-US" w:eastAsia="zh-CN"/>
              </w:rPr>
              <w:t>入</w:t>
            </w:r>
            <w:r>
              <w:rPr>
                <w:rFonts w:ascii="Times New Roman" w:hAnsi="Times New Roman" w:cs="Times New Roman"/>
              </w:rPr>
              <w:t>三亚河。</w:t>
            </w:r>
          </w:p>
          <w:p>
            <w:pPr>
              <w:adjustRightInd w:val="0"/>
              <w:ind w:firstLine="482"/>
              <w:rPr>
                <w:rFonts w:ascii="Times New Roman" w:hAnsi="Times New Roman" w:cs="Times New Roman"/>
                <w:b/>
                <w:bCs/>
              </w:rPr>
            </w:pPr>
            <w:r>
              <w:rPr>
                <w:rFonts w:ascii="Times New Roman" w:hAnsi="Times New Roman" w:cs="Times New Roman"/>
                <w:b/>
                <w:bCs/>
              </w:rPr>
              <w:t>③污水工程</w:t>
            </w:r>
          </w:p>
          <w:p>
            <w:pPr>
              <w:adjustRightInd w:val="0"/>
              <w:ind w:firstLine="480"/>
              <w:rPr>
                <w:rFonts w:ascii="Times New Roman" w:hAnsi="Times New Roman" w:cs="Times New Roman"/>
              </w:rPr>
            </w:pPr>
            <w:r>
              <w:rPr>
                <w:rFonts w:ascii="Times New Roman" w:hAnsi="Times New Roman" w:cs="Times New Roman"/>
              </w:rPr>
              <w:t>项目污水管道拟在K0+255-K0+006段新建一</w:t>
            </w:r>
            <w:r>
              <w:rPr>
                <w:rFonts w:ascii="Times New Roman" w:hAnsi="Times New Roman" w:cs="Times New Roman" w:hint="eastAsia"/>
                <w:lang w:val="en-US" w:eastAsia="zh-CN"/>
              </w:rPr>
              <w:t>段</w:t>
            </w:r>
            <w:r>
              <w:rPr>
                <w:rFonts w:ascii="Times New Roman" w:hAnsi="Times New Roman" w:cs="Times New Roman"/>
              </w:rPr>
              <w:t>管径为DN400的污水管道，沿道路自西向东</w:t>
            </w:r>
            <w:r>
              <w:rPr>
                <w:rFonts w:ascii="Times New Roman" w:hAnsi="Times New Roman" w:cs="Times New Roman" w:hint="eastAsia"/>
                <w:lang w:val="en-US" w:eastAsia="zh-CN"/>
              </w:rPr>
              <w:t>敷设</w:t>
            </w:r>
            <w:r>
              <w:rPr>
                <w:rFonts w:ascii="Times New Roman" w:hAnsi="Times New Roman" w:cs="Times New Roman"/>
              </w:rPr>
              <w:t>，距道路中心3.0（6.0）m，服务范围为道路沿线片区，最终接入育春路现状污水管网。</w:t>
            </w:r>
          </w:p>
          <w:p>
            <w:pPr>
              <w:ind w:firstLine="482"/>
              <w:rPr>
                <w:rFonts w:ascii="Times New Roman" w:hAnsi="Times New Roman" w:cs="Times New Roman"/>
                <w:b/>
                <w:bCs/>
              </w:rPr>
            </w:pPr>
            <w:r>
              <w:rPr>
                <w:rFonts w:ascii="Times New Roman" w:hAnsi="Times New Roman" w:cs="Times New Roman" w:hint="eastAsia"/>
                <w:b/>
                <w:bCs/>
              </w:rPr>
              <w:t>5</w:t>
            </w:r>
            <w:r>
              <w:rPr>
                <w:rFonts w:ascii="Times New Roman" w:hAnsi="Times New Roman" w:cs="Times New Roman"/>
                <w:b/>
                <w:bCs/>
              </w:rPr>
              <w:t>、项目占地及拆迁情况</w:t>
            </w:r>
          </w:p>
          <w:p>
            <w:pPr>
              <w:snapToGrid/>
              <w:ind w:firstLine="482"/>
              <w:rPr>
                <w:rFonts w:ascii="Times New Roman" w:hAnsi="Times New Roman" w:cs="Times New Roman"/>
                <w:b/>
                <w:bCs/>
                <w:szCs w:val="24"/>
              </w:rPr>
            </w:pPr>
            <w:r>
              <w:rPr>
                <w:rFonts w:ascii="Times New Roman" w:hAnsi="Times New Roman" w:cs="Times New Roman"/>
                <w:b/>
                <w:bCs/>
                <w:szCs w:val="24"/>
              </w:rPr>
              <w:t>（1）项目占地</w:t>
            </w:r>
          </w:p>
          <w:p>
            <w:pPr>
              <w:snapToGrid/>
              <w:ind w:firstLine="480"/>
              <w:rPr>
                <w:rFonts w:ascii="Times New Roman" w:hAnsi="Times New Roman" w:cs="Times New Roman"/>
                <w:szCs w:val="24"/>
              </w:rPr>
            </w:pPr>
            <w:r>
              <w:rPr>
                <w:rFonts w:ascii="Times New Roman" w:hAnsi="Times New Roman" w:cs="Times New Roman"/>
                <w:szCs w:val="24"/>
              </w:rPr>
              <w:t>①新建工程占地</w:t>
            </w:r>
          </w:p>
          <w:p>
            <w:pPr>
              <w:pStyle w:val="Default"/>
              <w:spacing w:line="360" w:lineRule="auto"/>
              <w:ind w:firstLine="480" w:firstLineChars="200"/>
              <w:rPr>
                <w:rFonts w:ascii="Times New Roman"/>
              </w:rPr>
            </w:pPr>
            <w:r>
              <w:rPr>
                <w:rFonts w:ascii="Times New Roman"/>
              </w:rPr>
              <w:t>项目新建K0+000-K0+100路段，路宽为2</w:t>
            </w:r>
            <w:r>
              <w:rPr>
                <w:rFonts w:ascii="Times New Roman" w:hint="eastAsia"/>
                <w:lang w:val="en-US" w:eastAsia="zh-CN"/>
              </w:rPr>
              <w:t>4</w:t>
            </w:r>
            <w:r>
              <w:rPr>
                <w:rFonts w:ascii="Times New Roman"/>
              </w:rPr>
              <w:t>m，占地面积为2</w:t>
            </w:r>
            <w:r>
              <w:rPr>
                <w:rFonts w:ascii="Times New Roman" w:hint="eastAsia"/>
                <w:lang w:val="en-US" w:eastAsia="zh-CN"/>
              </w:rPr>
              <w:t>4</w:t>
            </w:r>
            <w:r>
              <w:rPr>
                <w:rFonts w:ascii="Times New Roman"/>
              </w:rPr>
              <w:t>00m</w:t>
            </w:r>
            <w:r>
              <w:rPr>
                <w:rFonts w:ascii="Times New Roman"/>
                <w:vertAlign w:val="superscript"/>
              </w:rPr>
              <w:t>2</w:t>
            </w:r>
            <w:r>
              <w:rPr>
                <w:rFonts w:ascii="Times New Roman"/>
              </w:rPr>
              <w:t>；K0+100-K0+271.287路段，全长</w:t>
            </w:r>
            <w:r>
              <w:rPr>
                <w:rFonts w:ascii="Times New Roman" w:hint="eastAsia"/>
                <w:lang w:val="en-US" w:eastAsia="zh-CN"/>
              </w:rPr>
              <w:t>1</w:t>
            </w:r>
            <w:r>
              <w:rPr>
                <w:rFonts w:ascii="Times New Roman"/>
              </w:rPr>
              <w:t>71.287m，路宽为2</w:t>
            </w:r>
            <w:r>
              <w:rPr>
                <w:rFonts w:ascii="Times New Roman" w:hint="eastAsia"/>
                <w:lang w:val="en-US" w:eastAsia="zh-CN"/>
              </w:rPr>
              <w:t>8</w:t>
            </w:r>
            <w:r>
              <w:rPr>
                <w:rFonts w:ascii="Times New Roman"/>
              </w:rPr>
              <w:t>m，占地面积为</w:t>
            </w:r>
            <w:r>
              <w:rPr>
                <w:rFonts w:ascii="Times New Roman" w:hint="eastAsia"/>
                <w:lang w:val="en-US" w:eastAsia="zh-CN"/>
              </w:rPr>
              <w:t>4796.036</w:t>
            </w:r>
            <w:r>
              <w:rPr>
                <w:rFonts w:ascii="Times New Roman"/>
              </w:rPr>
              <w:t>m</w:t>
            </w:r>
            <w:r>
              <w:rPr>
                <w:rFonts w:ascii="Times New Roman"/>
                <w:vertAlign w:val="superscript"/>
              </w:rPr>
              <w:t>2</w:t>
            </w:r>
            <w:r>
              <w:rPr>
                <w:rFonts w:ascii="Times New Roman"/>
              </w:rPr>
              <w:t>。</w:t>
            </w:r>
          </w:p>
          <w:p>
            <w:pPr>
              <w:snapToGrid/>
              <w:ind w:firstLine="480"/>
              <w:rPr>
                <w:rFonts w:ascii="Times New Roman" w:hAnsi="Times New Roman" w:cs="Times New Roman"/>
              </w:rPr>
            </w:pPr>
            <w:r>
              <w:rPr>
                <w:rFonts w:ascii="Times New Roman" w:hAnsi="Times New Roman" w:cs="Times New Roman"/>
              </w:rPr>
              <w:t>②改造工程占地</w:t>
            </w:r>
          </w:p>
          <w:p>
            <w:pPr>
              <w:pStyle w:val="Default"/>
              <w:spacing w:line="360" w:lineRule="auto"/>
              <w:ind w:firstLine="480" w:firstLineChars="200"/>
              <w:rPr>
                <w:rFonts w:ascii="Times New Roman"/>
              </w:rPr>
            </w:pPr>
            <w:r>
              <w:rPr>
                <w:rFonts w:ascii="Times New Roman"/>
                <w:bCs/>
              </w:rPr>
              <w:t>本项目改造路面工程在AK0+000-AK0+211.684路段加铺沥青混凝土，全长211.684m，</w:t>
            </w:r>
            <w:r>
              <w:rPr>
                <w:rFonts w:ascii="Times New Roman"/>
              </w:rPr>
              <w:t>路宽为23.5m，占地面积为4974.574m</w:t>
            </w:r>
            <w:r>
              <w:rPr>
                <w:rFonts w:ascii="Times New Roman"/>
                <w:vertAlign w:val="superscript"/>
              </w:rPr>
              <w:t>2</w:t>
            </w:r>
            <w:r>
              <w:rPr>
                <w:rFonts w:ascii="Times New Roman"/>
              </w:rPr>
              <w:t>。</w:t>
            </w:r>
          </w:p>
          <w:p>
            <w:pPr>
              <w:ind w:firstLine="482"/>
              <w:rPr>
                <w:rFonts w:ascii="Times New Roman" w:hAnsi="Times New Roman" w:cs="Times New Roman"/>
                <w:b/>
                <w:bCs/>
                <w:szCs w:val="24"/>
              </w:rPr>
            </w:pPr>
            <w:r>
              <w:rPr>
                <w:rFonts w:ascii="Times New Roman" w:hAnsi="Times New Roman" w:cs="Times New Roman"/>
                <w:b/>
                <w:bCs/>
                <w:szCs w:val="24"/>
              </w:rPr>
              <w:t>（2）征地拆迁</w:t>
            </w:r>
          </w:p>
          <w:p>
            <w:pPr>
              <w:adjustRightInd w:val="0"/>
              <w:ind w:firstLine="480"/>
              <w:rPr>
                <w:rFonts w:ascii="Times New Roman" w:hAnsi="Times New Roman" w:cs="Times New Roman"/>
              </w:rPr>
            </w:pPr>
            <w:r>
              <w:rPr>
                <w:rFonts w:ascii="Times New Roman" w:hAnsi="Times New Roman" w:cs="Times New Roman"/>
              </w:rPr>
              <w:t>项目新建道路区域范围内，现状</w:t>
            </w:r>
            <w:r>
              <w:rPr>
                <w:rFonts w:ascii="Times New Roman" w:hAnsi="Times New Roman" w:cs="Times New Roman" w:hint="eastAsia"/>
                <w:lang w:val="en-US" w:eastAsia="zh-CN"/>
              </w:rPr>
              <w:t>环境</w:t>
            </w:r>
            <w:r>
              <w:rPr>
                <w:rFonts w:ascii="Times New Roman" w:hAnsi="Times New Roman" w:cs="Times New Roman"/>
              </w:rPr>
              <w:t>存在建筑物、瓜蔬种植地、林树</w:t>
            </w:r>
            <w:r>
              <w:rPr>
                <w:rFonts w:ascii="Times New Roman" w:hAnsi="Times New Roman" w:cs="Times New Roman" w:hint="eastAsia"/>
              </w:rPr>
              <w:t>等需拆迁，</w:t>
            </w:r>
            <w:r>
              <w:rPr>
                <w:rFonts w:ascii="Times New Roman" w:hAnsi="Times New Roman" w:cs="Times New Roman"/>
              </w:rPr>
              <w:t>拆迁工程由天涯区人民政府组织进行，</w:t>
            </w:r>
            <w:r>
              <w:rPr>
                <w:rFonts w:ascii="Times New Roman" w:hAnsi="Times New Roman" w:cs="Times New Roman" w:hint="eastAsia"/>
              </w:rPr>
              <w:t>不纳入本项目工程</w:t>
            </w:r>
            <w:r>
              <w:rPr>
                <w:rFonts w:ascii="Times New Roman" w:hAnsi="Times New Roman" w:cs="Times New Roman"/>
              </w:rPr>
              <w:t>。</w:t>
            </w:r>
          </w:p>
          <w:p>
            <w:pPr>
              <w:ind w:firstLine="482"/>
              <w:rPr>
                <w:rFonts w:ascii="Times New Roman" w:hAnsi="Times New Roman" w:cs="Times New Roman"/>
                <w:b/>
                <w:bCs/>
              </w:rPr>
            </w:pPr>
            <w:r>
              <w:rPr>
                <w:rFonts w:ascii="Times New Roman" w:hAnsi="Times New Roman" w:cs="Times New Roman" w:hint="eastAsia"/>
                <w:b/>
                <w:bCs/>
              </w:rPr>
              <w:t>6</w:t>
            </w:r>
            <w:r>
              <w:rPr>
                <w:rFonts w:ascii="Times New Roman" w:hAnsi="Times New Roman" w:cs="Times New Roman"/>
                <w:b/>
                <w:bCs/>
              </w:rPr>
              <w:t>、工期安排</w:t>
            </w:r>
          </w:p>
          <w:p>
            <w:pPr>
              <w:ind w:firstLine="480"/>
              <w:rPr>
                <w:rFonts w:ascii="Times New Roman" w:hAnsi="Times New Roman" w:cs="Times New Roman"/>
                <w:szCs w:val="24"/>
              </w:rPr>
            </w:pPr>
            <w:r>
              <w:rPr>
                <w:rFonts w:ascii="Times New Roman" w:hAnsi="Times New Roman" w:cs="Times New Roman"/>
                <w:szCs w:val="24"/>
              </w:rPr>
              <w:t>本项目建设周期为</w:t>
            </w:r>
            <w:r>
              <w:rPr>
                <w:rFonts w:ascii="Times New Roman" w:hAnsi="Times New Roman" w:cs="Times New Roman" w:hint="eastAsia"/>
                <w:color w:val="000000"/>
                <w:szCs w:val="24"/>
                <w:lang w:val="en-US" w:eastAsia="zh-CN"/>
              </w:rPr>
              <w:t>9个月</w:t>
            </w:r>
            <w:r>
              <w:rPr>
                <w:rFonts w:ascii="Times New Roman" w:hAnsi="Times New Roman" w:cs="Times New Roman"/>
                <w:color w:val="000000"/>
                <w:szCs w:val="24"/>
              </w:rPr>
              <w:t>。</w:t>
            </w:r>
          </w:p>
          <w:p>
            <w:pPr>
              <w:ind w:firstLine="482"/>
              <w:rPr>
                <w:rFonts w:ascii="Times New Roman" w:hAnsi="Times New Roman" w:cs="Times New Roman"/>
                <w:b/>
                <w:bCs/>
              </w:rPr>
            </w:pPr>
            <w:r>
              <w:rPr>
                <w:rFonts w:ascii="Times New Roman" w:hAnsi="Times New Roman" w:cs="Times New Roman" w:hint="eastAsia"/>
                <w:b/>
                <w:bCs/>
              </w:rPr>
              <w:t>7</w:t>
            </w:r>
            <w:r>
              <w:rPr>
                <w:rFonts w:ascii="Times New Roman" w:hAnsi="Times New Roman" w:cs="Times New Roman"/>
                <w:b/>
                <w:bCs/>
              </w:rPr>
              <w:t>、施工方式</w:t>
            </w:r>
          </w:p>
          <w:p>
            <w:pPr>
              <w:ind w:firstLine="480"/>
              <w:rPr>
                <w:rFonts w:ascii="Times New Roman" w:hAnsi="Times New Roman" w:cs="Times New Roman"/>
              </w:rPr>
            </w:pPr>
            <w:r>
              <w:rPr>
                <w:rFonts w:ascii="Times New Roman" w:hAnsi="Times New Roman" w:cs="Times New Roman"/>
              </w:rPr>
              <w:t>为了减少对周边居民交通出行的影响，结合周边道路路网分布，本项目</w:t>
            </w:r>
            <w:r>
              <w:rPr>
                <w:rFonts w:ascii="Times New Roman" w:hAnsi="Times New Roman" w:cs="Times New Roman" w:hint="eastAsia"/>
              </w:rPr>
              <w:t>新建工程采用“全封闭”的施工方式；改造工程</w:t>
            </w:r>
            <w:r>
              <w:rPr>
                <w:rFonts w:ascii="Times New Roman" w:hAnsi="Times New Roman" w:cs="Times New Roman"/>
              </w:rPr>
              <w:t>施工采用“分段半幅封闭施工，半幅双向通行”的施工方式。</w:t>
            </w:r>
          </w:p>
        </w:tc>
      </w:tr>
    </w:tbl>
    <w:p>
      <w:pPr>
        <w:sectPr>
          <w:headerReference w:type="default" r:id="rId34"/>
          <w:footerReference w:type="default" r:id="rId35"/>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8"/>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10046" w:type="dxa"/>
            <w:tcBorders>
              <w:bottom w:val="single" w:sz="6"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482"/>
              <w:textAlignment w:val="auto"/>
              <w:rPr>
                <w:rFonts w:ascii="Times New Roman" w:hAnsi="Times New Roman" w:cs="Times New Roman" w:hint="default"/>
                <w:b/>
                <w:bCs/>
              </w:rPr>
            </w:pPr>
            <w:r>
              <w:rPr>
                <w:rFonts w:ascii="Times New Roman" w:hAnsi="Times New Roman" w:cs="Times New Roman" w:hint="default"/>
                <w:b/>
                <w:bCs/>
              </w:rPr>
              <w:t>8、项目选址合理性分析</w:t>
            </w:r>
          </w:p>
          <w:p>
            <w:pPr>
              <w:keepNext w:val="0"/>
              <w:keepLines w:val="0"/>
              <w:pageBreakBefore w:val="0"/>
              <w:widowControl w:val="0"/>
              <w:kinsoku/>
              <w:wordWrap/>
              <w:overflowPunct/>
              <w:topLinePunct w:val="0"/>
              <w:autoSpaceDE/>
              <w:autoSpaceDN/>
              <w:bidi w:val="0"/>
              <w:adjustRightInd w:val="0"/>
              <w:snapToGrid w:val="0"/>
              <w:ind w:firstLine="482"/>
              <w:textAlignment w:val="auto"/>
              <w:rPr>
                <w:rFonts w:ascii="Times New Roman" w:hAnsi="Times New Roman" w:cs="Times New Roman" w:hint="default"/>
                <w:b/>
                <w:bCs/>
              </w:rPr>
            </w:pPr>
            <w:r>
              <w:rPr>
                <w:rFonts w:ascii="Times New Roman" w:hAnsi="Times New Roman" w:cs="Times New Roman" w:hint="default"/>
                <w:b/>
                <w:bCs/>
              </w:rPr>
              <w:t>（1）产业政策合理性分析</w:t>
            </w:r>
          </w:p>
          <w:p>
            <w:pPr>
              <w:keepNext w:val="0"/>
              <w:keepLines w:val="0"/>
              <w:pageBreakBefore w:val="0"/>
              <w:widowControl w:val="0"/>
              <w:kinsoku/>
              <w:wordWrap/>
              <w:overflowPunct/>
              <w:topLinePunct w:val="0"/>
              <w:autoSpaceDE/>
              <w:autoSpaceDN/>
              <w:bidi w:val="0"/>
              <w:adjustRightInd w:val="0"/>
              <w:snapToGrid w:val="0"/>
              <w:ind w:firstLine="480"/>
              <w:textAlignment w:val="auto"/>
              <w:rPr>
                <w:rFonts w:ascii="Times New Roman" w:hAnsi="Times New Roman" w:cs="Times New Roman" w:hint="default"/>
              </w:rPr>
            </w:pPr>
            <w:r>
              <w:rPr>
                <w:rFonts w:ascii="Times New Roman" w:hAnsi="Times New Roman" w:cs="Times New Roman" w:hint="default"/>
              </w:rPr>
              <w:t>根据《产业结构调整目录（2019年本）》，本项目为城市基础设施中的城市道路建设，属于“鼓励类”中的二十二大类中的“4、城市道路及只能交通体系建设”，该项目属于国家鼓励发展类项目。所以本项目的建设是符合国家产业政策的。</w:t>
            </w:r>
          </w:p>
          <w:p>
            <w:pPr>
              <w:pStyle w:val="3"/>
              <w:keepNext w:val="0"/>
              <w:keepLines w:val="0"/>
              <w:pageBreakBefore w:val="0"/>
              <w:widowControl w:val="0"/>
              <w:tabs>
                <w:tab w:val="left" w:pos="360"/>
              </w:tabs>
              <w:kinsoku/>
              <w:wordWrap/>
              <w:overflowPunct/>
              <w:topLinePunct w:val="0"/>
              <w:autoSpaceDE/>
              <w:autoSpaceDN/>
              <w:bidi w:val="0"/>
              <w:adjustRightInd w:val="0"/>
              <w:snapToGrid w:val="0"/>
              <w:spacing w:before="0" w:beforeLines="0" w:beforeAutospacing="0" w:after="0" w:afterLines="0" w:afterAutospacing="0" w:line="360" w:lineRule="auto"/>
              <w:ind w:firstLine="480" w:firstLineChars="200"/>
              <w:textAlignment w:val="auto"/>
              <w:rPr>
                <w:rFonts w:ascii="Times New Roman" w:eastAsia="宋体" w:hAnsi="Times New Roman" w:cs="Times New Roman" w:hint="default"/>
                <w:b w:val="0"/>
                <w:kern w:val="2"/>
              </w:rPr>
            </w:pPr>
            <w:r>
              <w:rPr>
                <w:rFonts w:ascii="Times New Roman" w:eastAsia="宋体" w:hAnsi="Times New Roman" w:cs="Times New Roman" w:hint="default"/>
                <w:b w:val="0"/>
                <w:kern w:val="2"/>
              </w:rPr>
              <w:t>根据《海南省产业准入禁止限制目录（2019年版）》，本项目为市政道路工程项目，不属于“禁止类和限制类”，因此项目符合海南省准入产业。</w:t>
            </w:r>
          </w:p>
          <w:p>
            <w:pPr>
              <w:keepNext w:val="0"/>
              <w:keepLines w:val="0"/>
              <w:pageBreakBefore w:val="0"/>
              <w:widowControl w:val="0"/>
              <w:kinsoku/>
              <w:wordWrap/>
              <w:overflowPunct/>
              <w:topLinePunct w:val="0"/>
              <w:autoSpaceDE/>
              <w:autoSpaceDN/>
              <w:bidi w:val="0"/>
              <w:adjustRightInd w:val="0"/>
              <w:snapToGrid w:val="0"/>
              <w:ind w:firstLine="482"/>
              <w:textAlignment w:val="auto"/>
              <w:rPr>
                <w:rFonts w:ascii="Times New Roman" w:hAnsi="Times New Roman" w:cs="Times New Roman" w:hint="default"/>
                <w:b/>
                <w:bCs/>
              </w:rPr>
            </w:pPr>
            <w:r>
              <w:rPr>
                <w:rFonts w:ascii="Times New Roman" w:hAnsi="Times New Roman" w:cs="Times New Roman" w:hint="default"/>
                <w:b/>
                <w:bCs/>
              </w:rPr>
              <w:t>（2）与《三亚市总体规划（空间类2015-2030年）局部图》相符性分析</w:t>
            </w:r>
          </w:p>
          <w:p>
            <w:pPr>
              <w:keepNext w:val="0"/>
              <w:keepLines w:val="0"/>
              <w:pageBreakBefore w:val="0"/>
              <w:widowControl w:val="0"/>
              <w:kinsoku/>
              <w:wordWrap/>
              <w:overflowPunct/>
              <w:topLinePunct w:val="0"/>
              <w:autoSpaceDE/>
              <w:autoSpaceDN/>
              <w:bidi w:val="0"/>
              <w:adjustRightInd w:val="0"/>
              <w:snapToGrid w:val="0"/>
              <w:ind w:firstLine="480"/>
              <w:textAlignment w:val="auto"/>
              <w:rPr>
                <w:rFonts w:ascii="Times New Roman" w:hAnsi="Times New Roman" w:cs="Times New Roman" w:hint="default"/>
              </w:rPr>
            </w:pPr>
            <w:r>
              <w:rPr>
                <w:rFonts w:ascii="Times New Roman" w:hAnsi="Times New Roman" w:cs="Times New Roman" w:hint="eastAsia"/>
                <w:lang w:val="en-US" w:eastAsia="zh-CN"/>
              </w:rPr>
              <w:t>根</w:t>
            </w:r>
            <w:r>
              <w:rPr>
                <w:rFonts w:ascii="Times New Roman" w:hAnsi="Times New Roman" w:cs="Times New Roman" w:hint="default"/>
              </w:rPr>
              <w:t>据《三亚市总体规划（空间类2015-2030年）局部图》，本项目性质为“公路用地”，本项目新建道路沿《三亚市总体规划（空间类2015-2030年）局部图》中的“公路用地”进行建设，因此，本项目与《</w:t>
            </w:r>
            <w:r>
              <w:rPr>
                <w:rFonts w:ascii="Times New Roman" w:hAnsi="Times New Roman" w:cs="Times New Roman" w:hint="default"/>
                <w:b/>
                <w:bCs/>
              </w:rPr>
              <w:t>三亚市总体规划（空间类2015-2030年）局部图</w:t>
            </w:r>
            <w:r>
              <w:rPr>
                <w:rFonts w:ascii="Times New Roman" w:hAnsi="Times New Roman" w:cs="Times New Roman" w:hint="default"/>
              </w:rPr>
              <w:t>》是相符的（详见附图3）。</w:t>
            </w:r>
          </w:p>
          <w:p>
            <w:pPr>
              <w:keepNext w:val="0"/>
              <w:keepLines w:val="0"/>
              <w:pageBreakBefore w:val="0"/>
              <w:widowControl w:val="0"/>
              <w:kinsoku/>
              <w:wordWrap/>
              <w:overflowPunct/>
              <w:topLinePunct w:val="0"/>
              <w:autoSpaceDE/>
              <w:autoSpaceDN/>
              <w:bidi w:val="0"/>
              <w:adjustRightInd w:val="0"/>
              <w:snapToGrid w:val="0"/>
              <w:ind w:firstLine="482"/>
              <w:textAlignment w:val="auto"/>
              <w:rPr>
                <w:rFonts w:ascii="Times New Roman" w:hAnsi="Times New Roman" w:cs="Times New Roman" w:hint="default"/>
                <w:b/>
                <w:bCs/>
              </w:rPr>
            </w:pPr>
            <w:r>
              <w:rPr>
                <w:rFonts w:ascii="Times New Roman" w:hAnsi="Times New Roman" w:cs="Times New Roman" w:hint="default"/>
                <w:b/>
                <w:bCs/>
              </w:rPr>
              <w:t>（3）与海南省生态保护红线相符性分析</w:t>
            </w:r>
          </w:p>
          <w:p>
            <w:pPr>
              <w:keepNext w:val="0"/>
              <w:keepLines w:val="0"/>
              <w:pageBreakBefore w:val="0"/>
              <w:widowControl w:val="0"/>
              <w:kinsoku/>
              <w:wordWrap/>
              <w:overflowPunct/>
              <w:topLinePunct w:val="0"/>
              <w:autoSpaceDE/>
              <w:autoSpaceDN/>
              <w:bidi w:val="0"/>
              <w:adjustRightInd w:val="0"/>
              <w:snapToGrid w:val="0"/>
              <w:ind w:firstLine="481"/>
              <w:textAlignment w:val="auto"/>
              <w:rPr>
                <w:rFonts w:ascii="Times New Roman" w:hAnsi="Times New Roman" w:cs="Times New Roman" w:hint="default"/>
              </w:rPr>
            </w:pPr>
            <w:r>
              <w:rPr>
                <w:rFonts w:ascii="Times New Roman" w:hAnsi="Times New Roman" w:cs="Times New Roman" w:hint="default"/>
              </w:rPr>
              <w:t>根据</w:t>
            </w:r>
            <w:r>
              <w:rPr>
                <w:rFonts w:ascii="Times New Roman" w:hAnsi="Times New Roman" w:cs="Times New Roman" w:hint="default"/>
                <w:sz w:val="24"/>
              </w:rPr>
              <w:t>海南省自然资源和规划厅的海南省生态保护红线发布系统</w:t>
            </w:r>
            <w:r>
              <w:rPr>
                <w:rFonts w:ascii="Times New Roman" w:hAnsi="Times New Roman" w:cs="Times New Roman" w:hint="default"/>
              </w:rPr>
              <w:t>，本项目所在位置不占用Ⅰ类红线区、Ⅱ类红线区，本项目</w:t>
            </w:r>
            <w:r>
              <w:rPr>
                <w:rFonts w:ascii="Times New Roman" w:hAnsi="Times New Roman" w:cs="Times New Roman" w:hint="default"/>
                <w:lang w:val="en-US" w:eastAsia="zh-CN"/>
              </w:rPr>
              <w:t>距离</w:t>
            </w:r>
            <w:r>
              <w:rPr>
                <w:rFonts w:ascii="Times New Roman" w:hAnsi="Times New Roman" w:cs="Times New Roman" w:hint="default"/>
              </w:rPr>
              <w:t>Ⅰ类红线</w:t>
            </w:r>
            <w:r>
              <w:rPr>
                <w:rFonts w:ascii="Times New Roman" w:hAnsi="Times New Roman" w:cs="Times New Roman" w:hint="default"/>
                <w:lang w:val="en-US" w:eastAsia="zh-CN"/>
              </w:rPr>
              <w:t>区最近距离</w:t>
            </w:r>
            <w:r>
              <w:rPr>
                <w:rFonts w:ascii="Times New Roman" w:hAnsi="Times New Roman" w:cs="Times New Roman" w:hint="default"/>
              </w:rPr>
              <w:t>约1.9km，因此</w:t>
            </w:r>
            <w:r>
              <w:rPr>
                <w:rFonts w:ascii="Times New Roman" w:hAnsi="Times New Roman" w:cs="Times New Roman" w:hint="default"/>
                <w:color w:val="000000"/>
                <w:sz w:val="24"/>
              </w:rPr>
              <w:t>项目建设符合《海南省生态保护红线管理规定》</w:t>
            </w:r>
            <w:r>
              <w:rPr>
                <w:rFonts w:ascii="Times New Roman" w:hAnsi="Times New Roman" w:cs="Times New Roman" w:hint="default"/>
              </w:rPr>
              <w:t>（详见附图4）。</w:t>
            </w:r>
          </w:p>
          <w:p>
            <w:pPr>
              <w:keepNext w:val="0"/>
              <w:keepLines w:val="0"/>
              <w:pageBreakBefore w:val="0"/>
              <w:widowControl w:val="0"/>
              <w:kinsoku/>
              <w:wordWrap/>
              <w:overflowPunct/>
              <w:topLinePunct w:val="0"/>
              <w:autoSpaceDE/>
              <w:autoSpaceDN/>
              <w:bidi w:val="0"/>
              <w:adjustRightInd w:val="0"/>
              <w:snapToGrid w:val="0"/>
              <w:ind w:firstLine="480"/>
              <w:textAlignment w:val="auto"/>
              <w:rPr>
                <w:rFonts w:ascii="Times New Roman" w:hAnsi="Times New Roman" w:cs="Times New Roman"/>
                <w:szCs w:val="24"/>
              </w:rPr>
            </w:pPr>
            <w:r>
              <w:rPr>
                <w:rFonts w:ascii="Times New Roman" w:hAnsi="Times New Roman" w:cs="Times New Roman" w:hint="default"/>
              </w:rPr>
              <w:t xml:space="preserve">  </w:t>
            </w:r>
            <w:r>
              <w:rPr>
                <w:rFonts w:ascii="Times New Roman" w:hAnsi="Times New Roman" w:cs="Times New Roman"/>
              </w:rPr>
              <w:br/>
            </w:r>
          </w:p>
        </w:tc>
      </w:tr>
    </w:tbl>
    <w:p>
      <w:pPr>
        <w:spacing w:before="120" w:beforeLines="50" w:after="120" w:afterLines="50" w:line="240" w:lineRule="exact"/>
        <w:ind w:right="122" w:firstLine="482" w:rightChars="51"/>
        <w:rPr>
          <w:rFonts w:ascii="Times New Roman" w:hAnsi="Times New Roman" w:cs="Times New Roman"/>
          <w:b/>
          <w:bCs/>
        </w:rPr>
        <w:sectPr>
          <w:headerReference w:type="default" r:id="rId36"/>
          <w:footerReference w:type="default" r:id="rId37"/>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9"/>
          <w:cols w:num="1" w:space="720"/>
          <w:titlePg w:val="0"/>
          <w:docGrid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04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13"/>
          <w:jc w:val="center"/>
        </w:trPr>
        <w:tc>
          <w:tcPr>
            <w:tcW w:w="10046" w:type="dxa"/>
            <w:tcBorders>
              <w:top w:val="single" w:sz="6" w:space="0" w:color="auto"/>
            </w:tcBorders>
            <w:noWrap w:val="0"/>
            <w:vAlign w:val="top"/>
          </w:tcPr>
          <w:p>
            <w:pPr>
              <w:spacing w:before="120" w:beforeLines="50" w:after="120" w:afterLines="50" w:line="240" w:lineRule="exact"/>
              <w:ind w:right="122" w:firstLine="0" w:rightChars="51" w:firstLineChars="0"/>
              <w:rPr>
                <w:rFonts w:ascii="Times New Roman" w:hAnsi="Times New Roman" w:cs="Times New Roman"/>
                <w:b/>
                <w:bCs/>
                <w:sz w:val="28"/>
                <w:szCs w:val="28"/>
              </w:rPr>
            </w:pPr>
            <w:r>
              <w:rPr>
                <w:rFonts w:ascii="Times New Roman" w:hAnsi="Times New Roman" w:cs="Times New Roman"/>
                <w:b/>
                <w:bCs/>
                <w:sz w:val="28"/>
                <w:szCs w:val="28"/>
              </w:rPr>
              <w:t>与本项目有关的原有污染情况及主要环境问题：</w:t>
            </w:r>
          </w:p>
          <w:p>
            <w:pPr>
              <w:adjustRightInd w:val="0"/>
              <w:ind w:firstLine="482"/>
              <w:rPr>
                <w:b/>
                <w:bCs/>
              </w:rPr>
            </w:pPr>
            <w:r>
              <w:rPr>
                <w:rFonts w:hint="eastAsia"/>
                <w:b/>
                <w:bCs/>
              </w:rPr>
              <w:t>一、现状排查</w:t>
            </w:r>
          </w:p>
          <w:p>
            <w:pPr>
              <w:adjustRightInd w:val="0"/>
              <w:ind w:firstLine="480"/>
            </w:pPr>
            <w:r>
              <w:t>本项目为</w:t>
            </w:r>
            <w:r>
              <w:rPr>
                <w:rFonts w:hint="eastAsia"/>
              </w:rPr>
              <w:t>市政道路工程</w:t>
            </w:r>
            <w:r>
              <w:t>项目，</w:t>
            </w:r>
            <w:r>
              <w:rPr>
                <w:rFonts w:hint="eastAsia"/>
              </w:rPr>
              <w:t>项目</w:t>
            </w:r>
            <w:r>
              <w:t>现状环境有</w:t>
            </w:r>
            <w:r>
              <w:rPr>
                <w:rFonts w:hint="eastAsia"/>
              </w:rPr>
              <w:t>菜地</w:t>
            </w:r>
            <w:r>
              <w:t>及少数砼房、同心家园六期住宅小区，还有人工绿化景观，没有野生珍稀植物。新建道路所在区域</w:t>
            </w:r>
            <w:r>
              <w:rPr>
                <w:rFonts w:hint="eastAsia"/>
              </w:rPr>
              <w:t>的现状建筑物、林树等需要拆除</w:t>
            </w:r>
            <w:r>
              <w:t>，拆迁工程由天涯区</w:t>
            </w:r>
            <w:r>
              <w:rPr>
                <w:rFonts w:hint="eastAsia"/>
              </w:rPr>
              <w:t>人民</w:t>
            </w:r>
            <w:r>
              <w:t>政府组织进行</w:t>
            </w:r>
            <w:r>
              <w:rPr>
                <w:rFonts w:hint="eastAsia"/>
              </w:rPr>
              <w:t>，不纳入本项目工程</w:t>
            </w:r>
            <w:r>
              <w:t>。</w:t>
            </w:r>
            <w:r>
              <w:rPr>
                <w:rFonts w:hint="eastAsia"/>
              </w:rPr>
              <w:t>现状存在的问题主要来源如下：</w:t>
            </w:r>
          </w:p>
          <w:p>
            <w:pPr>
              <w:snapToGrid/>
              <w:ind w:firstLine="480"/>
              <w:textAlignment w:val="baseline"/>
            </w:pPr>
            <w:r>
              <w:t>1、噪声污染源</w:t>
            </w:r>
          </w:p>
          <w:p>
            <w:pPr>
              <w:pStyle w:val="Default"/>
              <w:spacing w:line="360" w:lineRule="auto"/>
              <w:ind w:firstLine="480" w:firstLineChars="200"/>
            </w:pPr>
            <w:r>
              <w:t xml:space="preserve"> 噪声污染源主要是现状育春路上行驶的汽车发动机产生的噪声。</w:t>
            </w:r>
          </w:p>
          <w:p>
            <w:pPr>
              <w:snapToGrid/>
              <w:ind w:firstLine="480"/>
              <w:textAlignment w:val="baseline"/>
            </w:pPr>
            <w:r>
              <w:t>2、大气污染源</w:t>
            </w:r>
          </w:p>
          <w:p>
            <w:pPr>
              <w:snapToGrid/>
              <w:ind w:firstLine="480"/>
            </w:pPr>
            <w:r>
              <w:t>大气污染源主要是现状育春路上行驶的汽车产生的尾气。</w:t>
            </w:r>
          </w:p>
          <w:p>
            <w:pPr>
              <w:numPr>
                <w:ilvl w:val="0"/>
                <w:numId w:val="18"/>
              </w:numPr>
              <w:snapToGrid/>
              <w:ind w:firstLine="480"/>
              <w:textAlignment w:val="baseline"/>
            </w:pPr>
            <w:r>
              <w:t>水环境污染源</w:t>
            </w:r>
          </w:p>
          <w:p>
            <w:pPr>
              <w:snapToGrid/>
              <w:ind w:firstLine="480"/>
            </w:pPr>
            <w:r>
              <w:t>主要是项目新建道路区域内居民</w:t>
            </w:r>
            <w:r>
              <w:rPr>
                <w:rFonts w:hint="eastAsia"/>
              </w:rPr>
              <w:t>及改造道路区域内同心家园六期北区、南区</w:t>
            </w:r>
            <w:r>
              <w:t>产生的生活污水。</w:t>
            </w:r>
            <w:r>
              <w:rPr>
                <w:rFonts w:hint="eastAsia"/>
              </w:rPr>
              <w:t>同心家园六期北区、南区生活污水自北向南接入育春路现状污水管网；新建道路现状区域内无污水管网、雨水管网。</w:t>
            </w:r>
          </w:p>
          <w:p>
            <w:pPr>
              <w:pStyle w:val="Default"/>
              <w:spacing w:line="360" w:lineRule="auto"/>
              <w:ind w:firstLine="480" w:firstLineChars="200"/>
            </w:pPr>
            <w:r>
              <w:t>4、固体废物污染源</w:t>
            </w:r>
          </w:p>
          <w:p>
            <w:pPr>
              <w:snapToGrid/>
              <w:ind w:firstLine="480"/>
            </w:pPr>
            <w:r>
              <w:t>主要是项目区域中居民产生的生活垃圾。由环卫部门统一收集处理。</w:t>
            </w:r>
          </w:p>
          <w:p>
            <w:pPr>
              <w:pStyle w:val="Default"/>
              <w:numPr>
                <w:ilvl w:val="0"/>
                <w:numId w:val="19"/>
              </w:numPr>
              <w:spacing w:line="360" w:lineRule="auto"/>
              <w:ind w:firstLine="480" w:firstLineChars="200"/>
              <w:jc w:val="both"/>
              <w:rPr>
                <w:rFonts w:hint="eastAsia"/>
              </w:rPr>
            </w:pPr>
            <w:r>
              <w:rPr>
                <w:rFonts w:hint="eastAsia"/>
                <w:b/>
                <w:bCs/>
              </w:rPr>
              <w:t xml:space="preserve">整改措施  </w:t>
            </w:r>
            <w:r>
              <w:rPr>
                <w:rFonts w:hint="eastAsia"/>
              </w:rPr>
              <w:t xml:space="preserve">   </w:t>
            </w:r>
          </w:p>
          <w:p>
            <w:pPr>
              <w:pStyle w:val="Default"/>
              <w:spacing w:line="360" w:lineRule="auto"/>
              <w:ind w:firstLine="480" w:firstLineChars="200"/>
              <w:jc w:val="both"/>
              <w:rPr>
                <w:rFonts w:ascii="Times New Roman" w:hint="eastAsia"/>
              </w:rPr>
            </w:pPr>
            <w:r>
              <w:rPr>
                <w:rFonts w:ascii="Times New Roman" w:hint="eastAsia"/>
              </w:rPr>
              <w:t>1、声环境、大气环境</w:t>
            </w:r>
          </w:p>
          <w:p>
            <w:pPr>
              <w:pStyle w:val="Default"/>
              <w:spacing w:line="360" w:lineRule="auto"/>
              <w:ind w:firstLine="480" w:firstLineChars="200"/>
              <w:jc w:val="both"/>
              <w:rPr>
                <w:rFonts w:ascii="Times New Roman" w:hint="eastAsia"/>
                <w:color w:val="auto"/>
              </w:rPr>
            </w:pPr>
            <w:r>
              <w:rPr>
                <w:rFonts w:ascii="Times New Roman" w:hint="eastAsia"/>
                <w:color w:val="auto"/>
              </w:rPr>
              <w:t>通过本次道路的改建，将对损坏的路面、路基进行修建，改造路面厚度不足等问题，加强道路交通管理。针对沉陷、拥包、坑槽等路面病害，本项目将对其路面进行改造及修复，增加行车的舒适性，减少因路面损坏而增加噪声污染与路面扬尘等的影响，并且在本项目营运期敏感目标处增加绿化种植以期进一步减少噪声对周边敏感点的影响。本项目将全线改为铺设沥青混凝土路面，会大大降低汽车行进过程中的胎噪，道路噪声污染问题将得到一定程度的缓解。</w:t>
            </w:r>
          </w:p>
          <w:p>
            <w:pPr>
              <w:pStyle w:val="Default"/>
              <w:spacing w:line="360" w:lineRule="auto"/>
              <w:ind w:firstLine="480" w:firstLineChars="200"/>
              <w:jc w:val="both"/>
              <w:rPr>
                <w:rFonts w:ascii="Times New Roman"/>
                <w:b/>
                <w:bCs/>
                <w:color w:val="auto"/>
              </w:rPr>
            </w:pPr>
            <w:r>
              <w:rPr>
                <w:rFonts w:ascii="Times New Roman" w:hint="eastAsia"/>
                <w:b/>
                <w:bCs/>
                <w:color w:val="auto"/>
              </w:rPr>
              <w:t>2、水环境</w:t>
            </w:r>
          </w:p>
          <w:p>
            <w:pPr>
              <w:pStyle w:val="Default"/>
              <w:spacing w:line="360" w:lineRule="auto"/>
              <w:ind w:firstLine="480"/>
              <w:rPr>
                <w:rFonts w:ascii="Times New Roman"/>
                <w:color w:val="auto"/>
              </w:rPr>
            </w:pPr>
            <w:r>
              <w:rPr>
                <w:rFonts w:ascii="Times New Roman" w:hint="eastAsia"/>
                <w:color w:val="auto"/>
              </w:rPr>
              <w:t>针对新建工程现状区域内给排水问题，本项目将设置给排水系统</w:t>
            </w:r>
            <w:r>
              <w:rPr>
                <w:rFonts w:ascii="Times New Roman"/>
                <w:color w:val="auto"/>
              </w:rPr>
              <w:t>。</w:t>
            </w:r>
            <w:r>
              <w:rPr>
                <w:rFonts w:ascii="Times New Roman" w:hint="eastAsia"/>
                <w:color w:val="auto"/>
              </w:rPr>
              <w:t>采取上述措施后，项目区域的排水系统将得到极大的改善。</w:t>
            </w:r>
          </w:p>
          <w:p>
            <w:pPr>
              <w:pStyle w:val="1"/>
              <w:ind w:firstLine="0" w:firstLineChars="0"/>
              <w:jc w:val="both"/>
            </w:pPr>
          </w:p>
        </w:tc>
      </w:tr>
    </w:tbl>
    <w:p>
      <w:pPr>
        <w:spacing w:line="600" w:lineRule="exact"/>
        <w:ind w:firstLine="602"/>
        <w:rPr>
          <w:rFonts w:ascii="Times New Roman" w:hAnsi="Times New Roman" w:cs="Times New Roman"/>
          <w:b/>
          <w:sz w:val="30"/>
          <w:szCs w:val="30"/>
        </w:rPr>
        <w:sectPr>
          <w:headerReference w:type="default" r:id="rId38"/>
          <w:footerReference w:type="default" r:id="rId39"/>
          <w:type w:val="nextPage"/>
          <w:pgSz w:w="11907" w:h="16840"/>
          <w:pgMar w:top="1418" w:right="1418" w:bottom="1418" w:left="1418" w:header="992" w:footer="992" w:gutter="0"/>
          <w:pgBorders>
            <w:top w:val="none" w:sz="0" w:space="0" w:color="auto"/>
            <w:left w:val="none" w:sz="0" w:space="0" w:color="auto"/>
            <w:bottom w:val="none" w:sz="0" w:space="0" w:color="auto"/>
            <w:right w:val="none" w:sz="0" w:space="0" w:color="auto"/>
          </w:pgBorders>
          <w:pgNumType w:start="10"/>
          <w:cols w:num="1" w:space="720"/>
          <w:titlePg w:val="0"/>
          <w:docGrid w:linePitch="312" w:charSpace="0"/>
        </w:sectPr>
      </w:pPr>
    </w:p>
    <w:p>
      <w:pPr>
        <w:spacing w:line="600" w:lineRule="exact"/>
        <w:ind w:firstLine="0" w:firstLineChars="0"/>
        <w:rPr>
          <w:rFonts w:ascii="Times New Roman" w:hAnsi="Times New Roman" w:cs="Times New Roman"/>
          <w:b/>
          <w:sz w:val="30"/>
          <w:szCs w:val="30"/>
        </w:rPr>
      </w:pPr>
      <w:r>
        <w:rPr>
          <w:rFonts w:ascii="Times New Roman" w:hAnsi="Times New Roman" w:cs="Times New Roman"/>
          <w:b/>
          <w:sz w:val="30"/>
          <w:szCs w:val="30"/>
        </w:rPr>
        <w:t>建设项目所在地自然环境简况</w:t>
      </w: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9659"/>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Ex>
        <w:trPr>
          <w:trHeight w:val="13276"/>
          <w:jc w:val="center"/>
        </w:trPr>
        <w:tc>
          <w:tcPr>
            <w:tcW w:w="9659" w:type="dxa"/>
            <w:noWrap w:val="0"/>
            <w:vAlign w:val="top"/>
          </w:tcPr>
          <w:p>
            <w:pPr>
              <w:spacing w:line="240" w:lineRule="auto"/>
              <w:ind w:firstLine="0" w:firstLineChars="0"/>
              <w:rPr>
                <w:rFonts w:ascii="Times New Roman" w:hAnsi="Times New Roman" w:cs="Times New Roman"/>
                <w:b/>
                <w:bCs/>
                <w:sz w:val="28"/>
                <w:szCs w:val="28"/>
              </w:rPr>
            </w:pPr>
            <w:r>
              <w:rPr>
                <w:rFonts w:ascii="Times New Roman" w:hAnsi="Times New Roman" w:cs="Times New Roman"/>
                <w:b/>
                <w:bCs/>
                <w:sz w:val="28"/>
                <w:szCs w:val="28"/>
              </w:rPr>
              <w:t>自然环境简况（地形、地貌、地质、气候、气象、水文、植被、生物多样性等）：</w:t>
            </w:r>
          </w:p>
          <w:p>
            <w:pPr>
              <w:snapToGrid/>
              <w:ind w:firstLine="483"/>
              <w:rPr>
                <w:rFonts w:ascii="Times New Roman" w:hAnsi="Times New Roman" w:cs="Times New Roman"/>
              </w:rPr>
            </w:pPr>
            <w:r>
              <w:rPr>
                <w:rFonts w:ascii="Times New Roman" w:hAnsi="Times New Roman" w:cs="Times New Roman"/>
                <w:b/>
                <w:bCs/>
              </w:rPr>
              <w:t>1、地理位置</w:t>
            </w:r>
          </w:p>
          <w:p>
            <w:pPr>
              <w:adjustRightInd w:val="0"/>
              <w:ind w:firstLine="481"/>
              <w:rPr>
                <w:rFonts w:ascii="Times New Roman" w:hAnsi="Times New Roman" w:cs="Times New Roman"/>
              </w:rPr>
            </w:pPr>
            <w:r>
              <w:rPr>
                <w:rFonts w:ascii="Times New Roman" w:hAnsi="Times New Roman" w:cs="Times New Roman"/>
              </w:rPr>
              <w:t>本项目起点坐标为E：109°29′5.08″ ，N：18°17′40.55″；终点坐标为E：109°28'50.</w:t>
            </w:r>
            <w:r>
              <w:rPr>
                <w:rFonts w:ascii="Times New Roman" w:hAnsi="Times New Roman" w:cs="Times New Roman" w:hint="eastAsia"/>
                <w:lang w:val="en-US" w:eastAsia="zh-CN"/>
              </w:rPr>
              <w:t>55</w:t>
            </w:r>
            <w:r>
              <w:rPr>
                <w:rFonts w:ascii="Times New Roman" w:hAnsi="Times New Roman" w:cs="Times New Roman"/>
              </w:rPr>
              <w:t>"，N：18°17'39.</w:t>
            </w:r>
            <w:r>
              <w:rPr>
                <w:rFonts w:ascii="Times New Roman" w:hAnsi="Times New Roman" w:cs="Times New Roman" w:hint="eastAsia"/>
                <w:lang w:val="en-US" w:eastAsia="zh-CN"/>
              </w:rPr>
              <w:t>59</w:t>
            </w:r>
            <w:r>
              <w:rPr>
                <w:rFonts w:ascii="Times New Roman" w:hAnsi="Times New Roman" w:cs="Times New Roman"/>
              </w:rPr>
              <w:t>"项目地理位置图见附图1。</w:t>
            </w:r>
          </w:p>
          <w:p>
            <w:pPr>
              <w:ind w:firstLine="483"/>
              <w:rPr>
                <w:rFonts w:ascii="Times New Roman" w:hAnsi="Times New Roman" w:cs="Times New Roman"/>
                <w:b/>
                <w:bCs/>
              </w:rPr>
            </w:pPr>
            <w:r>
              <w:rPr>
                <w:rFonts w:ascii="Times New Roman" w:hAnsi="Times New Roman" w:cs="Times New Roman"/>
                <w:b/>
                <w:bCs/>
              </w:rPr>
              <w:t>2、地形地貌</w:t>
            </w:r>
          </w:p>
          <w:p>
            <w:pPr>
              <w:ind w:firstLine="481"/>
              <w:rPr>
                <w:rFonts w:ascii="Times New Roman" w:hAnsi="Times New Roman" w:cs="Times New Roman"/>
              </w:rPr>
            </w:pPr>
            <w:r>
              <w:rPr>
                <w:rFonts w:ascii="Times New Roman" w:hAnsi="Times New Roman" w:cs="Times New Roman"/>
              </w:rPr>
              <w:t>本项目建设范围内均具备一定基础设施条件，属于城市中的已建区，地形平坦，便于开展施工。</w:t>
            </w:r>
          </w:p>
          <w:p>
            <w:pPr>
              <w:ind w:firstLine="483"/>
              <w:rPr>
                <w:rFonts w:ascii="Times New Roman" w:hAnsi="Times New Roman" w:cs="Times New Roman"/>
                <w:b/>
                <w:bCs/>
              </w:rPr>
            </w:pPr>
            <w:r>
              <w:rPr>
                <w:rFonts w:ascii="Times New Roman" w:hAnsi="Times New Roman" w:cs="Times New Roman"/>
                <w:b/>
                <w:bCs/>
              </w:rPr>
              <w:t>3、工程地质条件</w:t>
            </w:r>
          </w:p>
          <w:p>
            <w:pPr>
              <w:ind w:firstLine="481"/>
              <w:rPr>
                <w:rFonts w:ascii="Times New Roman" w:hAnsi="Times New Roman" w:cs="Times New Roman"/>
              </w:rPr>
            </w:pPr>
            <w:r>
              <w:rPr>
                <w:rFonts w:ascii="Times New Roman" w:hAnsi="Times New Roman" w:cs="Times New Roman"/>
              </w:rPr>
              <w:t>拟建场地属海相沉积地貌，场地地层从上至下可划分为4个工程地质层，即①杂填土、②粗砂、②-1淤泥质粉质粘土、③粉质粘土。</w:t>
            </w:r>
          </w:p>
          <w:p>
            <w:pPr>
              <w:ind w:firstLine="483"/>
              <w:rPr>
                <w:rFonts w:ascii="Times New Roman" w:hAnsi="Times New Roman" w:cs="Times New Roman"/>
                <w:b/>
                <w:bCs/>
              </w:rPr>
            </w:pPr>
            <w:r>
              <w:rPr>
                <w:rFonts w:ascii="Times New Roman" w:hAnsi="Times New Roman" w:cs="Times New Roman"/>
                <w:b/>
                <w:bCs/>
              </w:rPr>
              <w:t>4、气象、气候</w:t>
            </w:r>
          </w:p>
          <w:p>
            <w:pPr>
              <w:tabs>
                <w:tab w:val="left" w:pos="2835"/>
              </w:tabs>
              <w:adjustRightInd w:val="0"/>
              <w:ind w:firstLine="481"/>
              <w:rPr>
                <w:rFonts w:ascii="Times New Roman" w:hAnsi="Times New Roman" w:cs="Times New Roman"/>
              </w:rPr>
            </w:pPr>
            <w:bookmarkStart w:id="1" w:name="_Toc416880926"/>
            <w:r>
              <w:rPr>
                <w:rFonts w:ascii="Times New Roman" w:hAnsi="Times New Roman" w:cs="Times New Roman" w:hint="eastAsia"/>
              </w:rPr>
              <w:t>天涯</w:t>
            </w:r>
            <w:r>
              <w:rPr>
                <w:rFonts w:ascii="Times New Roman" w:hAnsi="Times New Roman" w:cs="Times New Roman"/>
              </w:rPr>
              <w:t>区内属热带海洋季风气候区，台风频繁，干湿交替明显，终年无霜，长夏无冬。据三亚历年气象观测资料，三亚地区多年平均日照时数2532.8小时，多年平均降雨量1</w:t>
            </w:r>
            <w:r>
              <w:rPr>
                <w:rFonts w:ascii="Times New Roman" w:hAnsi="Times New Roman" w:cs="Times New Roman" w:hint="eastAsia"/>
              </w:rPr>
              <w:t>332.7</w:t>
            </w:r>
            <w:r>
              <w:rPr>
                <w:rFonts w:ascii="Times New Roman" w:hAnsi="Times New Roman" w:cs="Times New Roman"/>
              </w:rPr>
              <w:t>mm，多年平均蒸发量2273.0mm，多年平均气温25.</w:t>
            </w:r>
            <w:r>
              <w:rPr>
                <w:rFonts w:ascii="Times New Roman" w:hAnsi="Times New Roman" w:cs="Times New Roman" w:hint="eastAsia"/>
              </w:rPr>
              <w:t>9</w:t>
            </w:r>
            <w:r>
              <w:rPr>
                <w:rFonts w:ascii="Times New Roman" w:hAnsi="Times New Roman" w:cs="Times New Roman"/>
              </w:rPr>
              <w:t>℃，极端低温为5.1℃，极端高温为37.5℃，湿度72％～90％之间。5月至11月为雨季，降水量约占全年的90％，其中8～9月降雨量最大；11月至来年4月为旱季，降雨量仅占全年降雨量的10％。极端台风过程降雨量为640.9mm。多年平均风速2.</w:t>
            </w:r>
            <w:r>
              <w:rPr>
                <w:rFonts w:ascii="Times New Roman" w:hAnsi="Times New Roman" w:cs="Times New Roman" w:hint="eastAsia"/>
              </w:rPr>
              <w:t>5</w:t>
            </w:r>
            <w:r>
              <w:rPr>
                <w:rFonts w:ascii="Times New Roman" w:hAnsi="Times New Roman" w:cs="Times New Roman"/>
              </w:rPr>
              <w:t>m/s，年风向多东风，次为东北风。台风累年年平均影响个数4.3个，累年年最高影响个数10个。三亚市台风季节一般从每年的6月份开始，10月份结束，个别年份延长到11月结束。</w:t>
            </w:r>
          </w:p>
          <w:bookmarkEnd w:id="1"/>
          <w:p>
            <w:pPr>
              <w:ind w:firstLine="483"/>
              <w:rPr>
                <w:rFonts w:ascii="Times New Roman" w:hAnsi="Times New Roman" w:cs="Times New Roman"/>
                <w:b/>
                <w:bCs/>
              </w:rPr>
            </w:pPr>
            <w:r>
              <w:rPr>
                <w:rFonts w:ascii="Times New Roman" w:hAnsi="Times New Roman" w:cs="Times New Roman"/>
                <w:b/>
                <w:bCs/>
              </w:rPr>
              <w:t>5、水文</w:t>
            </w:r>
          </w:p>
          <w:p>
            <w:pPr>
              <w:ind w:firstLine="481"/>
              <w:rPr>
                <w:rFonts w:ascii="Times New Roman" w:hAnsi="Times New Roman" w:cs="Times New Roman"/>
              </w:rPr>
            </w:pPr>
            <w:r>
              <w:rPr>
                <w:rFonts w:ascii="Times New Roman" w:hAnsi="Times New Roman" w:cs="Times New Roman"/>
              </w:rPr>
              <w:t>项目周边河流为三亚河，河口位于我国南海弱潮海区，该海域为不正规日潮混合潮型，以日潮为主，具有明显的日潮不等现象。每月约有14天为日潮，其余为不正规半日混合潮。涨落潮历时显著不对称，涨潮历时约为14小时，落潮历时约为10小时。潮差不大，平均潮差1.0m左右，最大潮差为2.0m左右。</w:t>
            </w:r>
          </w:p>
          <w:p>
            <w:pPr>
              <w:ind w:firstLine="481"/>
              <w:rPr>
                <w:rFonts w:ascii="Times New Roman" w:hAnsi="Times New Roman" w:cs="Times New Roman"/>
              </w:rPr>
            </w:pPr>
            <w:r>
              <w:rPr>
                <w:rFonts w:ascii="Times New Roman" w:hAnsi="Times New Roman" w:cs="Times New Roman"/>
              </w:rPr>
              <w:t>本项目地下水类型主要为赋存于第①层杂填土、第②层粗砂中的孔隙潜水，其中②-1淤泥质粉质粘土、第③粉质粘土为弱透水层，富水性差；第①层杂填土、第②层粗砂为强透水层，富水性好。据区域水文地质资料反应，该区地下水水位年变幅约为1.00m～2.00m。勘察期间实测钻孔稳定水位埋深为1.20～1.40m，水位标高1.35～6.18m。</w:t>
            </w:r>
          </w:p>
        </w:tc>
      </w:tr>
    </w:tbl>
    <w:p>
      <w:pPr>
        <w:sectPr>
          <w:headerReference w:type="default" r:id="rId40"/>
          <w:footerReference w:type="even" r:id="rId41"/>
          <w:footerReference w:type="default" r:id="rId42"/>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1"/>
          <w:cols w:num="1" w:space="720"/>
          <w:docGrid w:type="linesAndChars" w:linePitch="286" w:charSpace="80"/>
        </w:sectPr>
      </w:pP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105"/>
        <w:gridCol w:w="9427"/>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gridBefore w:val="1"/>
          <w:wBefore w:w="105" w:type="dxa"/>
          <w:trHeight w:val="14164"/>
          <w:jc w:val="center"/>
        </w:trPr>
        <w:tc>
          <w:tcPr>
            <w:tcW w:w="9427" w:type="dxa"/>
            <w:noWrap w:val="0"/>
            <w:vAlign w:val="top"/>
          </w:tcPr>
          <w:p>
            <w:pPr>
              <w:pStyle w:val="Default"/>
              <w:snapToGrid w:val="0"/>
              <w:rPr>
                <w:rFonts w:ascii="Times New Roman"/>
                <w:b/>
                <w:bCs/>
                <w:sz w:val="28"/>
                <w:szCs w:val="28"/>
              </w:rPr>
            </w:pPr>
            <w:r>
              <w:rPr>
                <w:rFonts w:ascii="Times New Roman"/>
                <w:b/>
                <w:bCs/>
                <w:sz w:val="28"/>
                <w:szCs w:val="28"/>
              </w:rPr>
              <mc:AlternateContent>
                <mc:Choice Requires="wps">
                  <w:drawing>
                    <wp:anchor distT="0" distB="0" distL="114300" distR="114300" simplePos="0" relativeHeight="251664384" behindDoc="1" locked="0" layoutInCell="1" allowOverlap="1">
                      <wp:simplePos x="0" y="0"/>
                      <wp:positionH relativeFrom="column">
                        <wp:posOffset>-507365</wp:posOffset>
                      </wp:positionH>
                      <wp:positionV relativeFrom="paragraph">
                        <wp:posOffset>-398145</wp:posOffset>
                      </wp:positionV>
                      <wp:extent cx="2218690" cy="512445"/>
                      <wp:effectExtent l="4445" t="5080" r="5715" b="15875"/>
                      <wp:wrapNone/>
                      <wp:docPr id="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2218690" cy="512445"/>
                              </a:xfrm>
                              <a:prstGeom prst="rect">
                                <a:avLst/>
                              </a:prstGeom>
                              <a:solidFill>
                                <a:srgbClr val="FFFFFF"/>
                              </a:solidFill>
                              <a:ln w="9525">
                                <a:solidFill>
                                  <a:srgbClr val="FFFFFF"/>
                                </a:solidFill>
                                <a:prstDash val="solid"/>
                                <a:miter lim="0"/>
                                <a:headEnd/>
                                <a:tailEnd/>
                              </a:ln>
                            </wps:spPr>
                            <wps:txbx>
                              <w:txbxContent>
                                <w:p>
                                  <w:pPr>
                                    <w:spacing w:line="600" w:lineRule="exact"/>
                                    <w:ind w:firstLine="603"/>
                                    <w:rPr>
                                      <w:b/>
                                      <w:sz w:val="30"/>
                                      <w:szCs w:val="30"/>
                                    </w:rPr>
                                  </w:pPr>
                                  <w:r>
                                    <w:rPr>
                                      <w:b/>
                                      <w:sz w:val="30"/>
                                      <w:szCs w:val="30"/>
                                    </w:rPr>
                                    <w:t>环境质量状况</w:t>
                                  </w:r>
                                </w:p>
                                <w:p>
                                  <w:pPr>
                                    <w:ind w:firstLine="481"/>
                                  </w:pPr>
                                </w:p>
                              </w:txbxContent>
                            </wps:txbx>
                            <wps:bodyPr wrap="square" upright="1"/>
                          </wps:wsp>
                        </a:graphicData>
                      </a:graphic>
                    </wp:anchor>
                  </w:drawing>
                </mc:Choice>
                <mc:Fallback>
                  <w:pict>
                    <v:shape id="文本框 2" o:spid="_x0000_s1027" type="#_x0000_t202" style="width:174.7pt;height:40.35pt;margin-top:-31.35pt;margin-left:-39.95pt;mso-wrap-distance-bottom:0;mso-wrap-distance-left:9pt;mso-wrap-distance-right:9pt;mso-wrap-distance-top:0;position:absolute;v-text-anchor:top;z-index:-251653120" fillcolor="white" stroked="t" strokecolor="white" strokeweight="0.75pt">
                      <v:stroke joinstyle="miter"/>
                      <v:textbox>
                        <w:txbxContent>
                          <w:p>
                            <w:pPr>
                              <w:spacing w:line="600" w:lineRule="exact"/>
                              <w:ind w:firstLine="603"/>
                              <w:rPr>
                                <w:b/>
                                <w:sz w:val="30"/>
                                <w:szCs w:val="30"/>
                              </w:rPr>
                            </w:pPr>
                            <w:r>
                              <w:rPr>
                                <w:b/>
                                <w:sz w:val="30"/>
                                <w:szCs w:val="30"/>
                              </w:rPr>
                              <w:t>环境质量状况</w:t>
                            </w:r>
                          </w:p>
                          <w:p>
                            <w:pPr>
                              <w:ind w:firstLine="481"/>
                            </w:pPr>
                          </w:p>
                        </w:txbxContent>
                      </v:textbox>
                    </v:shape>
                  </w:pict>
                </mc:Fallback>
              </mc:AlternateContent>
            </w:r>
            <w:r>
              <w:rPr>
                <w:rFonts w:ascii="Times New Roman"/>
                <w:b/>
                <w:bCs/>
                <w:sz w:val="28"/>
                <w:szCs w:val="28"/>
              </w:rPr>
              <w:t>建设项目所在地区域环境质量现状及主要环境问题（环境空气、地面水、地下水、声环境、生态环境等）</w:t>
            </w:r>
          </w:p>
          <w:p>
            <w:pPr>
              <w:ind w:firstLine="483"/>
              <w:rPr>
                <w:rFonts w:ascii="Times New Roman" w:hAnsi="Times New Roman" w:cs="Times New Roman"/>
                <w:b/>
                <w:bCs/>
              </w:rPr>
            </w:pPr>
            <w:r>
              <w:rPr>
                <w:rFonts w:ascii="Times New Roman" w:hAnsi="Times New Roman" w:cs="Times New Roman"/>
                <w:b/>
                <w:bCs/>
              </w:rPr>
              <w:t>1、大气环境质量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hint="default"/>
              </w:rPr>
            </w:pPr>
            <w:r>
              <w:rPr>
                <w:rFonts w:ascii="Times New Roman" w:hAnsi="Times New Roman" w:cs="Times New Roman" w:hint="default"/>
                <w:sz w:val="24"/>
              </w:rPr>
              <w:t>根据《环境影响评价技术导则 大气环境》（HJ2.2-2018）中“6.2.1.1项目所在区域达标判定，优先采用国家或地方生态环境主管部门公开发布的评价基准年环境质量公告或环境质量报告中的数据或结论”。 因此，本项目区域大气环境质量现状引用三亚市生态环境局2020年公布的《2019</w:t>
            </w:r>
            <w:r>
              <w:rPr>
                <w:rFonts w:ascii="Times New Roman" w:hAnsi="Times New Roman" w:cs="Times New Roman" w:hint="default"/>
                <w:sz w:val="24"/>
                <w:lang w:val="en"/>
              </w:rPr>
              <w:t>年三亚市环境质量年报</w:t>
            </w:r>
            <w:r>
              <w:rPr>
                <w:rFonts w:ascii="Times New Roman" w:hAnsi="Times New Roman" w:cs="Times New Roman" w:hint="default"/>
                <w:sz w:val="24"/>
              </w:rPr>
              <w:t>》中的数据。</w:t>
            </w:r>
            <w:r>
              <w:rPr>
                <w:rFonts w:ascii="Times New Roman" w:hAnsi="Times New Roman" w:cs="Times New Roman" w:hint="default"/>
                <w:sz w:val="24"/>
              </w:rPr>
              <w:br/>
            </w:r>
            <w:r>
              <w:rPr>
                <w:rFonts w:ascii="Times New Roman" w:hAnsi="Times New Roman" w:cs="Times New Roman" w:hint="default"/>
                <w:sz w:val="24"/>
              </w:rPr>
              <w:t xml:space="preserve">    三亚市2019年SO</w:t>
            </w:r>
            <w:r>
              <w:rPr>
                <w:rFonts w:ascii="Times New Roman" w:hAnsi="Times New Roman" w:cs="Times New Roman" w:hint="default"/>
                <w:sz w:val="24"/>
                <w:vertAlign w:val="subscript"/>
              </w:rPr>
              <w:t>2</w:t>
            </w:r>
            <w:r>
              <w:rPr>
                <w:rFonts w:ascii="Times New Roman" w:hAnsi="Times New Roman" w:cs="Times New Roman" w:hint="default"/>
                <w:sz w:val="24"/>
              </w:rPr>
              <w:t>、NO</w:t>
            </w:r>
            <w:r>
              <w:rPr>
                <w:rFonts w:ascii="Times New Roman" w:hAnsi="Times New Roman" w:cs="Times New Roman" w:hint="default"/>
                <w:sz w:val="24"/>
                <w:vertAlign w:val="subscript"/>
              </w:rPr>
              <w:t>2</w:t>
            </w:r>
            <w:r>
              <w:rPr>
                <w:rFonts w:ascii="Times New Roman" w:hAnsi="Times New Roman" w:cs="Times New Roman" w:hint="default"/>
                <w:sz w:val="24"/>
              </w:rPr>
              <w:t>、PM</w:t>
            </w:r>
            <w:r>
              <w:rPr>
                <w:rFonts w:ascii="Times New Roman" w:hAnsi="Times New Roman" w:cs="Times New Roman" w:hint="default"/>
                <w:sz w:val="24"/>
                <w:vertAlign w:val="subscript"/>
              </w:rPr>
              <w:t>10</w:t>
            </w:r>
            <w:r>
              <w:rPr>
                <w:rFonts w:ascii="Times New Roman" w:hAnsi="Times New Roman" w:cs="Times New Roman" w:hint="default"/>
                <w:sz w:val="24"/>
              </w:rPr>
              <w:t>、PM</w:t>
            </w:r>
            <w:r>
              <w:rPr>
                <w:rFonts w:ascii="Times New Roman" w:hAnsi="Times New Roman" w:cs="Times New Roman" w:hint="default"/>
                <w:sz w:val="24"/>
                <w:vertAlign w:val="subscript"/>
              </w:rPr>
              <w:t>2.5</w:t>
            </w:r>
            <w:r>
              <w:rPr>
                <w:rFonts w:ascii="Times New Roman" w:hAnsi="Times New Roman" w:cs="Times New Roman" w:hint="default"/>
                <w:sz w:val="24"/>
              </w:rPr>
              <w:t>年均浓度分别为4ug/m</w:t>
            </w:r>
            <w:r>
              <w:rPr>
                <w:rFonts w:ascii="Times New Roman" w:hAnsi="Times New Roman" w:cs="Times New Roman" w:hint="default"/>
                <w:sz w:val="24"/>
                <w:vertAlign w:val="superscript"/>
              </w:rPr>
              <w:t>3</w:t>
            </w:r>
            <w:r>
              <w:rPr>
                <w:rFonts w:ascii="Times New Roman" w:hAnsi="Times New Roman" w:cs="Times New Roman" w:hint="default"/>
                <w:sz w:val="24"/>
              </w:rPr>
              <w:t>、9ug/m</w:t>
            </w:r>
            <w:r>
              <w:rPr>
                <w:rFonts w:ascii="Times New Roman" w:hAnsi="Times New Roman" w:cs="Times New Roman" w:hint="default"/>
                <w:sz w:val="24"/>
                <w:vertAlign w:val="superscript"/>
              </w:rPr>
              <w:t>3</w:t>
            </w:r>
            <w:r>
              <w:rPr>
                <w:rFonts w:ascii="Times New Roman" w:hAnsi="Times New Roman" w:cs="Times New Roman" w:hint="default"/>
                <w:sz w:val="24"/>
              </w:rPr>
              <w:t>、27ug/m</w:t>
            </w:r>
            <w:r>
              <w:rPr>
                <w:rFonts w:ascii="Times New Roman" w:hAnsi="Times New Roman" w:cs="Times New Roman" w:hint="default"/>
                <w:sz w:val="24"/>
                <w:vertAlign w:val="superscript"/>
              </w:rPr>
              <w:t>3</w:t>
            </w:r>
            <w:r>
              <w:rPr>
                <w:rFonts w:ascii="Times New Roman" w:hAnsi="Times New Roman" w:cs="Times New Roman" w:hint="default"/>
                <w:sz w:val="24"/>
              </w:rPr>
              <w:t>、14 ug/m</w:t>
            </w:r>
            <w:r>
              <w:rPr>
                <w:rFonts w:ascii="Times New Roman" w:hAnsi="Times New Roman" w:cs="Times New Roman" w:hint="default"/>
                <w:sz w:val="24"/>
                <w:vertAlign w:val="superscript"/>
              </w:rPr>
              <w:t>3</w:t>
            </w:r>
            <w:r>
              <w:rPr>
                <w:rFonts w:ascii="Times New Roman" w:hAnsi="Times New Roman" w:cs="Times New Roman" w:hint="default"/>
                <w:sz w:val="24"/>
              </w:rPr>
              <w:t>；CO 24小时平均第95百分位数为0.7mg/m</w:t>
            </w:r>
            <w:r>
              <w:rPr>
                <w:rFonts w:ascii="Times New Roman" w:hAnsi="Times New Roman" w:cs="Times New Roman" w:hint="default"/>
                <w:sz w:val="24"/>
                <w:vertAlign w:val="superscript"/>
              </w:rPr>
              <w:t>3</w:t>
            </w:r>
            <w:r>
              <w:rPr>
                <w:rFonts w:ascii="Times New Roman" w:hAnsi="Times New Roman" w:cs="Times New Roman" w:hint="default"/>
                <w:sz w:val="24"/>
              </w:rPr>
              <w:t>，O</w:t>
            </w:r>
            <w:r>
              <w:rPr>
                <w:rFonts w:ascii="Times New Roman" w:hAnsi="Times New Roman" w:cs="Times New Roman" w:hint="default"/>
                <w:sz w:val="24"/>
                <w:vertAlign w:val="subscript"/>
              </w:rPr>
              <w:t>3</w:t>
            </w:r>
            <w:r>
              <w:rPr>
                <w:rFonts w:ascii="Times New Roman" w:hAnsi="Times New Roman" w:cs="Times New Roman" w:hint="default"/>
                <w:sz w:val="24"/>
              </w:rPr>
              <w:t>日最大8小时平均第90百分位数为118 ug/m</w:t>
            </w:r>
            <w:r>
              <w:rPr>
                <w:rFonts w:ascii="Times New Roman" w:hAnsi="Times New Roman" w:cs="Times New Roman" w:hint="default"/>
                <w:sz w:val="24"/>
                <w:vertAlign w:val="superscript"/>
              </w:rPr>
              <w:t>3</w:t>
            </w:r>
            <w:r>
              <w:rPr>
                <w:rFonts w:ascii="Times New Roman" w:hAnsi="Times New Roman" w:cs="Times New Roman" w:hint="default"/>
                <w:sz w:val="24"/>
              </w:rPr>
              <w:t>。</w:t>
            </w:r>
          </w:p>
          <w:p>
            <w:pPr>
              <w:keepNext/>
              <w:keepLines/>
              <w:spacing w:line="240" w:lineRule="auto"/>
              <w:jc w:val="center"/>
              <w:outlineLvl w:val="2"/>
              <w:rPr>
                <w:b/>
                <w:bCs/>
                <w:color w:val="000000"/>
              </w:rPr>
            </w:pPr>
            <w:r>
              <w:rPr>
                <w:b/>
                <w:bCs/>
                <w:color w:val="000000"/>
                <w:sz w:val="24"/>
              </w:rPr>
              <w:t>表</w:t>
            </w:r>
            <w:r>
              <w:rPr>
                <w:rFonts w:hint="eastAsia"/>
                <w:b/>
                <w:bCs/>
                <w:color w:val="000000"/>
                <w:sz w:val="24"/>
                <w:lang w:val="en-US" w:eastAsia="zh-CN"/>
              </w:rPr>
              <w:t xml:space="preserve">6 </w:t>
            </w:r>
            <w:r>
              <w:rPr>
                <w:b/>
                <w:bCs/>
                <w:color w:val="000000"/>
                <w:sz w:val="24"/>
              </w:rPr>
              <w:t>项目区域空气质量现状评价表</w:t>
            </w:r>
          </w:p>
          <w:tbl>
            <w:tblPr>
              <w:tblStyle w:val="TableNormal"/>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137"/>
              <w:gridCol w:w="3157"/>
              <w:gridCol w:w="1533"/>
              <w:gridCol w:w="1275"/>
              <w:gridCol w:w="1155"/>
              <w:gridCol w:w="814"/>
            </w:tblGrid>
            <w:tr>
              <w:tblPrEx>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28"/>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污染物</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年评价指标</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现状浓度/（</w:t>
                  </w:r>
                  <w:r>
                    <w:rPr>
                      <w:rFonts w:ascii="Times New Roman" w:hAnsi="Times New Roman" w:cs="Times New Roman" w:hint="default"/>
                      <w:b/>
                      <w:bCs/>
                      <w:color w:val="000000"/>
                      <w:sz w:val="21"/>
                      <w:szCs w:val="21"/>
                      <w:lang w:bidi="ar"/>
                    </w:rPr>
                    <w:t>ug/m</w:t>
                  </w:r>
                  <w:r>
                    <w:rPr>
                      <w:rFonts w:ascii="Times New Roman" w:hAnsi="Times New Roman" w:cs="Times New Roman" w:hint="default"/>
                      <w:b/>
                      <w:bCs/>
                      <w:color w:val="000000"/>
                      <w:sz w:val="21"/>
                      <w:szCs w:val="21"/>
                      <w:vertAlign w:val="superscript"/>
                      <w:lang w:bidi="ar"/>
                    </w:rPr>
                    <w:t>3</w:t>
                  </w:r>
                  <w:r>
                    <w:rPr>
                      <w:rFonts w:ascii="Times New Roman" w:hAnsi="Times New Roman" w:cs="Times New Roman" w:hint="default"/>
                      <w:b/>
                      <w:bCs/>
                      <w:color w:val="000000"/>
                      <w:sz w:val="21"/>
                      <w:szCs w:val="21"/>
                    </w:rPr>
                    <w:t>）</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标准值（</w:t>
                  </w:r>
                  <w:r>
                    <w:rPr>
                      <w:rFonts w:ascii="Times New Roman" w:hAnsi="Times New Roman" w:cs="Times New Roman" w:hint="default"/>
                      <w:b/>
                      <w:bCs/>
                      <w:color w:val="000000"/>
                      <w:sz w:val="21"/>
                      <w:szCs w:val="21"/>
                      <w:lang w:bidi="ar"/>
                    </w:rPr>
                    <w:t>ug/m</w:t>
                  </w:r>
                  <w:r>
                    <w:rPr>
                      <w:rFonts w:ascii="Times New Roman" w:hAnsi="Times New Roman" w:cs="Times New Roman" w:hint="default"/>
                      <w:b/>
                      <w:bCs/>
                      <w:color w:val="000000"/>
                      <w:sz w:val="21"/>
                      <w:szCs w:val="21"/>
                      <w:vertAlign w:val="superscript"/>
                      <w:lang w:bidi="ar"/>
                    </w:rPr>
                    <w:t>3</w:t>
                  </w:r>
                  <w:r>
                    <w:rPr>
                      <w:rFonts w:ascii="Times New Roman" w:hAnsi="Times New Roman" w:cs="Times New Roman" w:hint="default"/>
                      <w:b/>
                      <w:bCs/>
                      <w:color w:val="000000"/>
                      <w:sz w:val="21"/>
                      <w:szCs w:val="21"/>
                    </w:rPr>
                    <w:t>）</w:t>
                  </w:r>
                </w:p>
              </w:tc>
              <w:tc>
                <w:tcPr>
                  <w:tcW w:w="101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占标率/%</w:t>
                  </w:r>
                </w:p>
              </w:tc>
              <w:tc>
                <w:tcPr>
                  <w:tcW w:w="71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b/>
                      <w:bCs/>
                      <w:color w:val="000000"/>
                      <w:sz w:val="21"/>
                    </w:rPr>
                  </w:pPr>
                  <w:r>
                    <w:rPr>
                      <w:rFonts w:ascii="Times New Roman" w:hAnsi="Times New Roman" w:cs="Times New Roman" w:hint="default"/>
                      <w:b/>
                      <w:bCs/>
                      <w:color w:val="000000"/>
                      <w:sz w:val="21"/>
                      <w:szCs w:val="21"/>
                    </w:rPr>
                    <w:t>达标情况</w:t>
                  </w:r>
                </w:p>
              </w:tc>
            </w:tr>
            <w:tr>
              <w:tblPrEx>
                <w:tblW w:w="9071" w:type="dxa"/>
                <w:jc w:val="center"/>
                <w:tblLayout w:type="fixed"/>
                <w:tblCellMar>
                  <w:top w:w="0" w:type="dxa"/>
                  <w:left w:w="108" w:type="dxa"/>
                  <w:bottom w:w="0" w:type="dxa"/>
                  <w:right w:w="108" w:type="dxa"/>
                </w:tblCellMar>
              </w:tblPrEx>
              <w:trPr>
                <w:trHeight w:val="239"/>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SO</w:t>
                  </w:r>
                  <w:r>
                    <w:rPr>
                      <w:rFonts w:ascii="Times New Roman" w:hAnsi="Times New Roman" w:cs="Times New Roman" w:hint="default"/>
                      <w:bCs/>
                      <w:color w:val="000000"/>
                      <w:sz w:val="21"/>
                      <w:szCs w:val="21"/>
                      <w:vertAlign w:val="subscript"/>
                      <w:lang w:bidi="ar"/>
                    </w:rPr>
                    <w:t>2</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年平均质量浓度</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4</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60</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6.67</w:t>
                  </w:r>
                </w:p>
              </w:tc>
              <w:tc>
                <w:tcPr>
                  <w:tcW w:w="716" w:type="dxa"/>
                  <w:vMerge w:val="restart"/>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达标</w:t>
                  </w:r>
                </w:p>
              </w:tc>
            </w:tr>
            <w:tr>
              <w:tblPrEx>
                <w:tblW w:w="9071" w:type="dxa"/>
                <w:jc w:val="center"/>
                <w:tblLayout w:type="fixed"/>
                <w:tblCellMar>
                  <w:top w:w="0" w:type="dxa"/>
                  <w:left w:w="108" w:type="dxa"/>
                  <w:bottom w:w="0" w:type="dxa"/>
                  <w:right w:w="108" w:type="dxa"/>
                </w:tblCellMar>
              </w:tblPrEx>
              <w:trPr>
                <w:trHeight w:val="90"/>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NO</w:t>
                  </w:r>
                  <w:r>
                    <w:rPr>
                      <w:rFonts w:ascii="Times New Roman" w:hAnsi="Times New Roman" w:cs="Times New Roman" w:hint="default"/>
                      <w:bCs/>
                      <w:color w:val="000000"/>
                      <w:sz w:val="21"/>
                      <w:szCs w:val="21"/>
                      <w:vertAlign w:val="subscript"/>
                      <w:lang w:bidi="ar"/>
                    </w:rPr>
                    <w:t>2</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年平均质量浓度</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9</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40</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22.50</w:t>
                  </w:r>
                </w:p>
              </w:tc>
              <w:tc>
                <w:tcPr>
                  <w:tcW w:w="716" w:type="dxa"/>
                  <w:vMerge/>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p>
              </w:tc>
            </w:tr>
            <w:tr>
              <w:tblPrEx>
                <w:tblW w:w="9071" w:type="dxa"/>
                <w:jc w:val="center"/>
                <w:tblLayout w:type="fixed"/>
                <w:tblCellMar>
                  <w:top w:w="0" w:type="dxa"/>
                  <w:left w:w="108" w:type="dxa"/>
                  <w:bottom w:w="0" w:type="dxa"/>
                  <w:right w:w="108" w:type="dxa"/>
                </w:tblCellMar>
              </w:tblPrEx>
              <w:trPr>
                <w:trHeight w:val="90"/>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PM</w:t>
                  </w:r>
                  <w:r>
                    <w:rPr>
                      <w:rFonts w:ascii="Times New Roman" w:hAnsi="Times New Roman" w:cs="Times New Roman" w:hint="default"/>
                      <w:bCs/>
                      <w:color w:val="000000"/>
                      <w:sz w:val="21"/>
                      <w:szCs w:val="21"/>
                      <w:vertAlign w:val="subscript"/>
                      <w:lang w:bidi="ar"/>
                    </w:rPr>
                    <w:t>10</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年平均质量浓度</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27</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70</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38.57</w:t>
                  </w:r>
                </w:p>
              </w:tc>
              <w:tc>
                <w:tcPr>
                  <w:tcW w:w="716" w:type="dxa"/>
                  <w:vMerge/>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p>
              </w:tc>
            </w:tr>
            <w:tr>
              <w:tblPrEx>
                <w:tblW w:w="9071" w:type="dxa"/>
                <w:jc w:val="center"/>
                <w:tblLayout w:type="fixed"/>
                <w:tblCellMar>
                  <w:top w:w="0" w:type="dxa"/>
                  <w:left w:w="108" w:type="dxa"/>
                  <w:bottom w:w="0" w:type="dxa"/>
                  <w:right w:w="108" w:type="dxa"/>
                </w:tblCellMar>
              </w:tblPrEx>
              <w:trPr>
                <w:trHeight w:val="90"/>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PM</w:t>
                  </w:r>
                  <w:r>
                    <w:rPr>
                      <w:rFonts w:ascii="Times New Roman" w:hAnsi="Times New Roman" w:cs="Times New Roman" w:hint="default"/>
                      <w:bCs/>
                      <w:color w:val="000000"/>
                      <w:sz w:val="21"/>
                      <w:szCs w:val="21"/>
                      <w:vertAlign w:val="subscript"/>
                      <w:lang w:bidi="ar"/>
                    </w:rPr>
                    <w:t>2.5</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年平均质量浓度</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14</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35</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40.00</w:t>
                  </w:r>
                </w:p>
              </w:tc>
              <w:tc>
                <w:tcPr>
                  <w:tcW w:w="716" w:type="dxa"/>
                  <w:vMerge/>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p>
              </w:tc>
            </w:tr>
            <w:tr>
              <w:tblPrEx>
                <w:tblW w:w="9071" w:type="dxa"/>
                <w:jc w:val="center"/>
                <w:tblLayout w:type="fixed"/>
                <w:tblCellMar>
                  <w:top w:w="0" w:type="dxa"/>
                  <w:left w:w="108" w:type="dxa"/>
                  <w:bottom w:w="0" w:type="dxa"/>
                  <w:right w:w="108" w:type="dxa"/>
                </w:tblCellMar>
              </w:tblPrEx>
              <w:trPr>
                <w:trHeight w:val="90"/>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CO</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24小时平均第95百分位数</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700</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4000</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17.50</w:t>
                  </w:r>
                </w:p>
              </w:tc>
              <w:tc>
                <w:tcPr>
                  <w:tcW w:w="716" w:type="dxa"/>
                  <w:vMerge/>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p>
              </w:tc>
            </w:tr>
            <w:tr>
              <w:tblPrEx>
                <w:tblW w:w="9071" w:type="dxa"/>
                <w:jc w:val="center"/>
                <w:tblLayout w:type="fixed"/>
                <w:tblCellMar>
                  <w:top w:w="0" w:type="dxa"/>
                  <w:left w:w="108" w:type="dxa"/>
                  <w:bottom w:w="0" w:type="dxa"/>
                  <w:right w:w="108" w:type="dxa"/>
                </w:tblCellMar>
              </w:tblPrEx>
              <w:trPr>
                <w:trHeight w:val="90"/>
                <w:jc w:val="center"/>
              </w:trPr>
              <w:tc>
                <w:tcPr>
                  <w:tcW w:w="1000"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O</w:t>
                  </w:r>
                  <w:r>
                    <w:rPr>
                      <w:rFonts w:ascii="Times New Roman" w:hAnsi="Times New Roman" w:cs="Times New Roman" w:hint="default"/>
                      <w:bCs/>
                      <w:color w:val="000000"/>
                      <w:sz w:val="21"/>
                      <w:szCs w:val="21"/>
                      <w:vertAlign w:val="subscript"/>
                      <w:lang w:bidi="ar"/>
                    </w:rPr>
                    <w:t>3</w:t>
                  </w:r>
                </w:p>
              </w:tc>
              <w:tc>
                <w:tcPr>
                  <w:tcW w:w="2776"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bCs/>
                      <w:color w:val="000000"/>
                      <w:sz w:val="21"/>
                      <w:szCs w:val="21"/>
                      <w:lang w:bidi="ar"/>
                    </w:rPr>
                    <w:t>8小时平均第90百分位数</w:t>
                  </w:r>
                </w:p>
              </w:tc>
              <w:tc>
                <w:tcPr>
                  <w:tcW w:w="1348"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118</w:t>
                  </w:r>
                </w:p>
              </w:tc>
              <w:tc>
                <w:tcPr>
                  <w:tcW w:w="1121" w:type="dxa"/>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r>
                    <w:rPr>
                      <w:rFonts w:ascii="Times New Roman" w:hAnsi="Times New Roman" w:cs="Times New Roman" w:hint="default"/>
                      <w:color w:val="000000"/>
                      <w:sz w:val="21"/>
                      <w:szCs w:val="21"/>
                    </w:rPr>
                    <w:t>160</w:t>
                  </w:r>
                </w:p>
              </w:tc>
              <w:tc>
                <w:tcPr>
                  <w:tcW w:w="1016" w:type="dxa"/>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ascii="Times New Roman" w:hAnsi="Times New Roman" w:cs="Times New Roman" w:hint="default"/>
                      <w:color w:val="000000"/>
                      <w:sz w:val="21"/>
                    </w:rPr>
                  </w:pPr>
                  <w:r>
                    <w:rPr>
                      <w:rFonts w:ascii="Times New Roman" w:hAnsi="Times New Roman" w:cs="Times New Roman" w:hint="default"/>
                      <w:color w:val="000000"/>
                      <w:kern w:val="0"/>
                      <w:sz w:val="21"/>
                      <w:szCs w:val="21"/>
                      <w:lang w:bidi="ar"/>
                    </w:rPr>
                    <w:t>73.75</w:t>
                  </w:r>
                </w:p>
              </w:tc>
              <w:tc>
                <w:tcPr>
                  <w:tcW w:w="716" w:type="dxa"/>
                  <w:vMerge/>
                  <w:vAlign w:val="center"/>
                </w:tcPr>
                <w:p>
                  <w:pPr>
                    <w:keepNext w:val="0"/>
                    <w:keepLines w:val="0"/>
                    <w:pageBreakBefore w:val="0"/>
                    <w:kinsoku/>
                    <w:wordWrap/>
                    <w:overflowPunct/>
                    <w:topLinePunct w:val="0"/>
                    <w:autoSpaceDE/>
                    <w:autoSpaceDN/>
                    <w:bidi w:val="0"/>
                    <w:adjustRightInd/>
                    <w:snapToGrid w:val="0"/>
                    <w:spacing w:line="240" w:lineRule="auto"/>
                    <w:ind w:firstLine="0" w:firstLineChars="0"/>
                    <w:jc w:val="center"/>
                    <w:rPr>
                      <w:rFonts w:ascii="Times New Roman" w:hAnsi="Times New Roman" w:cs="Times New Roman" w:hint="default"/>
                      <w:color w:val="000000"/>
                      <w:sz w:val="21"/>
                    </w:rPr>
                  </w:pPr>
                </w:p>
              </w:tc>
            </w:tr>
          </w:tbl>
          <w:p>
            <w:pPr>
              <w:pStyle w:val="NormalIndent"/>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hint="default"/>
                <w:sz w:val="24"/>
              </w:rPr>
            </w:pPr>
            <w:r>
              <w:rPr>
                <w:rFonts w:ascii="Times New Roman" w:hAnsi="Times New Roman" w:cs="Times New Roman" w:hint="default"/>
                <w:sz w:val="24"/>
              </w:rPr>
              <w:t>根据以上数据，项目所在区域空气环境质量达到《环境空气质量标准》（GB3095-2012）及修改单中二级标准。</w:t>
            </w:r>
          </w:p>
          <w:p>
            <w:pPr>
              <w:pStyle w:val="NormalIndent"/>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hint="default"/>
                <w:sz w:val="24"/>
              </w:rPr>
            </w:pPr>
            <w:r>
              <w:rPr>
                <w:rFonts w:ascii="Times New Roman" w:hAnsi="Times New Roman" w:cs="Times New Roman" w:hint="default"/>
                <w:sz w:val="24"/>
              </w:rPr>
              <w:t>依据《环境影响评价技术导则大气环境》（HJ2.2-2018）要求城市环境空气质量达标情况评价指标为SO</w:t>
            </w:r>
            <w:r>
              <w:rPr>
                <w:rFonts w:ascii="Times New Roman" w:hAnsi="Times New Roman" w:cs="Times New Roman" w:hint="default"/>
                <w:sz w:val="24"/>
                <w:vertAlign w:val="subscript"/>
              </w:rPr>
              <w:t>2</w:t>
            </w:r>
            <w:r>
              <w:rPr>
                <w:rFonts w:ascii="Times New Roman" w:hAnsi="Times New Roman" w:cs="Times New Roman" w:hint="default"/>
                <w:sz w:val="24"/>
              </w:rPr>
              <w:t>、NO</w:t>
            </w:r>
            <w:r>
              <w:rPr>
                <w:rFonts w:ascii="Times New Roman" w:hAnsi="Times New Roman" w:cs="Times New Roman" w:hint="default"/>
                <w:sz w:val="24"/>
                <w:vertAlign w:val="subscript"/>
              </w:rPr>
              <w:t>2</w:t>
            </w:r>
            <w:r>
              <w:rPr>
                <w:rFonts w:ascii="Times New Roman" w:hAnsi="Times New Roman" w:cs="Times New Roman" w:hint="default"/>
                <w:sz w:val="24"/>
              </w:rPr>
              <w:t>、PM</w:t>
            </w:r>
            <w:r>
              <w:rPr>
                <w:rFonts w:ascii="Times New Roman" w:hAnsi="Times New Roman" w:cs="Times New Roman" w:hint="default"/>
                <w:sz w:val="24"/>
                <w:vertAlign w:val="subscript"/>
              </w:rPr>
              <w:t>10</w:t>
            </w:r>
            <w:r>
              <w:rPr>
                <w:rFonts w:ascii="Times New Roman" w:hAnsi="Times New Roman" w:cs="Times New Roman" w:hint="default"/>
                <w:sz w:val="24"/>
              </w:rPr>
              <w:t>、PM</w:t>
            </w:r>
            <w:r>
              <w:rPr>
                <w:rFonts w:ascii="Times New Roman" w:hAnsi="Times New Roman" w:cs="Times New Roman" w:hint="default"/>
                <w:sz w:val="24"/>
                <w:vertAlign w:val="subscript"/>
              </w:rPr>
              <w:t>2.5</w:t>
            </w:r>
            <w:r>
              <w:rPr>
                <w:rFonts w:ascii="Times New Roman" w:hAnsi="Times New Roman" w:cs="Times New Roman" w:hint="default"/>
                <w:sz w:val="24"/>
              </w:rPr>
              <w:t>、CO和O</w:t>
            </w:r>
            <w:r>
              <w:rPr>
                <w:rFonts w:ascii="Times New Roman" w:hAnsi="Times New Roman" w:cs="Times New Roman" w:hint="default"/>
                <w:sz w:val="24"/>
                <w:vertAlign w:val="subscript"/>
              </w:rPr>
              <w:t>3</w:t>
            </w:r>
            <w:r>
              <w:rPr>
                <w:rFonts w:ascii="Times New Roman" w:hAnsi="Times New Roman" w:cs="Times New Roman" w:hint="default"/>
                <w:sz w:val="24"/>
              </w:rPr>
              <w:t>六项污染物，全部达标即为城市环境空气质量达标，因此该区域属于达标区域。评价区域内大气环境质量现状良好。</w:t>
            </w:r>
          </w:p>
          <w:p>
            <w:pPr>
              <w:ind w:firstLine="483"/>
              <w:rPr>
                <w:rFonts w:ascii="Times New Roman" w:hAnsi="Times New Roman" w:cs="Times New Roman"/>
                <w:b/>
                <w:bCs/>
              </w:rPr>
            </w:pPr>
            <w:r>
              <w:rPr>
                <w:rFonts w:ascii="Times New Roman" w:hAnsi="Times New Roman" w:cs="Times New Roman"/>
                <w:b/>
                <w:bCs/>
              </w:rPr>
              <w:t>2、声环境质量现状与评价</w:t>
            </w:r>
          </w:p>
          <w:p>
            <w:pPr>
              <w:ind w:firstLine="481"/>
              <w:rPr>
                <w:rFonts w:ascii="Times New Roman" w:hAnsi="Times New Roman" w:cs="Times New Roman"/>
              </w:rPr>
            </w:pPr>
            <w:r>
              <w:rPr>
                <w:rFonts w:ascii="Times New Roman" w:hAnsi="Times New Roman" w:cs="Times New Roman"/>
              </w:rPr>
              <w:t>本项目噪声质量现状委托了海南中科环境检测有限公司于2019年11月15日~11月16日进行监测。</w:t>
            </w:r>
            <w:r>
              <w:rPr>
                <w:rFonts w:ascii="Times New Roman" w:hAnsi="Times New Roman" w:cs="Times New Roman" w:hint="eastAsia"/>
              </w:rPr>
              <w:t>现状道路车流量见表7，</w:t>
            </w:r>
            <w:r>
              <w:rPr>
                <w:rFonts w:ascii="Times New Roman" w:hAnsi="Times New Roman" w:cs="Times New Roman"/>
              </w:rPr>
              <w:t>监测结果见表</w:t>
            </w:r>
            <w:r>
              <w:rPr>
                <w:rFonts w:ascii="Times New Roman" w:hAnsi="Times New Roman" w:cs="Times New Roman" w:hint="eastAsia"/>
              </w:rPr>
              <w:t>8</w:t>
            </w:r>
            <w:r>
              <w:rPr>
                <w:rFonts w:ascii="Times New Roman" w:hAnsi="Times New Roman" w:cs="Times New Roman"/>
              </w:rPr>
              <w:t>，监测报告见附件5。</w:t>
            </w:r>
          </w:p>
          <w:p>
            <w:pPr>
              <w:pStyle w:val="Default"/>
              <w:spacing w:line="240" w:lineRule="auto"/>
              <w:jc w:val="center"/>
              <w:rPr>
                <w:rFonts w:ascii="Times New Roman"/>
                <w:b/>
                <w:bCs/>
              </w:rPr>
            </w:pPr>
            <w:r>
              <w:rPr>
                <w:rFonts w:ascii="Times New Roman"/>
                <w:b/>
                <w:bCs/>
              </w:rPr>
              <w:t>表</w:t>
            </w:r>
            <w:r>
              <w:rPr>
                <w:rFonts w:ascii="Times New Roman" w:hint="eastAsia"/>
                <w:b/>
                <w:bCs/>
              </w:rPr>
              <w:t>7</w:t>
            </w:r>
            <w:r>
              <w:rPr>
                <w:rFonts w:ascii="Times New Roman"/>
                <w:b/>
                <w:bCs/>
              </w:rPr>
              <w:t xml:space="preserve"> 现状道路车流量表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807"/>
              <w:gridCol w:w="1113"/>
              <w:gridCol w:w="799"/>
              <w:gridCol w:w="1448"/>
              <w:gridCol w:w="1449"/>
              <w:gridCol w:w="1449"/>
              <w:gridCol w:w="6"/>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96"/>
                <w:jc w:val="center"/>
              </w:trPr>
              <w:tc>
                <w:tcPr>
                  <w:tcW w:w="2807" w:type="dxa"/>
                  <w:vMerge w:val="restart"/>
                  <w:tcBorders>
                    <w:tl2br w:val="nil"/>
                    <w:tr2bl w:val="nil"/>
                  </w:tcBorders>
                  <w:noWrap w:val="0"/>
                  <w:vAlign w:val="center"/>
                </w:tcPr>
                <w:p>
                  <w:pPr>
                    <w:adjustRightInd w:val="0"/>
                    <w:spacing w:line="240" w:lineRule="auto"/>
                    <w:ind w:firstLine="0" w:firstLineChars="0"/>
                    <w:jc w:val="center"/>
                    <w:outlineLvl w:val="0"/>
                    <w:rPr>
                      <w:rFonts w:ascii="Times New Roman" w:hAnsi="Times New Roman" w:cs="Times New Roman"/>
                      <w:b/>
                      <w:bCs/>
                      <w:spacing w:val="6"/>
                      <w:sz w:val="21"/>
                    </w:rPr>
                  </w:pPr>
                  <w:r>
                    <w:rPr>
                      <w:rFonts w:ascii="Times New Roman" w:hAnsi="Times New Roman" w:cs="Times New Roman"/>
                      <w:b/>
                      <w:bCs/>
                      <w:sz w:val="21"/>
                    </w:rPr>
                    <w:t>检测点/位置</w:t>
                  </w:r>
                </w:p>
              </w:tc>
              <w:tc>
                <w:tcPr>
                  <w:tcW w:w="1912" w:type="dxa"/>
                  <w:gridSpan w:val="2"/>
                  <w:vMerge w:val="restart"/>
                  <w:tcBorders>
                    <w:tl2br w:val="nil"/>
                    <w:tr2bl w:val="nil"/>
                  </w:tcBorders>
                  <w:noWrap w:val="0"/>
                  <w:vAlign w:val="center"/>
                </w:tcPr>
                <w:p>
                  <w:pPr>
                    <w:adjustRightInd w:val="0"/>
                    <w:spacing w:line="240" w:lineRule="auto"/>
                    <w:ind w:firstLine="0" w:firstLineChars="0"/>
                    <w:jc w:val="center"/>
                    <w:outlineLvl w:val="0"/>
                    <w:rPr>
                      <w:rFonts w:ascii="Times New Roman" w:hAnsi="Times New Roman" w:cs="Times New Roman"/>
                      <w:b/>
                      <w:bCs/>
                      <w:sz w:val="21"/>
                    </w:rPr>
                  </w:pPr>
                  <w:r>
                    <w:rPr>
                      <w:rFonts w:ascii="Times New Roman" w:hAnsi="Times New Roman" w:cs="Times New Roman"/>
                      <w:b/>
                      <w:bCs/>
                      <w:sz w:val="21"/>
                    </w:rPr>
                    <w:t>检测日期</w:t>
                  </w:r>
                </w:p>
              </w:tc>
              <w:tc>
                <w:tcPr>
                  <w:tcW w:w="4352" w:type="dxa"/>
                  <w:gridSpan w:val="4"/>
                  <w:tcBorders>
                    <w:tl2br w:val="nil"/>
                    <w:tr2bl w:val="nil"/>
                  </w:tcBorders>
                  <w:noWrap w:val="0"/>
                  <w:vAlign w:val="center"/>
                </w:tcPr>
                <w:p>
                  <w:pPr>
                    <w:adjustRightInd w:val="0"/>
                    <w:spacing w:line="240" w:lineRule="auto"/>
                    <w:ind w:firstLine="0" w:firstLineChars="0"/>
                    <w:jc w:val="center"/>
                    <w:outlineLvl w:val="0"/>
                    <w:rPr>
                      <w:rFonts w:ascii="Times New Roman" w:hAnsi="Times New Roman" w:cs="Times New Roman"/>
                      <w:b/>
                      <w:bCs/>
                      <w:sz w:val="21"/>
                    </w:rPr>
                  </w:pPr>
                  <w:r>
                    <w:rPr>
                      <w:rFonts w:ascii="Times New Roman" w:hAnsi="Times New Roman" w:cs="Times New Roman"/>
                      <w:b/>
                      <w:bCs/>
                      <w:sz w:val="21"/>
                    </w:rPr>
                    <w:t>车流量（辆/小时）</w:t>
                  </w:r>
                </w:p>
              </w:tc>
            </w:tr>
            <w:tr>
              <w:tblPrEx>
                <w:tblW w:w="0" w:type="auto"/>
                <w:jc w:val="center"/>
                <w:tblLayout w:type="fixed"/>
                <w:tblCellMar>
                  <w:top w:w="0" w:type="dxa"/>
                  <w:left w:w="108" w:type="dxa"/>
                  <w:bottom w:w="0" w:type="dxa"/>
                  <w:right w:w="108" w:type="dxa"/>
                </w:tblCellMar>
              </w:tblPrEx>
              <w:trPr>
                <w:gridAfter w:val="1"/>
                <w:wAfter w:w="5" w:type="dxa"/>
                <w:trHeight w:val="396"/>
                <w:jc w:val="center"/>
              </w:trPr>
              <w:tc>
                <w:tcPr>
                  <w:tcW w:w="2807" w:type="dxa"/>
                  <w:vMerge/>
                  <w:tcBorders>
                    <w:tl2br w:val="nil"/>
                    <w:tr2bl w:val="nil"/>
                  </w:tcBorders>
                  <w:noWrap w:val="0"/>
                  <w:vAlign w:val="center"/>
                </w:tcPr>
                <w:p>
                  <w:pPr>
                    <w:widowControl/>
                    <w:adjustRightInd w:val="0"/>
                    <w:spacing w:line="240" w:lineRule="auto"/>
                    <w:ind w:firstLine="0" w:firstLineChars="0"/>
                    <w:jc w:val="center"/>
                    <w:rPr>
                      <w:rFonts w:ascii="Times New Roman" w:hAnsi="Times New Roman" w:cs="Times New Roman"/>
                      <w:spacing w:val="6"/>
                      <w:sz w:val="21"/>
                    </w:rPr>
                  </w:pPr>
                </w:p>
              </w:tc>
              <w:tc>
                <w:tcPr>
                  <w:tcW w:w="1912" w:type="dxa"/>
                  <w:gridSpan w:val="2"/>
                  <w:vMerge/>
                  <w:tcBorders>
                    <w:tl2br w:val="nil"/>
                    <w:tr2bl w:val="nil"/>
                  </w:tcBorders>
                  <w:noWrap w:val="0"/>
                  <w:vAlign w:val="center"/>
                </w:tcPr>
                <w:p>
                  <w:pPr>
                    <w:widowControl/>
                    <w:adjustRightInd w:val="0"/>
                    <w:spacing w:line="240" w:lineRule="auto"/>
                    <w:ind w:firstLine="0" w:firstLineChars="0"/>
                    <w:jc w:val="center"/>
                    <w:rPr>
                      <w:rFonts w:ascii="Times New Roman" w:hAnsi="Times New Roman" w:cs="Times New Roman"/>
                      <w:sz w:val="21"/>
                    </w:rPr>
                  </w:pPr>
                </w:p>
              </w:tc>
              <w:tc>
                <w:tcPr>
                  <w:tcW w:w="1448" w:type="dxa"/>
                  <w:tcBorders>
                    <w:tl2br w:val="nil"/>
                    <w:tr2bl w:val="nil"/>
                  </w:tcBorders>
                  <w:noWrap w:val="0"/>
                  <w:vAlign w:val="center"/>
                </w:tcPr>
                <w:p>
                  <w:pPr>
                    <w:adjustRightInd w:val="0"/>
                    <w:spacing w:line="240" w:lineRule="auto"/>
                    <w:ind w:firstLine="0" w:firstLineChars="0"/>
                    <w:jc w:val="center"/>
                    <w:outlineLvl w:val="0"/>
                    <w:rPr>
                      <w:rFonts w:ascii="Times New Roman" w:hAnsi="Times New Roman" w:cs="Times New Roman"/>
                      <w:sz w:val="21"/>
                    </w:rPr>
                  </w:pPr>
                  <w:r>
                    <w:rPr>
                      <w:rFonts w:ascii="Times New Roman" w:hAnsi="Times New Roman" w:cs="Times New Roman"/>
                      <w:sz w:val="21"/>
                    </w:rPr>
                    <w:t>大型</w:t>
                  </w:r>
                </w:p>
              </w:tc>
              <w:tc>
                <w:tcPr>
                  <w:tcW w:w="1449" w:type="dxa"/>
                  <w:tcBorders>
                    <w:tl2br w:val="nil"/>
                    <w:tr2bl w:val="nil"/>
                  </w:tcBorders>
                  <w:noWrap w:val="0"/>
                  <w:vAlign w:val="center"/>
                </w:tcPr>
                <w:p>
                  <w:pPr>
                    <w:adjustRightInd w:val="0"/>
                    <w:spacing w:line="240" w:lineRule="auto"/>
                    <w:ind w:firstLine="0" w:firstLineChars="0"/>
                    <w:jc w:val="center"/>
                    <w:outlineLvl w:val="0"/>
                    <w:rPr>
                      <w:rFonts w:ascii="Times New Roman" w:hAnsi="Times New Roman" w:cs="Times New Roman"/>
                      <w:sz w:val="21"/>
                    </w:rPr>
                  </w:pPr>
                  <w:r>
                    <w:rPr>
                      <w:rFonts w:ascii="Times New Roman" w:hAnsi="Times New Roman" w:cs="Times New Roman"/>
                      <w:sz w:val="21"/>
                    </w:rPr>
                    <w:t>中型</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r>
                    <w:rPr>
                      <w:rFonts w:ascii="Times New Roman" w:hAnsi="Times New Roman" w:cs="Times New Roman"/>
                      <w:sz w:val="21"/>
                    </w:rPr>
                    <w:t>小型</w:t>
                  </w:r>
                </w:p>
              </w:tc>
            </w:tr>
            <w:tr>
              <w:tblPrEx>
                <w:tblW w:w="0" w:type="auto"/>
                <w:jc w:val="center"/>
                <w:tblLayout w:type="fixed"/>
                <w:tblCellMar>
                  <w:top w:w="0" w:type="dxa"/>
                  <w:left w:w="108" w:type="dxa"/>
                  <w:bottom w:w="0" w:type="dxa"/>
                  <w:right w:w="108" w:type="dxa"/>
                </w:tblCellMar>
              </w:tblPrEx>
              <w:trPr>
                <w:gridAfter w:val="1"/>
                <w:wAfter w:w="5" w:type="dxa"/>
                <w:trHeight w:val="396"/>
                <w:jc w:val="center"/>
              </w:trPr>
              <w:tc>
                <w:tcPr>
                  <w:tcW w:w="2807"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同心家园六期北区</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（育春路）</w:t>
                  </w:r>
                </w:p>
              </w:tc>
              <w:tc>
                <w:tcPr>
                  <w:tcW w:w="1113"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11月</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15日</w:t>
                  </w: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48</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23</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980</w:t>
                  </w:r>
                </w:p>
              </w:tc>
            </w:tr>
            <w:tr>
              <w:tblPrEx>
                <w:tblW w:w="0" w:type="auto"/>
                <w:jc w:val="center"/>
                <w:tblLayout w:type="fixed"/>
                <w:tblCellMar>
                  <w:top w:w="0" w:type="dxa"/>
                  <w:left w:w="108" w:type="dxa"/>
                  <w:bottom w:w="0" w:type="dxa"/>
                  <w:right w:w="108" w:type="dxa"/>
                </w:tblCellMar>
              </w:tblPrEx>
              <w:trPr>
                <w:gridAfter w:val="1"/>
                <w:wAfter w:w="5" w:type="dxa"/>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21</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10</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466</w:t>
                  </w:r>
                </w:p>
              </w:tc>
            </w:tr>
            <w:tr>
              <w:tblPrEx>
                <w:tblW w:w="0" w:type="auto"/>
                <w:jc w:val="center"/>
                <w:tblLayout w:type="fixed"/>
                <w:tblCellMar>
                  <w:top w:w="0" w:type="dxa"/>
                  <w:left w:w="108" w:type="dxa"/>
                  <w:bottom w:w="0" w:type="dxa"/>
                  <w:right w:w="108" w:type="dxa"/>
                </w:tblCellMar>
              </w:tblPrEx>
              <w:trPr>
                <w:gridAfter w:val="1"/>
                <w:wAfter w:w="5" w:type="dxa"/>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11月</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16日</w:t>
                  </w: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45</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26</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1002</w:t>
                  </w:r>
                </w:p>
              </w:tc>
            </w:tr>
            <w:tr>
              <w:tblPrEx>
                <w:tblW w:w="0" w:type="auto"/>
                <w:jc w:val="center"/>
                <w:tblLayout w:type="fixed"/>
                <w:tblCellMar>
                  <w:top w:w="0" w:type="dxa"/>
                  <w:left w:w="108" w:type="dxa"/>
                  <w:bottom w:w="0" w:type="dxa"/>
                  <w:right w:w="108" w:type="dxa"/>
                </w:tblCellMar>
              </w:tblPrEx>
              <w:trPr>
                <w:gridAfter w:val="1"/>
                <w:wAfter w:w="5" w:type="dxa"/>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23</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458</w:t>
                  </w:r>
                </w:p>
              </w:tc>
            </w:tr>
          </w:tbl>
          <w:p/>
        </w:tc>
      </w:tr>
    </w:tbl>
    <w:p>
      <w:pPr>
        <w:sectPr>
          <w:headerReference w:type="default" r:id="rId43"/>
          <w:footerReference w:type="even" r:id="rId44"/>
          <w:footerReference w:type="default" r:id="rId45"/>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2"/>
          <w:cols w:num="1" w:space="720"/>
          <w:titlePg w:val="0"/>
          <w:docGrid w:type="linesAndChars" w:linePitch="286" w:charSpace="80"/>
        </w:sectPr>
      </w:pP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105"/>
        <w:gridCol w:w="9427"/>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gridBefore w:val="1"/>
          <w:wBefore w:w="105" w:type="dxa"/>
          <w:trHeight w:val="14164"/>
          <w:jc w:val="center"/>
        </w:trPr>
        <w:tc>
          <w:tcPr>
            <w:tcW w:w="9427" w:type="dxa"/>
            <w:noWrap w:val="0"/>
            <w:vAlign w:val="top"/>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807"/>
              <w:gridCol w:w="1113"/>
              <w:gridCol w:w="799"/>
              <w:gridCol w:w="1448"/>
              <w:gridCol w:w="1449"/>
              <w:gridCol w:w="1449"/>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96"/>
                <w:jc w:val="center"/>
              </w:trPr>
              <w:tc>
                <w:tcPr>
                  <w:tcW w:w="2807"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同心家园六期南区</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（育春路）</w:t>
                  </w:r>
                </w:p>
              </w:tc>
              <w:tc>
                <w:tcPr>
                  <w:tcW w:w="1113"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11月</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15日</w:t>
                  </w: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40</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26</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936</w:t>
                  </w:r>
                </w:p>
              </w:tc>
            </w:tr>
            <w:tr>
              <w:tblPrEx>
                <w:tblW w:w="0" w:type="auto"/>
                <w:jc w:val="center"/>
                <w:tblLayout w:type="fixed"/>
                <w:tblCellMar>
                  <w:top w:w="0" w:type="dxa"/>
                  <w:left w:w="108" w:type="dxa"/>
                  <w:bottom w:w="0" w:type="dxa"/>
                  <w:right w:w="108" w:type="dxa"/>
                </w:tblCellMar>
              </w:tblPrEx>
              <w:trPr>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18</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7</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418</w:t>
                  </w:r>
                </w:p>
              </w:tc>
            </w:tr>
            <w:tr>
              <w:tblPrEx>
                <w:tblW w:w="0" w:type="auto"/>
                <w:jc w:val="center"/>
                <w:tblLayout w:type="fixed"/>
                <w:tblCellMar>
                  <w:top w:w="0" w:type="dxa"/>
                  <w:left w:w="108" w:type="dxa"/>
                  <w:bottom w:w="0" w:type="dxa"/>
                  <w:right w:w="108" w:type="dxa"/>
                </w:tblCellMar>
              </w:tblPrEx>
              <w:trPr>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val="restart"/>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11月</w:t>
                  </w:r>
                </w:p>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16日</w:t>
                  </w: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47</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24</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970</w:t>
                  </w:r>
                </w:p>
              </w:tc>
            </w:tr>
            <w:tr>
              <w:tblPrEx>
                <w:tblW w:w="0" w:type="auto"/>
                <w:jc w:val="center"/>
                <w:tblLayout w:type="fixed"/>
                <w:tblCellMar>
                  <w:top w:w="0" w:type="dxa"/>
                  <w:left w:w="108" w:type="dxa"/>
                  <w:bottom w:w="0" w:type="dxa"/>
                  <w:right w:w="108" w:type="dxa"/>
                </w:tblCellMar>
              </w:tblPrEx>
              <w:trPr>
                <w:trHeight w:val="396"/>
                <w:jc w:val="center"/>
              </w:trPr>
              <w:tc>
                <w:tcPr>
                  <w:tcW w:w="2807"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kern w:val="0"/>
                      <w:sz w:val="21"/>
                    </w:rPr>
                  </w:pPr>
                </w:p>
              </w:tc>
              <w:tc>
                <w:tcPr>
                  <w:tcW w:w="1113" w:type="dxa"/>
                  <w:vMerge/>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p>
              </w:tc>
              <w:tc>
                <w:tcPr>
                  <w:tcW w:w="79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448"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16</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13</w:t>
                  </w:r>
                </w:p>
              </w:tc>
              <w:tc>
                <w:tcPr>
                  <w:tcW w:w="1449" w:type="dxa"/>
                  <w:tcBorders>
                    <w:tl2br w:val="nil"/>
                    <w:tr2bl w:val="nil"/>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429</w:t>
                  </w:r>
                </w:p>
              </w:tc>
            </w:tr>
          </w:tbl>
          <w:p>
            <w:pPr>
              <w:pStyle w:val="Default"/>
              <w:snapToGrid w:val="0"/>
              <w:jc w:val="center"/>
              <w:rPr>
                <w:rFonts w:ascii="Times New Roman"/>
                <w:b/>
                <w:bCs/>
              </w:rPr>
            </w:pPr>
          </w:p>
          <w:p>
            <w:pPr>
              <w:pStyle w:val="Default"/>
              <w:snapToGrid w:val="0"/>
              <w:jc w:val="center"/>
              <w:rPr>
                <w:rFonts w:ascii="Times New Roman"/>
                <w:b/>
                <w:bCs/>
              </w:rPr>
            </w:pPr>
            <w:r>
              <w:rPr>
                <w:rFonts w:ascii="Times New Roman"/>
                <w:b/>
                <w:bCs/>
              </w:rPr>
              <w:t>表</w:t>
            </w:r>
            <w:r>
              <w:rPr>
                <w:rFonts w:ascii="Times New Roman" w:hint="eastAsia"/>
                <w:b/>
                <w:bCs/>
              </w:rPr>
              <w:t>8</w:t>
            </w:r>
            <w:r>
              <w:rPr>
                <w:rFonts w:ascii="Times New Roman"/>
                <w:b/>
                <w:bCs/>
              </w:rPr>
              <w:t xml:space="preserve"> 项目厂界噪声现状监测结果表</w:t>
            </w:r>
          </w:p>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2027"/>
              <w:gridCol w:w="518"/>
              <w:gridCol w:w="1956"/>
              <w:gridCol w:w="739"/>
              <w:gridCol w:w="1276"/>
              <w:gridCol w:w="994"/>
              <w:gridCol w:w="994"/>
            </w:tblGrid>
            <w:tr>
              <w:tblPrEx>
                <w:tblW w:w="8504"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20"/>
                <w:tblHeader/>
                <w:jc w:val="center"/>
              </w:trPr>
              <w:tc>
                <w:tcPr>
                  <w:tcW w:w="2027" w:type="dxa"/>
                  <w:noWrap w:val="0"/>
                  <w:vAlign w:val="center"/>
                </w:tcPr>
                <w:p>
                  <w:pPr>
                    <w:adjustRightInd w:val="0"/>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测点名称</w:t>
                  </w:r>
                </w:p>
              </w:tc>
              <w:tc>
                <w:tcPr>
                  <w:tcW w:w="518" w:type="dxa"/>
                  <w:noWrap w:val="0"/>
                  <w:vAlign w:val="center"/>
                </w:tcPr>
                <w:p>
                  <w:pPr>
                    <w:adjustRightInd w:val="0"/>
                    <w:spacing w:line="240" w:lineRule="auto"/>
                    <w:ind w:firstLine="0" w:firstLineChars="0"/>
                    <w:jc w:val="center"/>
                    <w:rPr>
                      <w:rFonts w:ascii="Times New Roman" w:hAnsi="Times New Roman" w:cs="Times New Roman" w:hint="default"/>
                      <w:b/>
                      <w:bCs/>
                      <w:sz w:val="21"/>
                    </w:rPr>
                  </w:pPr>
                  <w:r>
                    <w:rPr>
                      <w:rFonts w:ascii="Times New Roman" w:hAnsi="Times New Roman" w:cs="Times New Roman" w:hint="eastAsia"/>
                      <w:b/>
                      <w:bCs/>
                      <w:sz w:val="21"/>
                      <w:lang w:val="en-US" w:eastAsia="zh-CN"/>
                    </w:rPr>
                    <w:t>距离道路红线距离</w:t>
                  </w:r>
                </w:p>
              </w:tc>
              <w:tc>
                <w:tcPr>
                  <w:tcW w:w="2695" w:type="dxa"/>
                  <w:gridSpan w:val="2"/>
                  <w:noWrap w:val="0"/>
                  <w:vAlign w:val="center"/>
                </w:tcPr>
                <w:p>
                  <w:pPr>
                    <w:adjustRightInd w:val="0"/>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测点时间</w:t>
                  </w:r>
                </w:p>
              </w:tc>
              <w:tc>
                <w:tcPr>
                  <w:tcW w:w="1276" w:type="dxa"/>
                  <w:noWrap w:val="0"/>
                  <w:vAlign w:val="center"/>
                </w:tcPr>
                <w:p>
                  <w:pPr>
                    <w:adjustRightInd w:val="0"/>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等效声级dB(A)</w:t>
                  </w:r>
                </w:p>
              </w:tc>
              <w:tc>
                <w:tcPr>
                  <w:tcW w:w="994" w:type="dxa"/>
                  <w:noWrap w:val="0"/>
                  <w:vAlign w:val="center"/>
                </w:tcPr>
                <w:p>
                  <w:pPr>
                    <w:adjustRightInd w:val="0"/>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评价标准dB(A)</w:t>
                  </w:r>
                </w:p>
              </w:tc>
              <w:tc>
                <w:tcPr>
                  <w:tcW w:w="994" w:type="dxa"/>
                  <w:noWrap w:val="0"/>
                  <w:vAlign w:val="center"/>
                </w:tcPr>
                <w:p>
                  <w:pPr>
                    <w:adjustRightInd w:val="0"/>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评价结果</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1-1同心家园六期北区首排建筑1层靠窗处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61</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9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1-2同心家园六期北区首排建筑3层靠窗处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59</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49</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1-3同心家园六期北区首排建筑5层靠窗处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62</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1-4同心家园六期北区首排建筑7层靠窗处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59</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58</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1-5同心家园六期北区首排建筑9层靠窗处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61</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49</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1-6同心家园六期北区首排建筑11层靠窗处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58</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49</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48</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1-7同心家园六期北区首排建筑13层靠窗处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58</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57</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1-8同心家园六期北区首排建筑15层靠窗处</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57</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48</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59</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noWrap w:val="0"/>
                  <w:vAlign w:val="top"/>
                </w:tcPr>
                <w:p>
                  <w:pPr>
                    <w:adjustRightInd w:val="0"/>
                    <w:spacing w:after="0" w:line="240" w:lineRule="auto"/>
                    <w:ind w:firstLine="0" w:firstLineChars="0"/>
                    <w:jc w:val="center"/>
                    <w:rPr>
                      <w:rFonts w:ascii="Times New Roman" w:hAnsi="Times New Roman" w:cs="Times New Roman"/>
                      <w:sz w:val="21"/>
                    </w:rPr>
                  </w:pPr>
                </w:p>
              </w:tc>
              <w:tc>
                <w:tcPr>
                  <w:tcW w:w="518" w:type="dxa"/>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10</w:t>
                  </w:r>
                </w:p>
              </w:tc>
              <w:tc>
                <w:tcPr>
                  <w:tcW w:w="1956" w:type="dxa"/>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59</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bl>
          <w:p/>
        </w:tc>
      </w:tr>
    </w:tbl>
    <w:p>
      <w:pPr>
        <w:sectPr>
          <w:headerReference w:type="default" r:id="rId46"/>
          <w:footerReference w:type="even" r:id="rId47"/>
          <w:footerReference w:type="default" r:id="rId48"/>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3"/>
          <w:cols w:num="1" w:space="720"/>
          <w:titlePg w:val="0"/>
          <w:docGrid w:type="linesAndChars" w:linePitch="286" w:charSpace="80"/>
        </w:sectPr>
      </w:pP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105"/>
        <w:gridCol w:w="9427"/>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gridBefore w:val="1"/>
          <w:wBefore w:w="105" w:type="dxa"/>
          <w:trHeight w:val="14164"/>
          <w:jc w:val="center"/>
        </w:trPr>
        <w:tc>
          <w:tcPr>
            <w:tcW w:w="9427" w:type="dxa"/>
            <w:noWrap w:val="0"/>
            <w:vAlign w:val="top"/>
          </w:tcPr>
          <w:tbl>
            <w:tblPr>
              <w:tblStyle w:val="TableNormal"/>
              <w:tblW w:w="8504"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2027"/>
              <w:gridCol w:w="518"/>
              <w:gridCol w:w="1956"/>
              <w:gridCol w:w="739"/>
              <w:gridCol w:w="1276"/>
              <w:gridCol w:w="994"/>
              <w:gridCol w:w="994"/>
            </w:tblGrid>
            <w:tr>
              <w:tblPrEx>
                <w:tblW w:w="8504"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before="0" w:line="240" w:lineRule="auto"/>
                    <w:ind w:firstLine="0" w:firstLineChars="0"/>
                    <w:jc w:val="center"/>
                    <w:rPr>
                      <w:rFonts w:ascii="Times New Roman" w:hAnsi="Times New Roman" w:cs="Times New Roman"/>
                      <w:sz w:val="21"/>
                    </w:rPr>
                  </w:pPr>
                  <w:r>
                    <w:rPr>
                      <w:rFonts w:ascii="Times New Roman" w:hAnsi="Times New Roman" w:cs="Times New Roman"/>
                      <w:sz w:val="21"/>
                    </w:rPr>
                    <w:t>1-9同心家园六期北区首排建筑17层靠窗处</w:t>
                  </w:r>
                </w:p>
              </w:tc>
              <w:tc>
                <w:tcPr>
                  <w:tcW w:w="518" w:type="dxa"/>
                  <w:vMerge w:val="restart"/>
                  <w:noWrap w:val="0"/>
                  <w:vAlign w:val="center"/>
                </w:tcPr>
                <w:p/>
              </w:tc>
              <w:tc>
                <w:tcPr>
                  <w:tcW w:w="1956" w:type="dxa"/>
                  <w:vMerge w:val="restart"/>
                  <w:noWrap w:val="0"/>
                  <w:vAlign w:val="center"/>
                </w:tcPr>
                <w:p/>
              </w:tc>
              <w:tc>
                <w:tcPr>
                  <w:tcW w:w="739" w:type="dxa"/>
                  <w:tcBorders>
                    <w:bottom w:val="single" w:sz="4" w:space="0" w:color="auto"/>
                  </w:tcBorders>
                  <w:noWrap w:val="0"/>
                  <w:vAlign w:val="center"/>
                </w:tcPr>
                <w:p/>
              </w:tc>
              <w:tc>
                <w:tcPr>
                  <w:tcW w:w="1276" w:type="dxa"/>
                  <w:tcBorders>
                    <w:bottom w:val="single" w:sz="4" w:space="0" w:color="auto"/>
                  </w:tcBorders>
                  <w:noWrap w:val="0"/>
                  <w:vAlign w:val="center"/>
                </w:tcPr>
                <w:p/>
              </w:tc>
              <w:tc>
                <w:tcPr>
                  <w:tcW w:w="994" w:type="dxa"/>
                  <w:tcBorders>
                    <w:bottom w:val="single" w:sz="4" w:space="0" w:color="auto"/>
                  </w:tcBorders>
                  <w:noWrap w:val="0"/>
                  <w:vAlign w:val="center"/>
                </w:tcPr>
                <w:p/>
              </w:tc>
              <w:tc>
                <w:tcPr>
                  <w:tcW w:w="994" w:type="dxa"/>
                  <w:tcBorders>
                    <w:bottom w:val="single" w:sz="4" w:space="0" w:color="auto"/>
                  </w:tcBorders>
                  <w:noWrap w:val="0"/>
                  <w:vAlign w:val="center"/>
                </w:tcP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tcBorders>
                    <w:bottom w:val="single" w:sz="4" w:space="0" w:color="auto"/>
                  </w:tcBorders>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60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49</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color w:val="auto"/>
                      <w:sz w:val="21"/>
                    </w:rPr>
                    <w:t>55</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top"/>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lang w:val="en-US" w:eastAsia="zh-CN"/>
                    </w:rPr>
                    <w:t>4</w:t>
                  </w:r>
                  <w:r>
                    <w:rPr>
                      <w:rFonts w:ascii="Times New Roman" w:hAnsi="Times New Roman" w:cs="Times New Roman"/>
                      <w:sz w:val="21"/>
                    </w:rPr>
                    <w:t>#同心家园六期北区内</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84</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46</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50</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51</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50</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lang w:val="en-US" w:eastAsia="zh-CN"/>
                    </w:rPr>
                    <w:t>5</w:t>
                  </w:r>
                  <w:r>
                    <w:rPr>
                      <w:rFonts w:ascii="Times New Roman" w:hAnsi="Times New Roman" w:cs="Times New Roman"/>
                      <w:sz w:val="21"/>
                    </w:rPr>
                    <w:t>#同心家园六期南区内</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47</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48</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50</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52</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60</w:t>
                  </w:r>
                </w:p>
              </w:tc>
              <w:tc>
                <w:tcPr>
                  <w:tcW w:w="994" w:type="dxa"/>
                  <w:tcBorders>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50</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1#同心家园六期北区</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12</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63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left="0" w:firstLine="210" w:leftChars="0" w:firstLineChars="100"/>
                    <w:jc w:val="both"/>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53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63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52</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lang w:val="en-US" w:eastAsia="zh-CN"/>
                    </w:rPr>
                    <w:t>2#同心家园六期南区</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15</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62</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53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63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70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lang w:val="en-US" w:eastAsia="zh-CN"/>
                    </w:rPr>
                    <w:t>53</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color w:val="auto"/>
                      <w:sz w:val="21"/>
                    </w:rPr>
                    <w:t>55</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val="restart"/>
                  <w:noWrap w:val="0"/>
                  <w:vAlign w:val="center"/>
                </w:tcPr>
                <w:p>
                  <w:pPr>
                    <w:adjustRightInd w:val="0"/>
                    <w:spacing w:line="240" w:lineRule="auto"/>
                    <w:ind w:firstLine="0" w:firstLineChars="0"/>
                    <w:jc w:val="center"/>
                    <w:rPr>
                      <w:rFonts w:ascii="Times New Roman" w:hAnsi="Times New Roman" w:cs="Times New Roman" w:hint="eastAsia"/>
                      <w:sz w:val="21"/>
                    </w:rPr>
                  </w:pPr>
                  <w:r>
                    <w:rPr>
                      <w:rFonts w:ascii="Times New Roman" w:hAnsi="Times New Roman" w:cs="Times New Roman" w:hint="eastAsia"/>
                      <w:sz w:val="21"/>
                    </w:rPr>
                    <w:t>3</w:t>
                  </w:r>
                  <w:r>
                    <w:rPr>
                      <w:rFonts w:ascii="Times New Roman" w:hAnsi="Times New Roman" w:cs="Times New Roman"/>
                      <w:sz w:val="21"/>
                    </w:rPr>
                    <w:t>#</w:t>
                  </w:r>
                  <w:r>
                    <w:rPr>
                      <w:rFonts w:ascii="Times New Roman" w:hAnsi="Times New Roman" w:cs="Times New Roman" w:hint="eastAsia"/>
                      <w:sz w:val="21"/>
                    </w:rPr>
                    <w:t>居民点</w:t>
                  </w:r>
                </w:p>
              </w:tc>
              <w:tc>
                <w:tcPr>
                  <w:tcW w:w="518" w:type="dxa"/>
                  <w:vMerge w:val="restart"/>
                  <w:noWrap w:val="0"/>
                  <w:vAlign w:val="center"/>
                </w:tcPr>
                <w:p>
                  <w:pPr>
                    <w:adjustRightInd w:val="0"/>
                    <w:spacing w:line="240" w:lineRule="auto"/>
                    <w:ind w:firstLine="0" w:firstLineChars="0"/>
                    <w:jc w:val="center"/>
                    <w:rPr>
                      <w:rFonts w:ascii="Times New Roman" w:hAnsi="Times New Roman" w:cs="Times New Roman" w:hint="default"/>
                      <w:sz w:val="21"/>
                    </w:rPr>
                  </w:pPr>
                  <w:r>
                    <w:rPr>
                      <w:rFonts w:ascii="Times New Roman" w:hAnsi="Times New Roman" w:cs="Times New Roman" w:hint="eastAsia"/>
                      <w:sz w:val="21"/>
                      <w:lang w:val="en-US" w:eastAsia="zh-CN"/>
                    </w:rPr>
                    <w:t>13</w:t>
                  </w: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2019年11月15日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55</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color w:val="auto"/>
                      <w:sz w:val="21"/>
                    </w:rPr>
                  </w:pPr>
                  <w:r>
                    <w:rPr>
                      <w:rFonts w:ascii="Times New Roman" w:hAnsi="Times New Roman" w:cs="Times New Roman" w:hint="eastAsia"/>
                      <w:color w:val="auto"/>
                      <w:sz w:val="21"/>
                    </w:rPr>
                    <w:t>60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46</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hint="eastAsia"/>
                      <w:color w:val="auto"/>
                      <w:sz w:val="21"/>
                    </w:rPr>
                    <w:t>50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1956" w:type="dxa"/>
                  <w:vMerge w:val="restart"/>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2019年11月16日</w:t>
                  </w:r>
                </w:p>
              </w:tc>
              <w:tc>
                <w:tcPr>
                  <w:tcW w:w="739"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昼间</w:t>
                  </w:r>
                </w:p>
              </w:tc>
              <w:tc>
                <w:tcPr>
                  <w:tcW w:w="1276"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54</w:t>
                  </w:r>
                </w:p>
              </w:tc>
              <w:tc>
                <w:tcPr>
                  <w:tcW w:w="994" w:type="dxa"/>
                  <w:tcBorders>
                    <w:top w:val="single" w:sz="4" w:space="0" w:color="auto"/>
                    <w:bottom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hint="eastAsia"/>
                      <w:color w:val="auto"/>
                      <w:sz w:val="21"/>
                    </w:rPr>
                    <w:t>60</w:t>
                  </w:r>
                </w:p>
              </w:tc>
              <w:tc>
                <w:tcPr>
                  <w:tcW w:w="994" w:type="dxa"/>
                  <w:tcBorders>
                    <w:top w:val="single" w:sz="4" w:space="0" w:color="auto"/>
                    <w:bottom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r>
              <w:tblPrEx>
                <w:tblW w:w="8504" w:type="dxa"/>
                <w:jc w:val="center"/>
                <w:tblLayout w:type="fixed"/>
                <w:tblCellMar>
                  <w:top w:w="0" w:type="dxa"/>
                  <w:left w:w="108" w:type="dxa"/>
                  <w:bottom w:w="0" w:type="dxa"/>
                  <w:right w:w="108" w:type="dxa"/>
                </w:tblCellMar>
              </w:tblPrEx>
              <w:trPr>
                <w:trHeight w:val="20"/>
                <w:jc w:val="center"/>
              </w:trPr>
              <w:tc>
                <w:tcPr>
                  <w:tcW w:w="2027" w:type="dxa"/>
                  <w:vMerge/>
                  <w:noWrap w:val="0"/>
                  <w:vAlign w:val="center"/>
                </w:tcPr>
                <w:p>
                  <w:pPr>
                    <w:adjustRightInd w:val="0"/>
                    <w:spacing w:line="240" w:lineRule="auto"/>
                    <w:ind w:firstLine="0" w:firstLineChars="0"/>
                    <w:jc w:val="center"/>
                    <w:rPr>
                      <w:rFonts w:ascii="Times New Roman" w:hAnsi="Times New Roman" w:cs="Times New Roman"/>
                      <w:sz w:val="21"/>
                    </w:rPr>
                  </w:pPr>
                </w:p>
              </w:tc>
              <w:tc>
                <w:tcPr>
                  <w:tcW w:w="518"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1956" w:type="dxa"/>
                  <w:vMerge/>
                  <w:noWrap w:val="0"/>
                  <w:vAlign w:val="top"/>
                </w:tcPr>
                <w:p>
                  <w:pPr>
                    <w:adjustRightInd w:val="0"/>
                    <w:spacing w:line="240" w:lineRule="auto"/>
                    <w:ind w:firstLine="0" w:firstLineChars="0"/>
                    <w:jc w:val="center"/>
                    <w:rPr>
                      <w:rFonts w:ascii="Times New Roman" w:hAnsi="Times New Roman" w:cs="Times New Roman"/>
                      <w:sz w:val="21"/>
                    </w:rPr>
                  </w:pPr>
                </w:p>
              </w:tc>
              <w:tc>
                <w:tcPr>
                  <w:tcW w:w="739"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sz w:val="21"/>
                    </w:rPr>
                    <w:t>夜间</w:t>
                  </w:r>
                </w:p>
              </w:tc>
              <w:tc>
                <w:tcPr>
                  <w:tcW w:w="1276"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sz w:val="21"/>
                    </w:rPr>
                  </w:pPr>
                  <w:r>
                    <w:rPr>
                      <w:rFonts w:ascii="Times New Roman" w:hAnsi="Times New Roman" w:cs="Times New Roman" w:hint="eastAsia"/>
                      <w:sz w:val="21"/>
                    </w:rPr>
                    <w:t>47</w:t>
                  </w:r>
                </w:p>
              </w:tc>
              <w:tc>
                <w:tcPr>
                  <w:tcW w:w="994" w:type="dxa"/>
                  <w:tcBorders>
                    <w:top w:val="single" w:sz="4" w:space="0" w:color="auto"/>
                  </w:tcBorders>
                  <w:noWrap w:val="0"/>
                  <w:vAlign w:val="center"/>
                </w:tcPr>
                <w:p>
                  <w:pPr>
                    <w:adjustRightInd w:val="0"/>
                    <w:spacing w:line="240" w:lineRule="auto"/>
                    <w:ind w:firstLine="0" w:firstLineChars="0"/>
                    <w:jc w:val="center"/>
                    <w:rPr>
                      <w:rFonts w:ascii="Times New Roman" w:hAnsi="Times New Roman" w:cs="Times New Roman" w:hint="eastAsia"/>
                      <w:color w:val="auto"/>
                      <w:sz w:val="21"/>
                    </w:rPr>
                  </w:pPr>
                  <w:r>
                    <w:rPr>
                      <w:rFonts w:ascii="Times New Roman" w:hAnsi="Times New Roman" w:cs="Times New Roman" w:hint="eastAsia"/>
                      <w:color w:val="auto"/>
                      <w:sz w:val="21"/>
                    </w:rPr>
                    <w:t>50</w:t>
                  </w:r>
                </w:p>
              </w:tc>
              <w:tc>
                <w:tcPr>
                  <w:tcW w:w="994" w:type="dxa"/>
                  <w:tcBorders>
                    <w:top w:val="single" w:sz="4" w:space="0" w:color="auto"/>
                  </w:tcBorders>
                  <w:noWrap w:val="0"/>
                  <w:vAlign w:val="center"/>
                </w:tcPr>
                <w:p>
                  <w:pPr>
                    <w:adjustRightInd w:val="0"/>
                    <w:spacing w:line="240" w:lineRule="auto"/>
                    <w:ind w:left="0" w:firstLine="0" w:leftChars="0" w:firstLineChars="0"/>
                    <w:jc w:val="center"/>
                    <w:rPr>
                      <w:rFonts w:ascii="Times New Roman" w:hAnsi="Times New Roman" w:cs="Times New Roman"/>
                      <w:sz w:val="21"/>
                    </w:rPr>
                  </w:pPr>
                  <w:r>
                    <w:rPr>
                      <w:rFonts w:ascii="Times New Roman" w:hAnsi="Times New Roman" w:cs="Times New Roman"/>
                      <w:sz w:val="21"/>
                    </w:rPr>
                    <w:t>达标</w:t>
                  </w:r>
                </w:p>
              </w:tc>
            </w:tr>
          </w:tbl>
          <w:p>
            <w:pPr>
              <w:ind w:firstLine="481"/>
              <w:rPr>
                <w:rFonts w:ascii="Times New Roman" w:hAnsi="Times New Roman" w:cs="Times New Roman" w:hint="default"/>
                <w:color w:val="auto"/>
                <w:szCs w:val="24"/>
              </w:rPr>
            </w:pPr>
            <w:r>
              <w:rPr>
                <w:rFonts w:ascii="Times New Roman" w:hAnsi="Times New Roman" w:cs="Times New Roman" w:hint="eastAsia"/>
                <w:b/>
                <w:bCs/>
                <w:color w:val="auto"/>
                <w:sz w:val="21"/>
                <w:szCs w:val="21"/>
                <w:lang w:val="en-US" w:eastAsia="zh-CN"/>
              </w:rPr>
              <w:t>注：3#居民点主要声源为社会生活</w:t>
            </w:r>
          </w:p>
          <w:p>
            <w:pPr>
              <w:ind w:firstLine="481"/>
              <w:rPr>
                <w:rFonts w:ascii="Times New Roman" w:hAnsi="Times New Roman" w:cs="Times New Roman"/>
                <w:color w:val="auto"/>
                <w:szCs w:val="24"/>
              </w:rPr>
            </w:pPr>
            <w:r>
              <w:rPr>
                <w:rFonts w:ascii="Times New Roman" w:hAnsi="Times New Roman" w:cs="Times New Roman"/>
                <w:color w:val="auto"/>
                <w:szCs w:val="24"/>
              </w:rPr>
              <w:t>根据上表监测结果，同心家园六期北区</w:t>
            </w:r>
            <w:r>
              <w:rPr>
                <w:rFonts w:ascii="Times New Roman" w:hAnsi="Times New Roman" w:cs="Times New Roman" w:hint="eastAsia"/>
                <w:color w:val="auto"/>
                <w:szCs w:val="24"/>
              </w:rPr>
              <w:t>内</w:t>
            </w:r>
            <w:r>
              <w:rPr>
                <w:rFonts w:ascii="Times New Roman" w:hAnsi="Times New Roman" w:cs="Times New Roman"/>
                <w:color w:val="auto"/>
                <w:szCs w:val="24"/>
              </w:rPr>
              <w:t>、同心家园六期南区</w:t>
            </w:r>
            <w:r>
              <w:rPr>
                <w:rFonts w:ascii="Times New Roman" w:hAnsi="Times New Roman" w:cs="Times New Roman" w:hint="eastAsia"/>
                <w:color w:val="auto"/>
                <w:szCs w:val="24"/>
              </w:rPr>
              <w:t>内、居民点</w:t>
            </w:r>
            <w:r>
              <w:rPr>
                <w:rFonts w:ascii="Times New Roman" w:hAnsi="Times New Roman" w:cs="Times New Roman"/>
                <w:color w:val="auto"/>
                <w:szCs w:val="24"/>
              </w:rPr>
              <w:t>监测点噪声值达到了《声环境质量标准》（GB3096-2008）中的</w:t>
            </w:r>
            <w:r>
              <w:rPr>
                <w:rFonts w:ascii="Times New Roman" w:hAnsi="Times New Roman" w:cs="Times New Roman" w:hint="eastAsia"/>
                <w:color w:val="auto"/>
                <w:szCs w:val="24"/>
              </w:rPr>
              <w:t>2</w:t>
            </w:r>
            <w:r>
              <w:rPr>
                <w:rFonts w:ascii="Times New Roman" w:hAnsi="Times New Roman" w:cs="Times New Roman"/>
                <w:color w:val="auto"/>
                <w:szCs w:val="24"/>
              </w:rPr>
              <w:t>类标准限值要求，</w:t>
            </w:r>
            <w:r>
              <w:rPr>
                <w:rFonts w:ascii="Times New Roman" w:hAnsi="Times New Roman" w:cs="Times New Roman" w:hint="eastAsia"/>
                <w:color w:val="auto"/>
                <w:szCs w:val="24"/>
                <w:lang w:val="en-US" w:eastAsia="zh-CN"/>
              </w:rPr>
              <w:t>4#、5#、</w:t>
            </w:r>
            <w:r>
              <w:rPr>
                <w:rFonts w:ascii="Times New Roman" w:hAnsi="Times New Roman" w:cs="Times New Roman" w:hint="eastAsia"/>
                <w:color w:val="auto"/>
                <w:szCs w:val="24"/>
              </w:rPr>
              <w:t>1-1~1-9同心家园六期北区首排建筑靠窗处</w:t>
            </w:r>
            <w:r>
              <w:rPr>
                <w:rFonts w:ascii="Times New Roman" w:hAnsi="Times New Roman" w:cs="Times New Roman"/>
                <w:color w:val="auto"/>
                <w:szCs w:val="24"/>
              </w:rPr>
              <w:t>监测点噪声值达到了《声环境质量标准》（GB3096-2008）中的</w:t>
            </w:r>
            <w:r>
              <w:rPr>
                <w:rFonts w:ascii="Times New Roman" w:hAnsi="Times New Roman" w:cs="Times New Roman" w:hint="eastAsia"/>
                <w:color w:val="auto"/>
                <w:szCs w:val="24"/>
              </w:rPr>
              <w:t>4a</w:t>
            </w:r>
            <w:r>
              <w:rPr>
                <w:rFonts w:ascii="Times New Roman" w:hAnsi="Times New Roman" w:cs="Times New Roman"/>
                <w:color w:val="auto"/>
                <w:szCs w:val="24"/>
              </w:rPr>
              <w:t>类标准限值要求。</w:t>
            </w:r>
          </w:p>
          <w:p>
            <w:pPr>
              <w:ind w:firstLine="483"/>
              <w:rPr>
                <w:rFonts w:ascii="Times New Roman" w:hAnsi="Times New Roman" w:cs="Times New Roman"/>
                <w:b/>
                <w:bCs/>
              </w:rPr>
            </w:pPr>
            <w:r>
              <w:rPr>
                <w:rFonts w:ascii="Times New Roman" w:hAnsi="Times New Roman" w:cs="Times New Roman"/>
                <w:b/>
                <w:bCs/>
              </w:rPr>
              <w:t>3、地表水环境质量现状</w:t>
            </w:r>
          </w:p>
          <w:p>
            <w:pPr>
              <w:ind w:firstLine="481"/>
              <w:rPr>
                <w:rFonts w:ascii="Times New Roman" w:hAnsi="Times New Roman" w:cs="Times New Roman"/>
              </w:rPr>
            </w:pPr>
            <w:r>
              <w:rPr>
                <w:rFonts w:ascii="Times New Roman" w:hAnsi="Times New Roman" w:cs="Times New Roman"/>
              </w:rPr>
              <w:t>根据三亚市环境监测站发布</w:t>
            </w:r>
            <w:r>
              <w:rPr>
                <w:rFonts w:ascii="Times New Roman" w:hAnsi="Times New Roman" w:cs="Times New Roman"/>
                <w:color w:val="auto"/>
              </w:rPr>
              <w:t>的《三亚市环境质量月报》（</w:t>
            </w:r>
            <w:r>
              <w:rPr>
                <w:rFonts w:ascii="Times New Roman" w:hAnsi="Times New Roman" w:cs="Times New Roman" w:hint="eastAsia"/>
                <w:color w:val="auto"/>
                <w:lang w:val="en-US" w:eastAsia="zh-CN"/>
              </w:rPr>
              <w:t>2020</w:t>
            </w:r>
            <w:r>
              <w:rPr>
                <w:rFonts w:ascii="Times New Roman" w:hAnsi="Times New Roman" w:cs="Times New Roman"/>
                <w:color w:val="auto"/>
              </w:rPr>
              <w:t>年</w:t>
            </w:r>
            <w:r>
              <w:rPr>
                <w:rFonts w:ascii="Times New Roman" w:hAnsi="Times New Roman" w:cs="Times New Roman" w:hint="eastAsia"/>
                <w:color w:val="auto"/>
                <w:lang w:val="en-US" w:eastAsia="zh-CN"/>
              </w:rPr>
              <w:t>4</w:t>
            </w:r>
            <w:r>
              <w:rPr>
                <w:rFonts w:ascii="Times New Roman" w:hAnsi="Times New Roman" w:cs="Times New Roman"/>
                <w:color w:val="auto"/>
              </w:rPr>
              <w:t>月），三</w:t>
            </w:r>
            <w:r>
              <w:rPr>
                <w:rFonts w:ascii="Times New Roman" w:hAnsi="Times New Roman" w:cs="Times New Roman"/>
              </w:rPr>
              <w:t>亚河妙林断面水质执行《地表水环境质量》（GB3838-2002）中的</w:t>
            </w:r>
            <w:r>
              <w:rPr>
                <w:rFonts w:ascii="Times New Roman" w:eastAsia="宋体" w:hAnsi="Times New Roman" w:cs="Times New Roman" w:hint="default"/>
              </w:rPr>
              <w:t>Ⅳ</w:t>
            </w:r>
            <w:r>
              <w:rPr>
                <w:rFonts w:ascii="Times New Roman" w:hAnsi="Times New Roman" w:cs="Times New Roman"/>
              </w:rPr>
              <w:t>类标准，</w:t>
            </w:r>
            <w:r>
              <w:rPr>
                <w:rFonts w:ascii="Times New Roman" w:hAnsi="Times New Roman" w:cs="Times New Roman" w:hint="eastAsia"/>
              </w:rPr>
              <w:t>经过对现状三亚河水质监测，监测结果符合</w:t>
            </w:r>
            <w:r>
              <w:rPr>
                <w:rFonts w:ascii="Times New Roman" w:hAnsi="Times New Roman" w:cs="Times New Roman"/>
              </w:rPr>
              <w:t>《地表水环境质量》（GB3838-2002）中的</w:t>
            </w:r>
            <w:r>
              <w:rPr>
                <w:rFonts w:ascii="Times New Roman" w:eastAsia="宋体" w:hAnsi="Times New Roman" w:cs="Times New Roman" w:hint="default"/>
              </w:rPr>
              <w:t>Ⅳ</w:t>
            </w:r>
            <w:r>
              <w:rPr>
                <w:rFonts w:ascii="Times New Roman" w:hAnsi="Times New Roman" w:cs="Times New Roman"/>
              </w:rPr>
              <w:t>类标准</w:t>
            </w:r>
            <w:r>
              <w:rPr>
                <w:rFonts w:ascii="Times New Roman" w:hAnsi="Times New Roman" w:cs="Times New Roman" w:hint="eastAsia"/>
              </w:rPr>
              <w:t>限值要求。</w:t>
            </w:r>
            <w:r>
              <w:rPr>
                <w:rFonts w:ascii="Times New Roman" w:hAnsi="Times New Roman" w:cs="Times New Roman"/>
              </w:rPr>
              <w:t>监测结果见表</w:t>
            </w:r>
            <w:r>
              <w:rPr>
                <w:rFonts w:ascii="Times New Roman" w:hAnsi="Times New Roman" w:cs="Times New Roman" w:hint="eastAsia"/>
              </w:rPr>
              <w:t>9</w:t>
            </w:r>
            <w:r>
              <w:rPr>
                <w:rFonts w:ascii="Times New Roman" w:hAnsi="Times New Roman" w:cs="Times New Roman"/>
              </w:rPr>
              <w:t xml:space="preserve">，监测报告见附件5。          </w:t>
            </w:r>
          </w:p>
          <w:p>
            <w:pPr>
              <w:spacing w:line="240" w:lineRule="auto"/>
              <w:ind w:firstLine="0" w:firstLineChars="0"/>
              <w:jc w:val="center"/>
              <w:rPr>
                <w:rFonts w:ascii="Times New Roman" w:hAnsi="Times New Roman" w:cs="Times New Roman"/>
                <w:b/>
                <w:bCs/>
                <w:color w:val="000000"/>
                <w:kern w:val="0"/>
              </w:rPr>
            </w:pPr>
            <w:r>
              <w:rPr>
                <w:rFonts w:ascii="Times New Roman" w:hAnsi="Times New Roman" w:cs="Times New Roman"/>
                <w:b/>
                <w:bCs/>
                <w:color w:val="000000"/>
              </w:rPr>
              <w:t>表</w:t>
            </w:r>
            <w:r>
              <w:rPr>
                <w:rFonts w:ascii="Times New Roman" w:hAnsi="Times New Roman" w:cs="Times New Roman" w:hint="eastAsia"/>
                <w:b/>
                <w:bCs/>
                <w:color w:val="000000"/>
              </w:rPr>
              <w:t>9</w:t>
            </w:r>
            <w:r>
              <w:rPr>
                <w:rFonts w:ascii="Times New Roman" w:hAnsi="Times New Roman" w:cs="Times New Roman"/>
                <w:b/>
                <w:bCs/>
                <w:color w:val="000000"/>
              </w:rPr>
              <w:t xml:space="preserve"> 三亚河</w:t>
            </w:r>
            <w:r>
              <w:rPr>
                <w:rFonts w:ascii="Times New Roman" w:hAnsi="Times New Roman" w:cs="Times New Roman"/>
                <w:b/>
                <w:bCs/>
                <w:color w:val="000000"/>
                <w:kern w:val="0"/>
              </w:rPr>
              <w:t>水质监测结果表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
            <w:tblGrid>
              <w:gridCol w:w="2444"/>
              <w:gridCol w:w="810"/>
              <w:gridCol w:w="1019"/>
              <w:gridCol w:w="1018"/>
              <w:gridCol w:w="821"/>
              <w:gridCol w:w="815"/>
              <w:gridCol w:w="1221"/>
              <w:gridCol w:w="923"/>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监测指标</w:t>
                  </w:r>
                </w:p>
              </w:tc>
              <w:tc>
                <w:tcPr>
                  <w:tcW w:w="810"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pH</w:t>
                  </w:r>
                </w:p>
              </w:tc>
              <w:tc>
                <w:tcPr>
                  <w:tcW w:w="1019"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溶解氧</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CODcr</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BOD</w:t>
                  </w:r>
                  <w:r>
                    <w:rPr>
                      <w:rFonts w:ascii="Times New Roman" w:eastAsia="宋体" w:hAnsi="Times New Roman" w:cs="Times New Roman"/>
                      <w:b/>
                      <w:bCs/>
                      <w:color w:val="000000"/>
                      <w:sz w:val="21"/>
                      <w:szCs w:val="21"/>
                      <w:vertAlign w:val="subscript"/>
                    </w:rPr>
                    <w:t>5</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氨氮</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总磷</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石油类</w:t>
                  </w:r>
                </w:p>
              </w:tc>
            </w:tr>
            <w:tr>
              <w:tblPrEx>
                <w:tblW w:w="0" w:type="auto"/>
                <w:jc w:val="center"/>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pacing w:val="-20"/>
                      <w:sz w:val="21"/>
                      <w:szCs w:val="21"/>
                    </w:rPr>
                  </w:pPr>
                  <w:r>
                    <w:rPr>
                      <w:rFonts w:ascii="Times New Roman" w:eastAsia="宋体" w:hAnsi="Times New Roman" w:cs="Times New Roman"/>
                      <w:b/>
                      <w:bCs/>
                      <w:color w:val="000000"/>
                      <w:spacing w:val="-20"/>
                      <w:sz w:val="21"/>
                      <w:szCs w:val="21"/>
                    </w:rPr>
                    <w:t>单位</w:t>
                  </w:r>
                </w:p>
              </w:tc>
              <w:tc>
                <w:tcPr>
                  <w:tcW w:w="810"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无量纲</w:t>
                  </w:r>
                </w:p>
              </w:tc>
              <w:tc>
                <w:tcPr>
                  <w:tcW w:w="1019"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mg/L</w:t>
                  </w:r>
                </w:p>
              </w:tc>
            </w:tr>
            <w:tr>
              <w:tblPrEx>
                <w:tblW w:w="0" w:type="auto"/>
                <w:jc w:val="center"/>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pacing w:val="-20"/>
                      <w:sz w:val="21"/>
                      <w:szCs w:val="21"/>
                    </w:rPr>
                  </w:pPr>
                  <w:r>
                    <w:rPr>
                      <w:rFonts w:ascii="Times New Roman" w:eastAsia="宋体" w:hAnsi="Times New Roman" w:cs="Times New Roman"/>
                      <w:color w:val="000000"/>
                      <w:spacing w:val="-20"/>
                      <w:sz w:val="21"/>
                      <w:szCs w:val="21"/>
                    </w:rPr>
                    <w:t>2019年11月15日</w:t>
                  </w:r>
                </w:p>
              </w:tc>
              <w:tc>
                <w:tcPr>
                  <w:tcW w:w="810"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7.98</w:t>
                  </w:r>
                </w:p>
              </w:tc>
              <w:tc>
                <w:tcPr>
                  <w:tcW w:w="1019"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7.0</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17</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2.8</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0.54</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0.18</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0.03</w:t>
                  </w:r>
                </w:p>
              </w:tc>
            </w:tr>
            <w:tr>
              <w:tblPrEx>
                <w:tblW w:w="0" w:type="auto"/>
                <w:jc w:val="center"/>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pacing w:val="-20"/>
                      <w:sz w:val="21"/>
                      <w:szCs w:val="21"/>
                    </w:rPr>
                  </w:pPr>
                  <w:r>
                    <w:rPr>
                      <w:rFonts w:ascii="Times New Roman" w:eastAsia="宋体" w:hAnsi="Times New Roman" w:cs="Times New Roman"/>
                      <w:color w:val="000000"/>
                      <w:spacing w:val="-20"/>
                      <w:sz w:val="21"/>
                      <w:szCs w:val="21"/>
                    </w:rPr>
                    <w:t>2019年11月16日</w:t>
                  </w:r>
                </w:p>
              </w:tc>
              <w:tc>
                <w:tcPr>
                  <w:tcW w:w="810"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7.85</w:t>
                  </w:r>
                </w:p>
              </w:tc>
              <w:tc>
                <w:tcPr>
                  <w:tcW w:w="1019"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6.8</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17</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2.6</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0.52</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0.19</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0.03</w:t>
                  </w:r>
                </w:p>
              </w:tc>
            </w:tr>
            <w:tr>
              <w:tblPrEx>
                <w:tblW w:w="0" w:type="auto"/>
                <w:jc w:val="center"/>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执行标准（</w:t>
                  </w:r>
                  <w:r>
                    <w:rPr>
                      <w:rFonts w:ascii="Times New Roman" w:eastAsia="宋体" w:hAnsi="Times New Roman" w:cs="Times New Roman" w:hint="default"/>
                    </w:rPr>
                    <w:t>Ⅳ</w:t>
                  </w:r>
                  <w:r>
                    <w:rPr>
                      <w:rFonts w:ascii="Times New Roman" w:eastAsia="宋体" w:hAnsi="Times New Roman" w:cs="Times New Roman"/>
                      <w:color w:val="000000"/>
                      <w:sz w:val="21"/>
                      <w:szCs w:val="21"/>
                    </w:rPr>
                    <w:t>类）</w:t>
                  </w:r>
                </w:p>
              </w:tc>
              <w:tc>
                <w:tcPr>
                  <w:tcW w:w="810"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6-9</w:t>
                  </w:r>
                </w:p>
              </w:tc>
              <w:tc>
                <w:tcPr>
                  <w:tcW w:w="1019"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hint="eastAsia"/>
                      <w:color w:val="000000"/>
                      <w:sz w:val="21"/>
                      <w:szCs w:val="21"/>
                      <w:lang w:eastAsia="zh-CN"/>
                    </w:rPr>
                  </w:pPr>
                  <w:r>
                    <w:rPr>
                      <w:rFonts w:ascii="Times New Roman" w:eastAsia="宋体" w:hAnsi="Times New Roman" w:cs="Times New Roman" w:hint="eastAsia"/>
                      <w:color w:val="000000"/>
                      <w:sz w:val="21"/>
                      <w:szCs w:val="21"/>
                      <w:lang w:val="en-US" w:eastAsia="zh-CN"/>
                    </w:rPr>
                    <w:t>3</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hint="default"/>
                      <w:color w:val="000000"/>
                      <w:sz w:val="21"/>
                      <w:szCs w:val="21"/>
                      <w:lang w:val="en-US" w:eastAsia="zh-CN"/>
                    </w:rPr>
                  </w:pPr>
                  <w:r>
                    <w:rPr>
                      <w:rFonts w:ascii="Times New Roman" w:eastAsia="宋体" w:hAnsi="Times New Roman" w:cs="Times New Roman" w:hint="eastAsia"/>
                      <w:color w:val="000000"/>
                      <w:sz w:val="21"/>
                      <w:szCs w:val="21"/>
                      <w:lang w:val="en-US" w:eastAsia="zh-CN"/>
                    </w:rPr>
                    <w:t>30</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hint="eastAsia"/>
                      <w:color w:val="000000"/>
                      <w:sz w:val="21"/>
                      <w:szCs w:val="21"/>
                      <w:lang w:val="en-US" w:eastAsia="zh-CN"/>
                    </w:rPr>
                  </w:pPr>
                  <w:r>
                    <w:rPr>
                      <w:rFonts w:ascii="Times New Roman" w:eastAsia="宋体" w:hAnsi="Times New Roman" w:cs="Times New Roman" w:hint="eastAsia"/>
                      <w:color w:val="000000"/>
                      <w:sz w:val="21"/>
                      <w:szCs w:val="21"/>
                      <w:lang w:val="en-US" w:eastAsia="zh-CN"/>
                    </w:rPr>
                    <w:t>6</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hint="default"/>
                      <w:color w:val="000000"/>
                      <w:sz w:val="21"/>
                      <w:szCs w:val="21"/>
                      <w:lang w:val="en-US" w:eastAsia="zh-CN"/>
                    </w:rPr>
                  </w:pPr>
                  <w:r>
                    <w:rPr>
                      <w:rFonts w:ascii="Times New Roman" w:eastAsia="宋体" w:hAnsi="Times New Roman" w:cs="Times New Roman" w:hint="eastAsia"/>
                      <w:color w:val="000000"/>
                      <w:sz w:val="21"/>
                      <w:szCs w:val="21"/>
                      <w:lang w:val="en-US" w:eastAsia="zh-CN"/>
                    </w:rPr>
                    <w:t>1.5</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hint="default"/>
                      <w:color w:val="000000"/>
                      <w:sz w:val="21"/>
                      <w:szCs w:val="21"/>
                      <w:lang w:val="en-US" w:eastAsia="zh-CN"/>
                    </w:rPr>
                  </w:pPr>
                  <w:r>
                    <w:rPr>
                      <w:rFonts w:ascii="Times New Roman" w:eastAsia="宋体" w:hAnsi="Times New Roman" w:cs="Times New Roman" w:hint="eastAsia"/>
                      <w:color w:val="000000"/>
                      <w:sz w:val="21"/>
                      <w:szCs w:val="21"/>
                      <w:lang w:val="en-US" w:eastAsia="zh-CN"/>
                    </w:rPr>
                    <w:t>0.3</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hint="default"/>
                      <w:color w:val="000000"/>
                      <w:sz w:val="21"/>
                      <w:szCs w:val="21"/>
                      <w:lang w:val="en-US" w:eastAsia="zh-CN"/>
                    </w:rPr>
                  </w:pPr>
                  <w:r>
                    <w:rPr>
                      <w:rFonts w:ascii="Times New Roman" w:eastAsia="宋体" w:hAnsi="Times New Roman" w:cs="Times New Roman" w:hint="eastAsia"/>
                      <w:color w:val="000000"/>
                      <w:sz w:val="21"/>
                      <w:szCs w:val="21"/>
                      <w:lang w:val="en-US" w:eastAsia="zh-CN"/>
                    </w:rPr>
                    <w:t>0.5</w:t>
                  </w:r>
                </w:p>
              </w:tc>
            </w:tr>
          </w:tbl>
          <w:p/>
        </w:tc>
      </w:tr>
    </w:tbl>
    <w:p>
      <w:pPr>
        <w:sectPr>
          <w:headerReference w:type="default" r:id="rId49"/>
          <w:footerReference w:type="even" r:id="rId50"/>
          <w:footerReference w:type="default" r:id="rId51"/>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4"/>
          <w:cols w:num="1" w:space="720"/>
          <w:titlePg w:val="0"/>
          <w:docGrid w:type="linesAndChars" w:linePitch="286" w:charSpace="80"/>
        </w:sectPr>
      </w:pPr>
    </w:p>
    <w:tbl>
      <w:tblPr>
        <w:tblStyle w:val="TableNormal"/>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105"/>
        <w:gridCol w:w="9427"/>
      </w:tblGrid>
      <w:tr>
        <w:tblPrEx>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gridBefore w:val="1"/>
          <w:wBefore w:w="105" w:type="dxa"/>
          <w:trHeight w:val="14164"/>
          <w:jc w:val="center"/>
        </w:trPr>
        <w:tc>
          <w:tcPr>
            <w:tcW w:w="9427" w:type="dxa"/>
            <w:noWrap w:val="0"/>
            <w:vAlign w:val="top"/>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
            <w:tblGrid>
              <w:gridCol w:w="2444"/>
              <w:gridCol w:w="810"/>
              <w:gridCol w:w="1019"/>
              <w:gridCol w:w="1018"/>
              <w:gridCol w:w="821"/>
              <w:gridCol w:w="815"/>
              <w:gridCol w:w="1221"/>
              <w:gridCol w:w="923"/>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0" w:type="dxa"/>
                  <w:bottom w:w="0" w:type="dxa"/>
                  <w:right w:w="0" w:type="dxa"/>
                </w:tblCellMar>
              </w:tblPrEx>
              <w:trPr>
                <w:trHeight w:val="340"/>
                <w:jc w:val="center"/>
              </w:trPr>
              <w:tc>
                <w:tcPr>
                  <w:tcW w:w="2444"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bCs/>
                      <w:color w:val="000000"/>
                      <w:sz w:val="21"/>
                      <w:szCs w:val="21"/>
                    </w:rPr>
                  </w:pPr>
                  <w:r>
                    <w:rPr>
                      <w:rFonts w:ascii="Times New Roman" w:eastAsia="宋体" w:hAnsi="Times New Roman" w:cs="Times New Roman"/>
                      <w:bCs/>
                      <w:color w:val="000000"/>
                      <w:sz w:val="21"/>
                      <w:szCs w:val="21"/>
                    </w:rPr>
                    <w:t>达标情况</w:t>
                  </w:r>
                </w:p>
              </w:tc>
              <w:tc>
                <w:tcPr>
                  <w:tcW w:w="810" w:type="dxa"/>
                  <w:shd w:val="clear" w:color="000000" w:fill="FFFFFF"/>
                  <w:noWrap w:val="0"/>
                  <w:tcMar>
                    <w:top w:w="15" w:type="dxa"/>
                    <w:left w:w="15" w:type="dxa"/>
                    <w:bottom w:w="0" w:type="dxa"/>
                    <w:right w:w="15" w:type="dxa"/>
                  </w:tcMar>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达标</w:t>
                  </w:r>
                </w:p>
              </w:tc>
              <w:tc>
                <w:tcPr>
                  <w:tcW w:w="1019" w:type="dxa"/>
                  <w:shd w:val="clear" w:color="000000" w:fill="FFFFFF"/>
                  <w:noWrap w:val="0"/>
                  <w:tcMar>
                    <w:top w:w="15" w:type="dxa"/>
                    <w:left w:w="15" w:type="dxa"/>
                    <w:bottom w:w="0" w:type="dxa"/>
                    <w:right w:w="15" w:type="dxa"/>
                  </w:tcMar>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达标</w:t>
                  </w:r>
                </w:p>
              </w:tc>
              <w:tc>
                <w:tcPr>
                  <w:tcW w:w="1018"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达标</w:t>
                  </w:r>
                </w:p>
              </w:tc>
              <w:tc>
                <w:tcPr>
                  <w:tcW w:w="8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达标</w:t>
                  </w:r>
                </w:p>
              </w:tc>
              <w:tc>
                <w:tcPr>
                  <w:tcW w:w="815"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达标</w:t>
                  </w:r>
                </w:p>
              </w:tc>
              <w:tc>
                <w:tcPr>
                  <w:tcW w:w="1221" w:type="dxa"/>
                  <w:shd w:val="clear" w:color="000000" w:fill="FFFFFF"/>
                  <w:noWrap w:val="0"/>
                  <w:tcMar>
                    <w:top w:w="15" w:type="dxa"/>
                    <w:left w:w="15" w:type="dxa"/>
                    <w:bottom w:w="0" w:type="dxa"/>
                    <w:right w:w="15" w:type="dxa"/>
                  </w:tcMar>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达标</w:t>
                  </w:r>
                </w:p>
              </w:tc>
              <w:tc>
                <w:tcPr>
                  <w:tcW w:w="923" w:type="dxa"/>
                  <w:shd w:val="clear" w:color="000000" w:fill="FFFFFF"/>
                  <w:noWrap w:val="0"/>
                  <w:vAlign w:val="center"/>
                </w:tcPr>
                <w:p>
                  <w:pPr>
                    <w:pStyle w:val="a7"/>
                    <w:snapToGrid/>
                    <w:spacing w:line="240" w:lineRule="auto"/>
                    <w:ind w:firstLine="0" w:firstLineChars="0"/>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达标</w:t>
                  </w:r>
                </w:p>
              </w:tc>
            </w:tr>
          </w:tbl>
          <w:p>
            <w:pPr>
              <w:pStyle w:val="a20"/>
              <w:snapToGrid/>
              <w:spacing w:line="520" w:lineRule="exact"/>
              <w:ind w:firstLine="497"/>
              <w:rPr>
                <w:rFonts w:ascii="Times New Roman" w:hAnsi="Times New Roman" w:cs="Times New Roman"/>
              </w:rPr>
            </w:pPr>
            <w:r>
              <w:rPr>
                <w:rFonts w:ascii="Times New Roman" w:hAnsi="Times New Roman" w:cs="Times New Roman"/>
                <w:color w:val="000000"/>
                <w:spacing w:val="4"/>
              </w:rPr>
              <w:t>根据监测结果三亚河水质能满足《地表水环境质量标准》（GB3838-2002）</w:t>
            </w:r>
            <w:r>
              <w:rPr>
                <w:rFonts w:ascii="Times New Roman" w:eastAsia="宋体" w:hAnsi="Times New Roman" w:cs="Times New Roman" w:hint="default"/>
              </w:rPr>
              <w:t>Ⅳ</w:t>
            </w:r>
            <w:r>
              <w:rPr>
                <w:rFonts w:ascii="Times New Roman" w:hAnsi="Times New Roman" w:cs="Times New Roman"/>
                <w:color w:val="000000"/>
                <w:spacing w:val="4"/>
              </w:rPr>
              <w:t>类标准，本项目所在河段水质较好。</w:t>
            </w:r>
          </w:p>
          <w:p>
            <w:pPr>
              <w:topLinePunct/>
              <w:adjustRightInd w:val="0"/>
              <w:spacing w:line="480" w:lineRule="exact"/>
              <w:ind w:firstLine="483"/>
              <w:rPr>
                <w:rFonts w:ascii="Times New Roman" w:hAnsi="Times New Roman" w:cs="Times New Roman"/>
                <w:b/>
                <w:bCs/>
              </w:rPr>
            </w:pPr>
            <w:r>
              <w:rPr>
                <w:rFonts w:ascii="Times New Roman" w:hAnsi="Times New Roman" w:cs="Times New Roman"/>
                <w:b/>
                <w:bCs/>
              </w:rPr>
              <w:t>4、生态环境现状</w:t>
            </w:r>
          </w:p>
          <w:p>
            <w:pPr>
              <w:topLinePunct/>
              <w:adjustRightInd w:val="0"/>
              <w:spacing w:line="480" w:lineRule="exact"/>
              <w:ind w:firstLine="481"/>
              <w:rPr>
                <w:rFonts w:ascii="Times New Roman" w:hAnsi="Times New Roman" w:cs="Times New Roman"/>
              </w:rPr>
            </w:pPr>
            <w:r>
              <w:rPr>
                <w:rFonts w:ascii="Times New Roman" w:hAnsi="Times New Roman" w:cs="Times New Roman"/>
              </w:rPr>
              <w:t>据现场调查，本项目新建道路区域现状主要为青瓜苗地、菜地及少量灌木，生物多样性较低，生态质量环境一般。</w:t>
            </w:r>
          </w:p>
          <w:p>
            <w:pPr>
              <w:pStyle w:val="Default"/>
              <w:rPr>
                <w:rFonts w:ascii="Times New Roman"/>
              </w:rPr>
            </w:pPr>
          </w:p>
        </w:tc>
      </w:tr>
    </w:tbl>
    <w:p>
      <w:pPr>
        <w:ind w:firstLine="603"/>
        <w:rPr>
          <w:rFonts w:ascii="Times New Roman" w:hAnsi="Times New Roman" w:cs="Times New Roman"/>
          <w:b/>
          <w:color w:val="000000"/>
          <w:sz w:val="30"/>
          <w:szCs w:val="30"/>
        </w:rPr>
        <w:sectPr>
          <w:headerReference w:type="default" r:id="rId52"/>
          <w:footerReference w:type="even" r:id="rId53"/>
          <w:footerReference w:type="default" r:id="rId54"/>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5"/>
          <w:cols w:num="1" w:space="720"/>
          <w:titlePg w:val="0"/>
          <w:docGrid w:type="linesAndChars" w:linePitch="286" w:charSpace="80"/>
        </w:sectPr>
      </w:pPr>
    </w:p>
    <w:tbl>
      <w:tblPr>
        <w:tblStyle w:val="TableNormal"/>
        <w:tblpPr w:leftFromText="180" w:rightFromText="180" w:vertAnchor="text" w:horzAnchor="margin" w:tblpY="7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7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831"/>
        </w:trPr>
        <w:tc>
          <w:tcPr>
            <w:tcW w:w="9771" w:type="dxa"/>
            <w:noWrap w:val="0"/>
            <w:vAlign w:val="top"/>
          </w:tcPr>
          <w:p>
            <w:pPr>
              <w:pStyle w:val="Default"/>
              <w:rPr>
                <w:rFonts w:ascii="Times New Roman"/>
                <w:b/>
                <w:bCs/>
                <w:sz w:val="28"/>
                <w:szCs w:val="28"/>
              </w:rPr>
            </w:pPr>
            <w:r>
              <w:rPr>
                <w:rFonts w:ascii="Times New Roman"/>
                <w:b/>
                <w:bCs/>
                <w:sz w:val="28"/>
                <w:szCs w:val="28"/>
              </w:rPr>
              <w:t>主要环境保护目标（列出名单及保护级别）：</w:t>
            </w:r>
          </w:p>
          <w:p>
            <w:pPr>
              <w:snapToGrid/>
              <w:ind w:firstLine="481"/>
              <w:rPr>
                <w:rFonts w:ascii="Times New Roman" w:hAnsi="Times New Roman" w:cs="Times New Roman"/>
              </w:rPr>
            </w:pPr>
            <w:r>
              <w:rPr>
                <w:rFonts w:ascii="Times New Roman" w:hAnsi="Times New Roman" w:cs="Times New Roman"/>
                <w:bCs/>
              </w:rPr>
              <w:t>根据本项目特点和外环境特征确定环境保护目标如下：</w:t>
            </w:r>
            <w:r>
              <w:rPr>
                <w:rFonts w:ascii="Times New Roman" w:hAnsi="Times New Roman" w:cs="Times New Roman"/>
              </w:rPr>
              <w:t xml:space="preserve"> </w:t>
            </w:r>
          </w:p>
          <w:p>
            <w:pPr>
              <w:spacing w:line="240" w:lineRule="auto"/>
              <w:ind w:firstLine="483"/>
              <w:jc w:val="center"/>
              <w:rPr>
                <w:rFonts w:ascii="Times New Roman" w:hAnsi="Times New Roman" w:cs="Times New Roman"/>
                <w:b/>
                <w:bCs/>
                <w:color w:val="000000"/>
              </w:rPr>
            </w:pPr>
            <w:r>
              <w:rPr>
                <w:rFonts w:ascii="Times New Roman" w:hAnsi="Times New Roman" w:cs="Times New Roman"/>
                <w:b/>
                <w:bCs/>
                <w:color w:val="000000"/>
              </w:rPr>
              <w:t>表</w:t>
            </w:r>
            <w:r>
              <w:rPr>
                <w:rFonts w:ascii="Times New Roman" w:hAnsi="Times New Roman" w:cs="Times New Roman" w:hint="eastAsia"/>
                <w:b/>
                <w:bCs/>
                <w:color w:val="000000"/>
              </w:rPr>
              <w:t>10</w:t>
            </w:r>
            <w:r>
              <w:rPr>
                <w:rFonts w:ascii="Times New Roman" w:hAnsi="Times New Roman" w:cs="Times New Roman"/>
                <w:b/>
                <w:bCs/>
                <w:color w:val="000000"/>
              </w:rPr>
              <w:t>环境空气保护目标表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630"/>
              <w:gridCol w:w="1177"/>
              <w:gridCol w:w="1105"/>
              <w:gridCol w:w="694"/>
              <w:gridCol w:w="1005"/>
              <w:gridCol w:w="1251"/>
              <w:gridCol w:w="1152"/>
              <w:gridCol w:w="1057"/>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jc w:val="center"/>
              </w:trPr>
              <w:tc>
                <w:tcPr>
                  <w:tcW w:w="1630" w:type="dxa"/>
                  <w:vMerge w:val="restart"/>
                  <w:noWrap w:val="0"/>
                  <w:vAlign w:val="center"/>
                </w:tcPr>
                <w:p>
                  <w:pPr>
                    <w:pStyle w:val="Default"/>
                    <w:jc w:val="center"/>
                    <w:rPr>
                      <w:rFonts w:ascii="Times New Roman"/>
                      <w:b/>
                      <w:bCs/>
                      <w:sz w:val="21"/>
                      <w:szCs w:val="21"/>
                    </w:rPr>
                  </w:pPr>
                  <w:r>
                    <w:rPr>
                      <w:rFonts w:ascii="Times New Roman"/>
                      <w:b/>
                      <w:bCs/>
                      <w:sz w:val="21"/>
                      <w:szCs w:val="21"/>
                    </w:rPr>
                    <w:t>名称</w:t>
                  </w:r>
                </w:p>
              </w:tc>
              <w:tc>
                <w:tcPr>
                  <w:tcW w:w="2282" w:type="dxa"/>
                  <w:gridSpan w:val="2"/>
                  <w:noWrap w:val="0"/>
                  <w:vAlign w:val="center"/>
                </w:tcPr>
                <w:p>
                  <w:pPr>
                    <w:pStyle w:val="Default"/>
                    <w:jc w:val="center"/>
                    <w:rPr>
                      <w:rFonts w:ascii="Times New Roman"/>
                      <w:b/>
                      <w:bCs/>
                      <w:sz w:val="21"/>
                      <w:szCs w:val="21"/>
                    </w:rPr>
                  </w:pPr>
                  <w:r>
                    <w:rPr>
                      <w:rFonts w:ascii="Times New Roman"/>
                      <w:b/>
                      <w:bCs/>
                      <w:sz w:val="21"/>
                      <w:szCs w:val="21"/>
                    </w:rPr>
                    <w:t>坐标</w:t>
                  </w:r>
                </w:p>
              </w:tc>
              <w:tc>
                <w:tcPr>
                  <w:tcW w:w="694" w:type="dxa"/>
                  <w:vMerge w:val="restart"/>
                  <w:noWrap w:val="0"/>
                  <w:vAlign w:val="center"/>
                </w:tcPr>
                <w:p>
                  <w:pPr>
                    <w:pStyle w:val="Default"/>
                    <w:jc w:val="center"/>
                    <w:rPr>
                      <w:rFonts w:ascii="Times New Roman"/>
                      <w:b/>
                      <w:bCs/>
                      <w:sz w:val="21"/>
                      <w:szCs w:val="21"/>
                    </w:rPr>
                  </w:pPr>
                  <w:r>
                    <w:rPr>
                      <w:rFonts w:ascii="Times New Roman"/>
                      <w:b/>
                      <w:bCs/>
                      <w:sz w:val="21"/>
                      <w:szCs w:val="21"/>
                    </w:rPr>
                    <w:t>保护对象</w:t>
                  </w:r>
                </w:p>
              </w:tc>
              <w:tc>
                <w:tcPr>
                  <w:tcW w:w="1005" w:type="dxa"/>
                  <w:vMerge w:val="restart"/>
                  <w:noWrap w:val="0"/>
                  <w:vAlign w:val="center"/>
                </w:tcPr>
                <w:p>
                  <w:pPr>
                    <w:pStyle w:val="Default"/>
                    <w:jc w:val="center"/>
                    <w:rPr>
                      <w:rFonts w:ascii="Times New Roman"/>
                      <w:b/>
                      <w:bCs/>
                      <w:sz w:val="21"/>
                      <w:szCs w:val="21"/>
                    </w:rPr>
                  </w:pPr>
                  <w:r>
                    <w:rPr>
                      <w:rFonts w:ascii="Times New Roman"/>
                      <w:b/>
                      <w:bCs/>
                      <w:sz w:val="21"/>
                      <w:szCs w:val="21"/>
                    </w:rPr>
                    <w:t>保护内容</w:t>
                  </w:r>
                </w:p>
              </w:tc>
              <w:tc>
                <w:tcPr>
                  <w:tcW w:w="1251" w:type="dxa"/>
                  <w:vMerge w:val="restart"/>
                  <w:noWrap w:val="0"/>
                  <w:vAlign w:val="center"/>
                </w:tcPr>
                <w:p>
                  <w:pPr>
                    <w:pStyle w:val="Default"/>
                    <w:jc w:val="center"/>
                    <w:rPr>
                      <w:rFonts w:ascii="Times New Roman"/>
                      <w:b/>
                      <w:bCs/>
                      <w:sz w:val="21"/>
                      <w:szCs w:val="21"/>
                    </w:rPr>
                  </w:pPr>
                  <w:r>
                    <w:rPr>
                      <w:rFonts w:ascii="Times New Roman"/>
                      <w:b/>
                      <w:bCs/>
                      <w:sz w:val="21"/>
                      <w:szCs w:val="21"/>
                    </w:rPr>
                    <w:t>环境功能区</w:t>
                  </w:r>
                </w:p>
              </w:tc>
              <w:tc>
                <w:tcPr>
                  <w:tcW w:w="1152" w:type="dxa"/>
                  <w:vMerge w:val="restart"/>
                  <w:noWrap w:val="0"/>
                  <w:vAlign w:val="center"/>
                </w:tcPr>
                <w:p>
                  <w:pPr>
                    <w:pStyle w:val="Default"/>
                    <w:jc w:val="center"/>
                    <w:rPr>
                      <w:rFonts w:ascii="Times New Roman"/>
                      <w:b/>
                      <w:bCs/>
                      <w:sz w:val="21"/>
                      <w:szCs w:val="21"/>
                    </w:rPr>
                  </w:pPr>
                  <w:r>
                    <w:rPr>
                      <w:rFonts w:ascii="Times New Roman"/>
                      <w:b/>
                      <w:bCs/>
                      <w:sz w:val="21"/>
                      <w:szCs w:val="21"/>
                    </w:rPr>
                    <w:t>相对道路方位</w:t>
                  </w:r>
                </w:p>
              </w:tc>
              <w:tc>
                <w:tcPr>
                  <w:tcW w:w="1057" w:type="dxa"/>
                  <w:vMerge w:val="restart"/>
                  <w:noWrap w:val="0"/>
                  <w:vAlign w:val="center"/>
                </w:tcPr>
                <w:p>
                  <w:pPr>
                    <w:pStyle w:val="Default"/>
                    <w:jc w:val="center"/>
                    <w:rPr>
                      <w:rFonts w:ascii="Times New Roman"/>
                      <w:b/>
                      <w:bCs/>
                      <w:sz w:val="21"/>
                      <w:szCs w:val="21"/>
                    </w:rPr>
                  </w:pPr>
                  <w:r>
                    <w:rPr>
                      <w:rFonts w:ascii="Times New Roman"/>
                      <w:b/>
                      <w:bCs/>
                      <w:sz w:val="21"/>
                      <w:szCs w:val="21"/>
                    </w:rPr>
                    <w:t>相对道路距离/m</w:t>
                  </w:r>
                </w:p>
              </w:tc>
            </w:tr>
            <w:tr>
              <w:tblPrEx>
                <w:tblW w:w="0" w:type="auto"/>
                <w:jc w:val="center"/>
                <w:tblLayout w:type="fixed"/>
                <w:tblCellMar>
                  <w:top w:w="0" w:type="dxa"/>
                  <w:left w:w="108" w:type="dxa"/>
                  <w:bottom w:w="0" w:type="dxa"/>
                  <w:right w:w="108" w:type="dxa"/>
                </w:tblCellMar>
              </w:tblPrEx>
              <w:trPr>
                <w:jc w:val="center"/>
              </w:trPr>
              <w:tc>
                <w:tcPr>
                  <w:tcW w:w="1630" w:type="dxa"/>
                  <w:vMerge/>
                  <w:noWrap w:val="0"/>
                  <w:vAlign w:val="center"/>
                </w:tcPr>
                <w:p>
                  <w:pPr>
                    <w:pStyle w:val="Default"/>
                    <w:jc w:val="center"/>
                    <w:rPr>
                      <w:rFonts w:ascii="Times New Roman"/>
                      <w:sz w:val="21"/>
                      <w:szCs w:val="21"/>
                    </w:rPr>
                  </w:pPr>
                </w:p>
              </w:tc>
              <w:tc>
                <w:tcPr>
                  <w:tcW w:w="1177" w:type="dxa"/>
                  <w:noWrap w:val="0"/>
                  <w:vAlign w:val="center"/>
                </w:tcPr>
                <w:p>
                  <w:pPr>
                    <w:pStyle w:val="Default"/>
                    <w:jc w:val="center"/>
                    <w:rPr>
                      <w:rFonts w:ascii="Times New Roman"/>
                      <w:b/>
                      <w:bCs/>
                      <w:sz w:val="21"/>
                      <w:szCs w:val="21"/>
                    </w:rPr>
                  </w:pPr>
                  <w:r>
                    <w:rPr>
                      <w:rFonts w:ascii="Times New Roman"/>
                      <w:b/>
                      <w:bCs/>
                      <w:sz w:val="21"/>
                      <w:szCs w:val="21"/>
                    </w:rPr>
                    <w:t>经度</w:t>
                  </w:r>
                </w:p>
              </w:tc>
              <w:tc>
                <w:tcPr>
                  <w:tcW w:w="1105" w:type="dxa"/>
                  <w:noWrap w:val="0"/>
                  <w:vAlign w:val="center"/>
                </w:tcPr>
                <w:p>
                  <w:pPr>
                    <w:pStyle w:val="Default"/>
                    <w:jc w:val="center"/>
                    <w:rPr>
                      <w:rFonts w:ascii="Times New Roman"/>
                      <w:b/>
                      <w:bCs/>
                      <w:sz w:val="21"/>
                      <w:szCs w:val="21"/>
                    </w:rPr>
                  </w:pPr>
                  <w:r>
                    <w:rPr>
                      <w:rFonts w:ascii="Times New Roman"/>
                      <w:b/>
                      <w:bCs/>
                      <w:sz w:val="21"/>
                      <w:szCs w:val="21"/>
                    </w:rPr>
                    <w:t>纬度</w:t>
                  </w:r>
                </w:p>
              </w:tc>
              <w:tc>
                <w:tcPr>
                  <w:tcW w:w="694" w:type="dxa"/>
                  <w:vMerge/>
                  <w:noWrap w:val="0"/>
                  <w:vAlign w:val="center"/>
                </w:tcPr>
                <w:p>
                  <w:pPr>
                    <w:pStyle w:val="Default"/>
                    <w:jc w:val="center"/>
                    <w:rPr>
                      <w:rFonts w:ascii="Times New Roman"/>
                      <w:sz w:val="21"/>
                      <w:szCs w:val="21"/>
                    </w:rPr>
                  </w:pPr>
                </w:p>
              </w:tc>
              <w:tc>
                <w:tcPr>
                  <w:tcW w:w="1005" w:type="dxa"/>
                  <w:vMerge/>
                  <w:noWrap w:val="0"/>
                  <w:vAlign w:val="center"/>
                </w:tcPr>
                <w:p>
                  <w:pPr>
                    <w:pStyle w:val="Default"/>
                    <w:jc w:val="center"/>
                    <w:rPr>
                      <w:rFonts w:ascii="Times New Roman"/>
                      <w:sz w:val="21"/>
                      <w:szCs w:val="21"/>
                    </w:rPr>
                  </w:pPr>
                </w:p>
              </w:tc>
              <w:tc>
                <w:tcPr>
                  <w:tcW w:w="1251" w:type="dxa"/>
                  <w:vMerge/>
                  <w:noWrap w:val="0"/>
                  <w:vAlign w:val="center"/>
                </w:tcPr>
                <w:p>
                  <w:pPr>
                    <w:pStyle w:val="Default"/>
                    <w:jc w:val="center"/>
                    <w:rPr>
                      <w:rFonts w:ascii="Times New Roman"/>
                      <w:sz w:val="21"/>
                      <w:szCs w:val="21"/>
                    </w:rPr>
                  </w:pPr>
                </w:p>
              </w:tc>
              <w:tc>
                <w:tcPr>
                  <w:tcW w:w="1152" w:type="dxa"/>
                  <w:vMerge/>
                  <w:noWrap w:val="0"/>
                  <w:vAlign w:val="center"/>
                </w:tcPr>
                <w:p>
                  <w:pPr>
                    <w:pStyle w:val="Default"/>
                    <w:jc w:val="center"/>
                    <w:rPr>
                      <w:rFonts w:ascii="Times New Roman"/>
                      <w:sz w:val="21"/>
                      <w:szCs w:val="21"/>
                    </w:rPr>
                  </w:pPr>
                </w:p>
              </w:tc>
              <w:tc>
                <w:tcPr>
                  <w:tcW w:w="1057" w:type="dxa"/>
                  <w:vMerge/>
                  <w:noWrap w:val="0"/>
                  <w:vAlign w:val="center"/>
                </w:tcPr>
                <w:p>
                  <w:pPr>
                    <w:pStyle w:val="Default"/>
                    <w:jc w:val="center"/>
                    <w:rPr>
                      <w:rFonts w:ascii="Times New Roman"/>
                      <w:sz w:val="21"/>
                      <w:szCs w:val="21"/>
                    </w:rPr>
                  </w:pPr>
                </w:p>
              </w:tc>
            </w:tr>
            <w:tr>
              <w:tblPrEx>
                <w:tblW w:w="0" w:type="auto"/>
                <w:jc w:val="center"/>
                <w:tblLayout w:type="fixed"/>
                <w:tblCellMar>
                  <w:top w:w="0" w:type="dxa"/>
                  <w:left w:w="108" w:type="dxa"/>
                  <w:bottom w:w="0" w:type="dxa"/>
                  <w:right w:w="108" w:type="dxa"/>
                </w:tblCellMar>
              </w:tblPrEx>
              <w:trPr>
                <w:jc w:val="center"/>
              </w:trPr>
              <w:tc>
                <w:tcPr>
                  <w:tcW w:w="1630"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同心家园六期北区</w:t>
                  </w:r>
                </w:p>
              </w:tc>
              <w:tc>
                <w:tcPr>
                  <w:tcW w:w="1177" w:type="dxa"/>
                  <w:noWrap w:val="0"/>
                  <w:vAlign w:val="top"/>
                </w:tcPr>
                <w:p>
                  <w:pPr>
                    <w:snapToGrid/>
                    <w:spacing w:line="240" w:lineRule="auto"/>
                    <w:ind w:firstLine="0" w:firstLineChars="0"/>
                    <w:jc w:val="left"/>
                    <w:rPr>
                      <w:rFonts w:ascii="Times New Roman" w:hAnsi="Times New Roman" w:cs="Times New Roman"/>
                      <w:sz w:val="21"/>
                    </w:rPr>
                  </w:pPr>
                </w:p>
                <w:p>
                  <w:pPr>
                    <w:snapToGrid/>
                    <w:spacing w:line="240" w:lineRule="auto"/>
                    <w:ind w:firstLine="0" w:firstLineChars="0"/>
                    <w:jc w:val="left"/>
                    <w:rPr>
                      <w:rFonts w:ascii="Times New Roman" w:hAnsi="Times New Roman" w:cs="Times New Roman"/>
                      <w:color w:val="000000"/>
                      <w:sz w:val="21"/>
                    </w:rPr>
                  </w:pPr>
                  <w:r>
                    <w:rPr>
                      <w:rFonts w:ascii="Times New Roman" w:hAnsi="Times New Roman" w:cs="Times New Roman"/>
                      <w:sz w:val="21"/>
                    </w:rPr>
                    <w:t>109°29'01.42"</w:t>
                  </w:r>
                </w:p>
              </w:tc>
              <w:tc>
                <w:tcPr>
                  <w:tcW w:w="1105" w:type="dxa"/>
                  <w:noWrap w:val="0"/>
                  <w:vAlign w:val="center"/>
                </w:tcPr>
                <w:p>
                  <w:pPr>
                    <w:snapToGrid/>
                    <w:spacing w:line="240" w:lineRule="auto"/>
                    <w:ind w:firstLine="0" w:firstLineChars="0"/>
                    <w:jc w:val="left"/>
                    <w:rPr>
                      <w:rFonts w:ascii="Times New Roman" w:hAnsi="Times New Roman" w:cs="Times New Roman"/>
                      <w:color w:val="000000"/>
                      <w:sz w:val="21"/>
                    </w:rPr>
                  </w:pPr>
                  <w:r>
                    <w:rPr>
                      <w:rFonts w:ascii="Times New Roman" w:hAnsi="Times New Roman" w:cs="Times New Roman"/>
                      <w:sz w:val="21"/>
                    </w:rPr>
                    <w:t>18°17'41.07"</w:t>
                  </w:r>
                </w:p>
              </w:tc>
              <w:tc>
                <w:tcPr>
                  <w:tcW w:w="694" w:type="dxa"/>
                  <w:tcBorders>
                    <w:bottom w:val="single" w:sz="4" w:space="0" w:color="auto"/>
                  </w:tcBorders>
                  <w:noWrap w:val="0"/>
                  <w:vAlign w:val="center"/>
                </w:tcPr>
                <w:p>
                  <w:pPr>
                    <w:pStyle w:val="Default"/>
                    <w:jc w:val="center"/>
                    <w:rPr>
                      <w:rFonts w:ascii="Times New Roman"/>
                      <w:sz w:val="21"/>
                      <w:szCs w:val="21"/>
                    </w:rPr>
                  </w:pPr>
                  <w:r>
                    <w:rPr>
                      <w:rFonts w:ascii="Times New Roman"/>
                      <w:sz w:val="21"/>
                      <w:szCs w:val="21"/>
                    </w:rPr>
                    <w:t>居住</w:t>
                  </w:r>
                </w:p>
              </w:tc>
              <w:tc>
                <w:tcPr>
                  <w:tcW w:w="1005" w:type="dxa"/>
                  <w:tcBorders>
                    <w:bottom w:val="single" w:sz="4" w:space="0" w:color="auto"/>
                  </w:tcBorders>
                  <w:noWrap w:val="0"/>
                  <w:vAlign w:val="center"/>
                </w:tcPr>
                <w:p>
                  <w:pPr>
                    <w:pStyle w:val="Default"/>
                    <w:jc w:val="center"/>
                    <w:rPr>
                      <w:rFonts w:ascii="Times New Roman"/>
                      <w:sz w:val="21"/>
                      <w:szCs w:val="21"/>
                    </w:rPr>
                  </w:pPr>
                  <w:r>
                    <w:rPr>
                      <w:rFonts w:ascii="Times New Roman" w:hint="eastAsia"/>
                      <w:sz w:val="21"/>
                      <w:szCs w:val="21"/>
                    </w:rPr>
                    <w:t>约180户720人</w:t>
                  </w:r>
                </w:p>
              </w:tc>
              <w:tc>
                <w:tcPr>
                  <w:tcW w:w="1251" w:type="dxa"/>
                  <w:vMerge w:val="restart"/>
                  <w:noWrap w:val="0"/>
                  <w:vAlign w:val="center"/>
                </w:tcPr>
                <w:p>
                  <w:pPr>
                    <w:pStyle w:val="Default"/>
                    <w:jc w:val="center"/>
                    <w:rPr>
                      <w:rFonts w:ascii="Times New Roman"/>
                      <w:sz w:val="21"/>
                      <w:szCs w:val="21"/>
                    </w:rPr>
                  </w:pPr>
                  <w:r>
                    <w:rPr>
                      <w:rFonts w:ascii="Times New Roman"/>
                      <w:sz w:val="21"/>
                      <w:szCs w:val="21"/>
                    </w:rPr>
                    <w:t>《环境空气质量标准》（GB3095-2012）二类功能区及修改单</w:t>
                  </w:r>
                </w:p>
              </w:tc>
              <w:tc>
                <w:tcPr>
                  <w:tcW w:w="1152" w:type="dxa"/>
                  <w:noWrap w:val="0"/>
                  <w:vAlign w:val="center"/>
                </w:tcPr>
                <w:p>
                  <w:pPr>
                    <w:pStyle w:val="Default"/>
                    <w:jc w:val="center"/>
                    <w:rPr>
                      <w:rFonts w:ascii="Times New Roman"/>
                      <w:sz w:val="21"/>
                      <w:szCs w:val="21"/>
                    </w:rPr>
                  </w:pPr>
                  <w:r>
                    <w:rPr>
                      <w:rFonts w:ascii="Times New Roman"/>
                      <w:sz w:val="21"/>
                      <w:szCs w:val="21"/>
                    </w:rPr>
                    <w:t>改造路段AK0+030-K0+036右侧</w:t>
                  </w:r>
                </w:p>
              </w:tc>
              <w:tc>
                <w:tcPr>
                  <w:tcW w:w="1057" w:type="dxa"/>
                  <w:noWrap w:val="0"/>
                  <w:vAlign w:val="center"/>
                </w:tcPr>
                <w:p>
                  <w:pPr>
                    <w:pStyle w:val="Default"/>
                    <w:jc w:val="center"/>
                    <w:rPr>
                      <w:rFonts w:ascii="Times New Roman"/>
                      <w:sz w:val="21"/>
                      <w:szCs w:val="21"/>
                    </w:rPr>
                  </w:pPr>
                  <w:r>
                    <w:rPr>
                      <w:rFonts w:ascii="Times New Roman" w:hint="eastAsia"/>
                      <w:color w:val="auto"/>
                      <w:sz w:val="21"/>
                      <w:szCs w:val="21"/>
                      <w:lang w:bidi="ar"/>
                    </w:rPr>
                    <w:t>12</w:t>
                  </w:r>
                </w:p>
              </w:tc>
            </w:tr>
            <w:tr>
              <w:tblPrEx>
                <w:tblW w:w="0" w:type="auto"/>
                <w:jc w:val="center"/>
                <w:tblLayout w:type="fixed"/>
                <w:tblCellMar>
                  <w:top w:w="0" w:type="dxa"/>
                  <w:left w:w="108" w:type="dxa"/>
                  <w:bottom w:w="0" w:type="dxa"/>
                  <w:right w:w="108" w:type="dxa"/>
                </w:tblCellMar>
              </w:tblPrEx>
              <w:trPr>
                <w:jc w:val="center"/>
              </w:trPr>
              <w:tc>
                <w:tcPr>
                  <w:tcW w:w="1630"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同心家园六期南区</w:t>
                  </w:r>
                </w:p>
              </w:tc>
              <w:tc>
                <w:tcPr>
                  <w:tcW w:w="1177" w:type="dxa"/>
                  <w:noWrap w:val="0"/>
                  <w:vAlign w:val="top"/>
                </w:tcPr>
                <w:p>
                  <w:pPr>
                    <w:snapToGrid/>
                    <w:spacing w:line="240" w:lineRule="auto"/>
                    <w:ind w:firstLine="0" w:firstLineChars="0"/>
                    <w:jc w:val="left"/>
                    <w:rPr>
                      <w:rFonts w:ascii="Times New Roman" w:hAnsi="Times New Roman" w:cs="Times New Roman"/>
                      <w:sz w:val="21"/>
                    </w:rPr>
                  </w:pPr>
                </w:p>
                <w:p>
                  <w:pPr>
                    <w:snapToGrid/>
                    <w:spacing w:line="240" w:lineRule="auto"/>
                    <w:ind w:firstLine="0" w:firstLineChars="0"/>
                    <w:jc w:val="left"/>
                    <w:rPr>
                      <w:rFonts w:ascii="Times New Roman" w:hAnsi="Times New Roman" w:cs="Times New Roman"/>
                      <w:color w:val="000000"/>
                      <w:sz w:val="21"/>
                    </w:rPr>
                  </w:pPr>
                  <w:r>
                    <w:rPr>
                      <w:rFonts w:ascii="Times New Roman" w:hAnsi="Times New Roman" w:cs="Times New Roman"/>
                      <w:sz w:val="21"/>
                    </w:rPr>
                    <w:t>109°28'59.99"</w:t>
                  </w:r>
                </w:p>
              </w:tc>
              <w:tc>
                <w:tcPr>
                  <w:tcW w:w="1105" w:type="dxa"/>
                  <w:noWrap w:val="0"/>
                  <w:vAlign w:val="center"/>
                </w:tcPr>
                <w:p>
                  <w:pPr>
                    <w:snapToGrid/>
                    <w:spacing w:line="240" w:lineRule="auto"/>
                    <w:ind w:firstLine="0" w:firstLineChars="0"/>
                    <w:jc w:val="left"/>
                    <w:rPr>
                      <w:rFonts w:ascii="Times New Roman" w:hAnsi="Times New Roman" w:cs="Times New Roman"/>
                      <w:color w:val="000000"/>
                      <w:sz w:val="21"/>
                    </w:rPr>
                  </w:pPr>
                  <w:r>
                    <w:rPr>
                      <w:rFonts w:ascii="Times New Roman" w:hAnsi="Times New Roman" w:cs="Times New Roman"/>
                      <w:sz w:val="21"/>
                    </w:rPr>
                    <w:t>18°17'39.76"</w:t>
                  </w:r>
                </w:p>
              </w:tc>
              <w:tc>
                <w:tcPr>
                  <w:tcW w:w="694" w:type="dxa"/>
                  <w:tcBorders>
                    <w:top w:val="single" w:sz="4" w:space="0" w:color="auto"/>
                    <w:bottom w:val="single" w:sz="4" w:space="0" w:color="auto"/>
                  </w:tcBorders>
                  <w:noWrap w:val="0"/>
                  <w:vAlign w:val="center"/>
                </w:tcPr>
                <w:p>
                  <w:pPr>
                    <w:pStyle w:val="Default"/>
                    <w:jc w:val="center"/>
                    <w:rPr>
                      <w:rFonts w:ascii="Times New Roman"/>
                      <w:sz w:val="21"/>
                      <w:szCs w:val="21"/>
                    </w:rPr>
                  </w:pPr>
                  <w:r>
                    <w:rPr>
                      <w:rFonts w:ascii="Times New Roman"/>
                      <w:sz w:val="21"/>
                      <w:szCs w:val="21"/>
                    </w:rPr>
                    <w:t>居住</w:t>
                  </w:r>
                </w:p>
              </w:tc>
              <w:tc>
                <w:tcPr>
                  <w:tcW w:w="1005" w:type="dxa"/>
                  <w:tcBorders>
                    <w:top w:val="single" w:sz="4" w:space="0" w:color="auto"/>
                    <w:bottom w:val="single" w:sz="4" w:space="0" w:color="auto"/>
                  </w:tcBorders>
                  <w:noWrap w:val="0"/>
                  <w:vAlign w:val="center"/>
                </w:tcPr>
                <w:p>
                  <w:pPr>
                    <w:pStyle w:val="Default"/>
                    <w:jc w:val="center"/>
                    <w:rPr>
                      <w:rFonts w:ascii="Times New Roman"/>
                      <w:sz w:val="21"/>
                      <w:szCs w:val="21"/>
                    </w:rPr>
                  </w:pPr>
                  <w:r>
                    <w:rPr>
                      <w:rFonts w:ascii="Times New Roman" w:hint="eastAsia"/>
                      <w:sz w:val="21"/>
                      <w:szCs w:val="21"/>
                    </w:rPr>
                    <w:t>约16320户65280人</w:t>
                  </w:r>
                </w:p>
              </w:tc>
              <w:tc>
                <w:tcPr>
                  <w:tcW w:w="1251" w:type="dxa"/>
                  <w:vMerge/>
                  <w:noWrap w:val="0"/>
                  <w:vAlign w:val="center"/>
                </w:tcPr>
                <w:p>
                  <w:pPr>
                    <w:pStyle w:val="Default"/>
                    <w:jc w:val="center"/>
                    <w:rPr>
                      <w:rFonts w:ascii="Times New Roman"/>
                      <w:sz w:val="21"/>
                      <w:szCs w:val="21"/>
                    </w:rPr>
                  </w:pPr>
                </w:p>
              </w:tc>
              <w:tc>
                <w:tcPr>
                  <w:tcW w:w="1152"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lang w:bidi="ar"/>
                    </w:rPr>
                    <w:t>改造路段AK0+074-AK0+211.684左侧</w:t>
                  </w:r>
                </w:p>
              </w:tc>
              <w:tc>
                <w:tcPr>
                  <w:tcW w:w="1057"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lang w:bidi="ar"/>
                    </w:rPr>
                    <w:t>15</w:t>
                  </w:r>
                </w:p>
              </w:tc>
            </w:tr>
            <w:tr>
              <w:tblPrEx>
                <w:tblW w:w="0" w:type="auto"/>
                <w:jc w:val="center"/>
                <w:tblLayout w:type="fixed"/>
                <w:tblCellMar>
                  <w:top w:w="0" w:type="dxa"/>
                  <w:left w:w="108" w:type="dxa"/>
                  <w:bottom w:w="0" w:type="dxa"/>
                  <w:right w:w="108" w:type="dxa"/>
                </w:tblCellMar>
              </w:tblPrEx>
              <w:trPr>
                <w:jc w:val="center"/>
              </w:trPr>
              <w:tc>
                <w:tcPr>
                  <w:tcW w:w="1630"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居民点</w:t>
                  </w:r>
                </w:p>
              </w:tc>
              <w:tc>
                <w:tcPr>
                  <w:tcW w:w="1177" w:type="dxa"/>
                  <w:noWrap w:val="0"/>
                  <w:vAlign w:val="top"/>
                </w:tcPr>
                <w:p>
                  <w:pPr>
                    <w:snapToGrid/>
                    <w:spacing w:line="240" w:lineRule="auto"/>
                    <w:ind w:firstLine="0" w:firstLineChars="0"/>
                    <w:jc w:val="left"/>
                    <w:rPr>
                      <w:rFonts w:ascii="Times New Roman" w:hAnsi="Times New Roman" w:cs="Times New Roman"/>
                      <w:sz w:val="21"/>
                    </w:rPr>
                  </w:pPr>
                </w:p>
                <w:p>
                  <w:pPr>
                    <w:snapToGrid/>
                    <w:spacing w:line="240" w:lineRule="auto"/>
                    <w:ind w:firstLine="0" w:firstLineChars="0"/>
                    <w:jc w:val="left"/>
                    <w:rPr>
                      <w:rFonts w:ascii="Times New Roman" w:hAnsi="Times New Roman" w:cs="Times New Roman"/>
                      <w:sz w:val="21"/>
                    </w:rPr>
                  </w:pPr>
                  <w:r>
                    <w:rPr>
                      <w:rFonts w:ascii="Times New Roman" w:hAnsi="Times New Roman" w:cs="Times New Roman"/>
                      <w:sz w:val="21"/>
                    </w:rPr>
                    <w:t>109°28'52.77"</w:t>
                  </w:r>
                </w:p>
              </w:tc>
              <w:tc>
                <w:tcPr>
                  <w:tcW w:w="1105" w:type="dxa"/>
                  <w:noWrap w:val="0"/>
                  <w:vAlign w:val="center"/>
                </w:tcPr>
                <w:p>
                  <w:pPr>
                    <w:snapToGrid/>
                    <w:spacing w:line="240" w:lineRule="auto"/>
                    <w:ind w:firstLine="0" w:firstLineChars="0"/>
                    <w:jc w:val="left"/>
                    <w:rPr>
                      <w:rFonts w:ascii="Times New Roman" w:hAnsi="Times New Roman" w:cs="Times New Roman"/>
                      <w:sz w:val="21"/>
                    </w:rPr>
                  </w:pPr>
                  <w:r>
                    <w:rPr>
                      <w:rFonts w:ascii="Times New Roman" w:hAnsi="Times New Roman" w:cs="Times New Roman"/>
                      <w:sz w:val="21"/>
                    </w:rPr>
                    <w:t>18°17'38.87"</w:t>
                  </w:r>
                </w:p>
              </w:tc>
              <w:tc>
                <w:tcPr>
                  <w:tcW w:w="694" w:type="dxa"/>
                  <w:tcBorders>
                    <w:top w:val="single" w:sz="4" w:space="0" w:color="auto"/>
                    <w:bottom w:val="single" w:sz="4" w:space="0" w:color="auto"/>
                  </w:tcBorders>
                  <w:noWrap w:val="0"/>
                  <w:vAlign w:val="center"/>
                </w:tcPr>
                <w:p>
                  <w:pPr>
                    <w:pStyle w:val="Default"/>
                    <w:jc w:val="center"/>
                    <w:rPr>
                      <w:rFonts w:ascii="Times New Roman"/>
                      <w:sz w:val="21"/>
                      <w:szCs w:val="21"/>
                    </w:rPr>
                  </w:pPr>
                  <w:r>
                    <w:rPr>
                      <w:rFonts w:ascii="Times New Roman"/>
                      <w:sz w:val="21"/>
                      <w:szCs w:val="21"/>
                    </w:rPr>
                    <w:t>居住</w:t>
                  </w:r>
                </w:p>
              </w:tc>
              <w:tc>
                <w:tcPr>
                  <w:tcW w:w="1005" w:type="dxa"/>
                  <w:tcBorders>
                    <w:top w:val="single" w:sz="4" w:space="0" w:color="auto"/>
                    <w:bottom w:val="single" w:sz="4" w:space="0" w:color="auto"/>
                  </w:tcBorders>
                  <w:noWrap w:val="0"/>
                  <w:vAlign w:val="center"/>
                </w:tcPr>
                <w:p>
                  <w:pPr>
                    <w:pStyle w:val="Default"/>
                    <w:jc w:val="center"/>
                    <w:rPr>
                      <w:rFonts w:ascii="Times New Roman" w:hint="eastAsia"/>
                      <w:sz w:val="21"/>
                      <w:szCs w:val="21"/>
                    </w:rPr>
                  </w:pPr>
                  <w:r>
                    <w:rPr>
                      <w:rFonts w:ascii="Times New Roman" w:hint="eastAsia"/>
                      <w:sz w:val="21"/>
                      <w:szCs w:val="21"/>
                    </w:rPr>
                    <w:t>2户约6人</w:t>
                  </w:r>
                </w:p>
              </w:tc>
              <w:tc>
                <w:tcPr>
                  <w:tcW w:w="1251" w:type="dxa"/>
                  <w:vMerge/>
                  <w:noWrap w:val="0"/>
                  <w:vAlign w:val="center"/>
                </w:tcPr>
                <w:p>
                  <w:pPr>
                    <w:pStyle w:val="Default"/>
                    <w:jc w:val="center"/>
                    <w:rPr>
                      <w:rFonts w:ascii="Times New Roman"/>
                      <w:sz w:val="21"/>
                      <w:szCs w:val="21"/>
                    </w:rPr>
                  </w:pPr>
                </w:p>
              </w:tc>
              <w:tc>
                <w:tcPr>
                  <w:tcW w:w="1152" w:type="dxa"/>
                  <w:noWrap w:val="0"/>
                  <w:vAlign w:val="center"/>
                </w:tcPr>
                <w:p>
                  <w:pPr>
                    <w:snapToGrid/>
                    <w:spacing w:line="240" w:lineRule="auto"/>
                    <w:ind w:firstLine="0" w:firstLineChars="0"/>
                    <w:jc w:val="center"/>
                    <w:rPr>
                      <w:rFonts w:ascii="Times New Roman" w:hAnsi="Times New Roman" w:cs="Times New Roman"/>
                      <w:sz w:val="21"/>
                      <w:lang w:bidi="ar"/>
                    </w:rPr>
                  </w:pPr>
                  <w:r>
                    <w:rPr>
                      <w:rFonts w:ascii="Times New Roman" w:hAnsi="Times New Roman" w:cs="Times New Roman"/>
                      <w:sz w:val="21"/>
                      <w:lang w:bidi="ar"/>
                    </w:rPr>
                    <w:t>新建道路K0+180-K0+221右侧</w:t>
                  </w:r>
                </w:p>
              </w:tc>
              <w:tc>
                <w:tcPr>
                  <w:tcW w:w="1057" w:type="dxa"/>
                  <w:noWrap w:val="0"/>
                  <w:vAlign w:val="center"/>
                </w:tcPr>
                <w:p>
                  <w:pPr>
                    <w:snapToGrid/>
                    <w:spacing w:line="240" w:lineRule="auto"/>
                    <w:ind w:firstLine="0" w:firstLineChars="0"/>
                    <w:jc w:val="center"/>
                    <w:rPr>
                      <w:rFonts w:ascii="Times New Roman" w:hAnsi="Times New Roman" w:cs="Times New Roman"/>
                      <w:sz w:val="21"/>
                      <w:lang w:bidi="ar"/>
                    </w:rPr>
                  </w:pPr>
                  <w:r>
                    <w:rPr>
                      <w:rFonts w:ascii="Times New Roman" w:hAnsi="Times New Roman" w:cs="Times New Roman" w:hint="eastAsia"/>
                      <w:sz w:val="21"/>
                      <w:lang w:bidi="ar"/>
                    </w:rPr>
                    <w:t>13</w:t>
                  </w:r>
                </w:p>
              </w:tc>
            </w:tr>
          </w:tbl>
          <w:p>
            <w:pPr>
              <w:spacing w:line="240" w:lineRule="auto"/>
              <w:ind w:firstLine="483"/>
              <w:jc w:val="center"/>
              <w:rPr>
                <w:rFonts w:ascii="Times New Roman" w:hAnsi="Times New Roman" w:cs="Times New Roman"/>
                <w:b/>
                <w:bCs/>
                <w:color w:val="000000"/>
              </w:rPr>
            </w:pPr>
            <w:r>
              <w:rPr>
                <w:rFonts w:ascii="Times New Roman" w:hAnsi="Times New Roman" w:cs="Times New Roman"/>
                <w:b/>
                <w:bCs/>
                <w:color w:val="000000"/>
              </w:rPr>
              <w:t>表1</w:t>
            </w:r>
            <w:r>
              <w:rPr>
                <w:rFonts w:ascii="Times New Roman" w:hAnsi="Times New Roman" w:cs="Times New Roman" w:hint="eastAsia"/>
                <w:b/>
                <w:bCs/>
                <w:color w:val="000000"/>
              </w:rPr>
              <w:t>1</w:t>
            </w:r>
            <w:r>
              <w:rPr>
                <w:rFonts w:ascii="Times New Roman" w:hAnsi="Times New Roman" w:cs="Times New Roman"/>
                <w:b/>
                <w:bCs/>
                <w:color w:val="000000"/>
              </w:rPr>
              <w:t xml:space="preserve"> 声环境保护目标表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060"/>
              <w:gridCol w:w="1531"/>
              <w:gridCol w:w="1296"/>
              <w:gridCol w:w="1296"/>
              <w:gridCol w:w="1483"/>
              <w:gridCol w:w="1109"/>
              <w:gridCol w:w="1296"/>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060"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桩号</w:t>
                  </w:r>
                </w:p>
              </w:tc>
              <w:tc>
                <w:tcPr>
                  <w:tcW w:w="1531"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环境保护目标</w:t>
                  </w:r>
                </w:p>
              </w:tc>
              <w:tc>
                <w:tcPr>
                  <w:tcW w:w="1296"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相对道路方位</w:t>
                  </w:r>
                </w:p>
              </w:tc>
              <w:tc>
                <w:tcPr>
                  <w:tcW w:w="1296"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临路建筑层数</w:t>
                  </w:r>
                </w:p>
              </w:tc>
              <w:tc>
                <w:tcPr>
                  <w:tcW w:w="1483"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首排建筑离道路红线（m）</w:t>
                  </w:r>
                </w:p>
              </w:tc>
              <w:tc>
                <w:tcPr>
                  <w:tcW w:w="1109"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环境功能</w:t>
                  </w:r>
                </w:p>
              </w:tc>
              <w:tc>
                <w:tcPr>
                  <w:tcW w:w="1296" w:type="dxa"/>
                  <w:noWrap w:val="0"/>
                  <w:vAlign w:val="top"/>
                </w:tcPr>
                <w:p>
                  <w:pPr>
                    <w:spacing w:line="240" w:lineRule="auto"/>
                    <w:ind w:firstLine="0" w:firstLineChars="0"/>
                    <w:jc w:val="center"/>
                    <w:rPr>
                      <w:rFonts w:ascii="Times New Roman" w:hAnsi="Times New Roman" w:cs="Times New Roman"/>
                      <w:b/>
                      <w:bCs/>
                      <w:color w:val="000000"/>
                      <w:sz w:val="21"/>
                    </w:rPr>
                  </w:pPr>
                  <w:r>
                    <w:rPr>
                      <w:rFonts w:ascii="Times New Roman" w:hAnsi="Times New Roman" w:cs="Times New Roman"/>
                      <w:b/>
                      <w:bCs/>
                      <w:color w:val="000000"/>
                      <w:sz w:val="21"/>
                    </w:rPr>
                    <w:t>保护等级</w:t>
                  </w:r>
                </w:p>
              </w:tc>
            </w:tr>
            <w:tr>
              <w:tblPrEx>
                <w:tblW w:w="0" w:type="auto"/>
                <w:jc w:val="center"/>
                <w:tblLayout w:type="fixed"/>
                <w:tblCellMar>
                  <w:top w:w="0" w:type="dxa"/>
                  <w:left w:w="108" w:type="dxa"/>
                  <w:bottom w:w="0" w:type="dxa"/>
                  <w:right w:w="108" w:type="dxa"/>
                </w:tblCellMar>
              </w:tblPrEx>
              <w:trPr>
                <w:jc w:val="center"/>
              </w:trPr>
              <w:tc>
                <w:tcPr>
                  <w:tcW w:w="1060"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AK0+30-AK0+185</w:t>
                  </w:r>
                </w:p>
              </w:tc>
              <w:tc>
                <w:tcPr>
                  <w:tcW w:w="1531"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同心家园六期北区</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改造路段右侧</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3层以上</w:t>
                  </w:r>
                </w:p>
              </w:tc>
              <w:tc>
                <w:tcPr>
                  <w:tcW w:w="1483" w:type="dxa"/>
                  <w:noWrap w:val="0"/>
                  <w:vAlign w:val="center"/>
                </w:tcPr>
                <w:p>
                  <w:pPr>
                    <w:pStyle w:val="Default"/>
                    <w:jc w:val="center"/>
                    <w:rPr>
                      <w:rFonts w:ascii="Times New Roman"/>
                      <w:kern w:val="2"/>
                      <w:sz w:val="21"/>
                      <w:szCs w:val="21"/>
                    </w:rPr>
                  </w:pPr>
                  <w:r>
                    <w:rPr>
                      <w:rFonts w:ascii="Times New Roman" w:hint="eastAsia"/>
                      <w:color w:val="auto"/>
                      <w:kern w:val="2"/>
                      <w:sz w:val="21"/>
                      <w:szCs w:val="21"/>
                      <w:lang w:bidi="ar"/>
                    </w:rPr>
                    <w:t>12</w:t>
                  </w:r>
                </w:p>
              </w:tc>
              <w:tc>
                <w:tcPr>
                  <w:tcW w:w="1109" w:type="dxa"/>
                  <w:noWrap w:val="0"/>
                  <w:vAlign w:val="center"/>
                </w:tcPr>
                <w:p>
                  <w:pPr>
                    <w:pStyle w:val="Default"/>
                    <w:jc w:val="center"/>
                    <w:rPr>
                      <w:rFonts w:ascii="Times New Roman"/>
                      <w:kern w:val="2"/>
                      <w:sz w:val="21"/>
                      <w:szCs w:val="21"/>
                    </w:rPr>
                  </w:pPr>
                  <w:r>
                    <w:rPr>
                      <w:rFonts w:ascii="Times New Roman"/>
                      <w:kern w:val="2"/>
                      <w:sz w:val="21"/>
                      <w:szCs w:val="21"/>
                    </w:rPr>
                    <w:t>居住</w:t>
                  </w:r>
                </w:p>
              </w:tc>
              <w:tc>
                <w:tcPr>
                  <w:tcW w:w="1296" w:type="dxa"/>
                  <w:vMerge w:val="restart"/>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lang w:bidi="ar"/>
                    </w:rPr>
                    <w:t>《声环境质量标准》（GB3096-2008）2类标准</w:t>
                  </w:r>
                </w:p>
              </w:tc>
            </w:tr>
            <w:tr>
              <w:tblPrEx>
                <w:tblW w:w="0" w:type="auto"/>
                <w:jc w:val="center"/>
                <w:tblLayout w:type="fixed"/>
                <w:tblCellMar>
                  <w:top w:w="0" w:type="dxa"/>
                  <w:left w:w="108" w:type="dxa"/>
                  <w:bottom w:w="0" w:type="dxa"/>
                  <w:right w:w="108" w:type="dxa"/>
                </w:tblCellMar>
              </w:tblPrEx>
              <w:trPr>
                <w:trHeight w:val="591"/>
                <w:jc w:val="center"/>
              </w:trPr>
              <w:tc>
                <w:tcPr>
                  <w:tcW w:w="1060"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AK0+70-AK0+155</w:t>
                  </w:r>
                </w:p>
              </w:tc>
              <w:tc>
                <w:tcPr>
                  <w:tcW w:w="1531"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同心家园六期南区</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改造路段左侧</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3层以上</w:t>
                  </w:r>
                </w:p>
              </w:tc>
              <w:tc>
                <w:tcPr>
                  <w:tcW w:w="1483"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lang w:bidi="ar"/>
                    </w:rPr>
                    <w:t>15</w:t>
                  </w:r>
                </w:p>
              </w:tc>
              <w:tc>
                <w:tcPr>
                  <w:tcW w:w="1109" w:type="dxa"/>
                  <w:noWrap w:val="0"/>
                  <w:vAlign w:val="center"/>
                </w:tcPr>
                <w:p>
                  <w:pPr>
                    <w:pStyle w:val="Default"/>
                    <w:jc w:val="center"/>
                    <w:rPr>
                      <w:rFonts w:ascii="Times New Roman"/>
                      <w:kern w:val="2"/>
                      <w:sz w:val="21"/>
                      <w:szCs w:val="21"/>
                    </w:rPr>
                  </w:pPr>
                  <w:r>
                    <w:rPr>
                      <w:rFonts w:ascii="Times New Roman"/>
                      <w:kern w:val="2"/>
                      <w:sz w:val="21"/>
                      <w:szCs w:val="21"/>
                    </w:rPr>
                    <w:t>居住</w:t>
                  </w:r>
                </w:p>
              </w:tc>
              <w:tc>
                <w:tcPr>
                  <w:tcW w:w="1296" w:type="dxa"/>
                  <w:vMerge/>
                  <w:noWrap w:val="0"/>
                  <w:vAlign w:val="top"/>
                </w:tcPr>
                <w:p>
                  <w:pPr>
                    <w:spacing w:line="240" w:lineRule="auto"/>
                    <w:ind w:firstLine="0" w:firstLineChars="0"/>
                    <w:jc w:val="center"/>
                    <w:rPr>
                      <w:rFonts w:ascii="Times New Roman" w:hAnsi="Times New Roman" w:cs="Times New Roman"/>
                      <w:color w:val="000000"/>
                      <w:sz w:val="21"/>
                    </w:rPr>
                  </w:pPr>
                </w:p>
              </w:tc>
            </w:tr>
            <w:tr>
              <w:tblPrEx>
                <w:tblW w:w="0" w:type="auto"/>
                <w:jc w:val="center"/>
                <w:tblLayout w:type="fixed"/>
                <w:tblCellMar>
                  <w:top w:w="0" w:type="dxa"/>
                  <w:left w:w="108" w:type="dxa"/>
                  <w:bottom w:w="0" w:type="dxa"/>
                  <w:right w:w="108" w:type="dxa"/>
                </w:tblCellMar>
              </w:tblPrEx>
              <w:trPr>
                <w:trHeight w:val="591"/>
                <w:jc w:val="center"/>
              </w:trPr>
              <w:tc>
                <w:tcPr>
                  <w:tcW w:w="1060"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sz w:val="21"/>
                      <w:lang w:bidi="ar"/>
                    </w:rPr>
                    <w:t>K0+182-232</w:t>
                  </w:r>
                </w:p>
              </w:tc>
              <w:tc>
                <w:tcPr>
                  <w:tcW w:w="1531" w:type="dxa"/>
                  <w:noWrap w:val="0"/>
                  <w:vAlign w:val="center"/>
                </w:tcPr>
                <w:p>
                  <w:pPr>
                    <w:snapToGrid/>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居民点</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新建道路右侧</w:t>
                  </w:r>
                </w:p>
              </w:tc>
              <w:tc>
                <w:tcPr>
                  <w:tcW w:w="1296" w:type="dxa"/>
                  <w:noWrap w:val="0"/>
                  <w:vAlign w:val="top"/>
                </w:tcPr>
                <w:p>
                  <w:pPr>
                    <w:spacing w:line="240" w:lineRule="auto"/>
                    <w:ind w:firstLine="0" w:firstLineChars="0"/>
                    <w:jc w:val="center"/>
                    <w:rPr>
                      <w:rFonts w:ascii="Times New Roman" w:hAnsi="Times New Roman" w:cs="Times New Roman"/>
                      <w:color w:val="000000"/>
                      <w:sz w:val="21"/>
                    </w:rPr>
                  </w:pPr>
                  <w:r>
                    <w:rPr>
                      <w:rFonts w:ascii="Times New Roman" w:hAnsi="Times New Roman" w:cs="Times New Roman"/>
                      <w:color w:val="000000"/>
                      <w:sz w:val="21"/>
                    </w:rPr>
                    <w:t>低于3层</w:t>
                  </w:r>
                </w:p>
              </w:tc>
              <w:tc>
                <w:tcPr>
                  <w:tcW w:w="1483" w:type="dxa"/>
                  <w:noWrap w:val="0"/>
                  <w:vAlign w:val="center"/>
                </w:tcPr>
                <w:p>
                  <w:pPr>
                    <w:snapToGrid/>
                    <w:spacing w:line="240" w:lineRule="auto"/>
                    <w:ind w:firstLine="0" w:firstLineChars="0"/>
                    <w:jc w:val="center"/>
                    <w:rPr>
                      <w:rFonts w:ascii="Times New Roman" w:hAnsi="Times New Roman" w:cs="Times New Roman"/>
                      <w:sz w:val="21"/>
                      <w:lang w:bidi="ar"/>
                    </w:rPr>
                  </w:pPr>
                  <w:r>
                    <w:rPr>
                      <w:rFonts w:ascii="Times New Roman" w:hAnsi="Times New Roman" w:cs="Times New Roman" w:hint="eastAsia"/>
                      <w:sz w:val="21"/>
                      <w:lang w:bidi="ar"/>
                    </w:rPr>
                    <w:t>13</w:t>
                  </w:r>
                </w:p>
              </w:tc>
              <w:tc>
                <w:tcPr>
                  <w:tcW w:w="1109" w:type="dxa"/>
                  <w:noWrap w:val="0"/>
                  <w:vAlign w:val="center"/>
                </w:tcPr>
                <w:p>
                  <w:pPr>
                    <w:pStyle w:val="Default"/>
                    <w:jc w:val="center"/>
                    <w:rPr>
                      <w:rFonts w:ascii="Times New Roman"/>
                      <w:kern w:val="2"/>
                      <w:sz w:val="21"/>
                      <w:szCs w:val="21"/>
                    </w:rPr>
                  </w:pPr>
                  <w:r>
                    <w:rPr>
                      <w:rFonts w:ascii="Times New Roman"/>
                      <w:kern w:val="2"/>
                      <w:sz w:val="21"/>
                      <w:szCs w:val="21"/>
                    </w:rPr>
                    <w:t>居住</w:t>
                  </w:r>
                </w:p>
              </w:tc>
              <w:tc>
                <w:tcPr>
                  <w:tcW w:w="1296" w:type="dxa"/>
                  <w:vMerge/>
                  <w:noWrap w:val="0"/>
                  <w:vAlign w:val="top"/>
                </w:tcPr>
                <w:p>
                  <w:pPr>
                    <w:spacing w:line="240" w:lineRule="auto"/>
                    <w:ind w:firstLine="0" w:firstLineChars="0"/>
                    <w:jc w:val="center"/>
                    <w:rPr>
                      <w:rFonts w:ascii="Times New Roman" w:hAnsi="Times New Roman" w:cs="Times New Roman"/>
                      <w:color w:val="000000"/>
                      <w:sz w:val="21"/>
                    </w:rPr>
                  </w:pPr>
                </w:p>
              </w:tc>
            </w:tr>
          </w:tbl>
          <w:p>
            <w:pPr>
              <w:spacing w:line="240" w:lineRule="auto"/>
              <w:ind w:firstLine="0" w:firstLineChars="0"/>
              <w:jc w:val="center"/>
              <w:rPr>
                <w:rFonts w:ascii="Times New Roman" w:hAnsi="Times New Roman" w:cs="Times New Roman"/>
                <w:b/>
                <w:bCs/>
                <w:color w:val="000000"/>
              </w:rPr>
            </w:pPr>
            <w:r>
              <w:rPr>
                <w:rFonts w:ascii="Times New Roman" w:hAnsi="Times New Roman" w:cs="Times New Roman"/>
                <w:b/>
                <w:bCs/>
                <w:color w:val="000000"/>
              </w:rPr>
              <w:t>表1</w:t>
            </w:r>
            <w:r>
              <w:rPr>
                <w:rFonts w:ascii="Times New Roman" w:hAnsi="Times New Roman" w:cs="Times New Roman" w:hint="eastAsia"/>
                <w:b/>
                <w:bCs/>
                <w:color w:val="000000"/>
              </w:rPr>
              <w:t>2</w:t>
            </w:r>
            <w:r>
              <w:rPr>
                <w:rFonts w:ascii="Times New Roman" w:hAnsi="Times New Roman" w:cs="Times New Roman"/>
                <w:b/>
                <w:bCs/>
                <w:color w:val="000000"/>
              </w:rPr>
              <w:t>水环境保护目标</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57"/>
              <w:gridCol w:w="2086"/>
              <w:gridCol w:w="1205"/>
              <w:gridCol w:w="2315"/>
              <w:gridCol w:w="1050"/>
              <w:gridCol w:w="1758"/>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57"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序号</w:t>
                  </w:r>
                </w:p>
              </w:tc>
              <w:tc>
                <w:tcPr>
                  <w:tcW w:w="2086"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保护对象</w:t>
                  </w:r>
                </w:p>
              </w:tc>
              <w:tc>
                <w:tcPr>
                  <w:tcW w:w="120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相对方位</w:t>
                  </w:r>
                </w:p>
              </w:tc>
              <w:tc>
                <w:tcPr>
                  <w:tcW w:w="231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距离项目红线距离（m）</w:t>
                  </w:r>
                </w:p>
              </w:tc>
              <w:tc>
                <w:tcPr>
                  <w:tcW w:w="1050"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环境特征</w:t>
                  </w:r>
                </w:p>
              </w:tc>
              <w:tc>
                <w:tcPr>
                  <w:tcW w:w="1758"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保护级别</w:t>
                  </w:r>
                </w:p>
              </w:tc>
            </w:tr>
            <w:tr>
              <w:tblPrEx>
                <w:tblW w:w="0" w:type="auto"/>
                <w:jc w:val="center"/>
                <w:tblLayout w:type="fixed"/>
                <w:tblCellMar>
                  <w:top w:w="0" w:type="dxa"/>
                  <w:left w:w="108" w:type="dxa"/>
                  <w:bottom w:w="0" w:type="dxa"/>
                  <w:right w:w="108" w:type="dxa"/>
                </w:tblCellMar>
              </w:tblPrEx>
              <w:trPr>
                <w:jc w:val="center"/>
              </w:trPr>
              <w:tc>
                <w:tcPr>
                  <w:tcW w:w="657"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1</w:t>
                  </w:r>
                </w:p>
              </w:tc>
              <w:tc>
                <w:tcPr>
                  <w:tcW w:w="2086"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三亚河</w:t>
                  </w:r>
                </w:p>
              </w:tc>
              <w:tc>
                <w:tcPr>
                  <w:tcW w:w="120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育春路东侧</w:t>
                  </w:r>
                </w:p>
              </w:tc>
              <w:tc>
                <w:tcPr>
                  <w:tcW w:w="23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w:t>
                  </w:r>
                </w:p>
              </w:tc>
              <w:tc>
                <w:tcPr>
                  <w:tcW w:w="105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w:t>
                  </w:r>
                </w:p>
              </w:tc>
              <w:tc>
                <w:tcPr>
                  <w:tcW w:w="1758" w:type="dxa"/>
                  <w:noWrap w:val="0"/>
                  <w:vAlign w:val="center"/>
                </w:tcPr>
                <w:p>
                  <w:pPr>
                    <w:spacing w:line="240" w:lineRule="auto"/>
                    <w:ind w:firstLine="0" w:firstLineChars="0"/>
                    <w:rPr>
                      <w:rFonts w:ascii="Times New Roman" w:hAnsi="Times New Roman" w:cs="Times New Roman"/>
                      <w:sz w:val="21"/>
                    </w:rPr>
                  </w:pPr>
                  <w:r>
                    <w:rPr>
                      <w:rFonts w:ascii="Times New Roman" w:hAnsi="Times New Roman" w:cs="Times New Roman"/>
                      <w:color w:val="000000"/>
                      <w:sz w:val="21"/>
                    </w:rPr>
                    <w:t>《地表水环境质量标准》（GB3838-2002）中</w:t>
                  </w:r>
                  <w:r>
                    <w:rPr>
                      <w:rFonts w:ascii="Times New Roman" w:eastAsia="宋体" w:hAnsi="Times New Roman" w:cs="Times New Roman" w:hint="default"/>
                      <w:color w:val="000000"/>
                      <w:sz w:val="21"/>
                    </w:rPr>
                    <w:t>Ⅳ</w:t>
                  </w:r>
                  <w:r>
                    <w:rPr>
                      <w:rFonts w:ascii="Times New Roman" w:hAnsi="Times New Roman" w:cs="Times New Roman"/>
                      <w:color w:val="000000"/>
                      <w:sz w:val="21"/>
                    </w:rPr>
                    <w:t>类标准</w:t>
                  </w:r>
                </w:p>
              </w:tc>
            </w:tr>
          </w:tbl>
          <w:p>
            <w:pPr>
              <w:spacing w:line="240" w:lineRule="auto"/>
              <w:ind w:firstLine="3600" w:firstLineChars="1500"/>
              <w:rPr>
                <w:rFonts w:ascii="Times New Roman" w:hAnsi="Times New Roman" w:cs="Times New Roman"/>
                <w:b/>
                <w:bCs/>
              </w:rPr>
            </w:pPr>
            <w:r>
              <w:rPr>
                <w:rFonts w:ascii="Times New Roman" w:hAnsi="Times New Roman" w:cs="Times New Roman"/>
                <w:b/>
                <w:bCs/>
              </w:rPr>
              <w:t>表1</w:t>
            </w:r>
            <w:r>
              <w:rPr>
                <w:rFonts w:ascii="Times New Roman" w:hAnsi="Times New Roman" w:cs="Times New Roman" w:hint="eastAsia"/>
                <w:b/>
                <w:bCs/>
              </w:rPr>
              <w:t>3</w:t>
            </w:r>
            <w:r>
              <w:rPr>
                <w:rFonts w:ascii="Times New Roman" w:hAnsi="Times New Roman" w:cs="Times New Roman"/>
                <w:b/>
                <w:bCs/>
              </w:rPr>
              <w:t xml:space="preserve"> 生态环境保护目标</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57"/>
              <w:gridCol w:w="1723"/>
              <w:gridCol w:w="1395"/>
              <w:gridCol w:w="2160"/>
              <w:gridCol w:w="1215"/>
              <w:gridCol w:w="1921"/>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657"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序号</w:t>
                  </w:r>
                </w:p>
              </w:tc>
              <w:tc>
                <w:tcPr>
                  <w:tcW w:w="1723"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保护对象</w:t>
                  </w:r>
                </w:p>
              </w:tc>
              <w:tc>
                <w:tcPr>
                  <w:tcW w:w="139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相对方位</w:t>
                  </w:r>
                </w:p>
              </w:tc>
              <w:tc>
                <w:tcPr>
                  <w:tcW w:w="2160"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距离项目红线距离（m）</w:t>
                  </w:r>
                </w:p>
              </w:tc>
              <w:tc>
                <w:tcPr>
                  <w:tcW w:w="121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环境特征</w:t>
                  </w:r>
                </w:p>
              </w:tc>
              <w:tc>
                <w:tcPr>
                  <w:tcW w:w="1921"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保护级别</w:t>
                  </w:r>
                </w:p>
              </w:tc>
            </w:tr>
            <w:tr>
              <w:tblPrEx>
                <w:tblW w:w="0" w:type="auto"/>
                <w:jc w:val="center"/>
                <w:tblLayout w:type="fixed"/>
                <w:tblCellMar>
                  <w:top w:w="0" w:type="dxa"/>
                  <w:left w:w="108" w:type="dxa"/>
                  <w:bottom w:w="0" w:type="dxa"/>
                  <w:right w:w="108" w:type="dxa"/>
                </w:tblCellMar>
              </w:tblPrEx>
              <w:trPr>
                <w:jc w:val="center"/>
              </w:trPr>
              <w:tc>
                <w:tcPr>
                  <w:tcW w:w="657"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1</w:t>
                  </w:r>
                </w:p>
              </w:tc>
              <w:tc>
                <w:tcPr>
                  <w:tcW w:w="172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基本农田</w:t>
                  </w:r>
                </w:p>
              </w:tc>
              <w:tc>
                <w:tcPr>
                  <w:tcW w:w="139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新建道路西侧</w:t>
                  </w:r>
                </w:p>
              </w:tc>
              <w:tc>
                <w:tcPr>
                  <w:tcW w:w="216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18</w:t>
                  </w:r>
                </w:p>
              </w:tc>
              <w:tc>
                <w:tcPr>
                  <w:tcW w:w="12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w:t>
                  </w:r>
                </w:p>
              </w:tc>
              <w:tc>
                <w:tcPr>
                  <w:tcW w:w="1921" w:type="dxa"/>
                  <w:noWrap w:val="0"/>
                  <w:vAlign w:val="center"/>
                </w:tcPr>
                <w:p>
                  <w:pPr>
                    <w:spacing w:line="240" w:lineRule="auto"/>
                    <w:ind w:firstLine="0" w:firstLineChars="0"/>
                    <w:rPr>
                      <w:rFonts w:ascii="Times New Roman" w:hAnsi="Times New Roman" w:cs="Times New Roman"/>
                      <w:color w:val="auto"/>
                      <w:sz w:val="21"/>
                    </w:rPr>
                  </w:pPr>
                  <w:r>
                    <w:rPr>
                      <w:rFonts w:ascii="Times New Roman" w:hAnsi="Times New Roman" w:cs="Times New Roman"/>
                      <w:color w:val="auto"/>
                      <w:sz w:val="21"/>
                    </w:rPr>
                    <w:t>《土壤环境质量</w:t>
                  </w:r>
                  <w:r>
                    <w:rPr>
                      <w:rFonts w:ascii="Times New Roman" w:hAnsi="Times New Roman" w:cs="Times New Roman" w:hint="eastAsia"/>
                      <w:color w:val="auto"/>
                      <w:sz w:val="21"/>
                    </w:rPr>
                    <w:t>农</w:t>
                  </w:r>
                  <w:r>
                    <w:rPr>
                      <w:rFonts w:ascii="Times New Roman" w:hAnsi="Times New Roman" w:cs="Times New Roman"/>
                      <w:color w:val="auto"/>
                      <w:sz w:val="21"/>
                    </w:rPr>
                    <w:t>用地土壤污染风险管控标准（试行）（GB36600-2018）》</w:t>
                  </w:r>
                </w:p>
              </w:tc>
            </w:tr>
          </w:tbl>
          <w:p>
            <w:pPr>
              <w:pStyle w:val="Default"/>
              <w:jc w:val="both"/>
              <w:rPr>
                <w:rFonts w:ascii="Times New Roman"/>
              </w:rPr>
            </w:pPr>
          </w:p>
        </w:tc>
      </w:tr>
    </w:tbl>
    <w:p>
      <w:pPr>
        <w:sectPr>
          <w:headerReference w:type="default" r:id="rId55"/>
          <w:footerReference w:type="even" r:id="rId56"/>
          <w:footerReference w:type="default" r:id="rId57"/>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6"/>
          <w:cols w:num="1" w:space="720"/>
          <w:docGrid w:type="linesAndChars" w:linePitch="286" w:charSpace="80"/>
        </w:sectPr>
      </w:pPr>
    </w:p>
    <w:p>
      <w:pPr>
        <w:keepNext/>
        <w:ind w:firstLine="0" w:firstLineChars="0"/>
        <w:outlineLvl w:val="0"/>
        <w:rPr>
          <w:rFonts w:ascii="Times New Roman" w:hAnsi="Times New Roman" w:cs="Times New Roman"/>
          <w:b/>
          <w:spacing w:val="20"/>
          <w:kern w:val="0"/>
          <w:sz w:val="30"/>
          <w:szCs w:val="30"/>
        </w:rPr>
      </w:pPr>
      <w:r>
        <w:rPr>
          <w:rFonts w:ascii="Times New Roman" w:hAnsi="Times New Roman" w:cs="Times New Roman"/>
          <w:b/>
          <w:spacing w:val="20"/>
          <w:kern w:val="0"/>
          <w:sz w:val="30"/>
          <w:szCs w:val="30"/>
        </w:rPr>
        <w:t>评价适用标准</w:t>
      </w: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711"/>
        <w:gridCol w:w="921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241"/>
          <w:jc w:val="center"/>
        </w:trPr>
        <w:tc>
          <w:tcPr>
            <w:tcW w:w="711" w:type="dxa"/>
            <w:noWrap w:val="0"/>
            <w:vAlign w:val="center"/>
          </w:tcPr>
          <w:p>
            <w:pPr>
              <w:ind w:firstLine="0" w:firstLineChars="0"/>
              <w:jc w:val="center"/>
              <w:rPr>
                <w:rFonts w:ascii="Times New Roman" w:hAnsi="Times New Roman" w:cs="Times New Roman"/>
                <w:b/>
                <w:bCs/>
                <w:szCs w:val="24"/>
              </w:rPr>
            </w:pPr>
            <w:r>
              <w:rPr>
                <w:rFonts w:ascii="Times New Roman" w:hAnsi="Times New Roman" w:cs="Times New Roman"/>
                <w:b/>
                <w:bCs/>
                <w:szCs w:val="24"/>
              </w:rPr>
              <w:t>环</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境</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质</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量</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标</w:t>
            </w:r>
          </w:p>
          <w:p>
            <w:pPr>
              <w:ind w:firstLine="0" w:firstLineChars="0"/>
              <w:jc w:val="center"/>
              <w:rPr>
                <w:rFonts w:ascii="Times New Roman" w:hAnsi="Times New Roman" w:cs="Times New Roman"/>
                <w:sz w:val="28"/>
                <w:szCs w:val="20"/>
              </w:rPr>
            </w:pPr>
            <w:r>
              <w:rPr>
                <w:rFonts w:ascii="Times New Roman" w:hAnsi="Times New Roman" w:cs="Times New Roman"/>
                <w:b/>
                <w:bCs/>
                <w:szCs w:val="24"/>
              </w:rPr>
              <w:t>准</w:t>
            </w:r>
          </w:p>
        </w:tc>
        <w:tc>
          <w:tcPr>
            <w:tcW w:w="9210" w:type="dxa"/>
            <w:noWrap w:val="0"/>
            <w:vAlign w:val="top"/>
          </w:tcPr>
          <w:p>
            <w:pPr>
              <w:ind w:firstLine="483"/>
              <w:rPr>
                <w:rFonts w:ascii="Times New Roman" w:hAnsi="Times New Roman" w:cs="Times New Roman"/>
                <w:b/>
                <w:bCs/>
              </w:rPr>
            </w:pPr>
            <w:bookmarkStart w:id="2" w:name="_Toc193465017"/>
            <w:bookmarkStart w:id="3" w:name="_Toc394051028"/>
            <w:bookmarkStart w:id="4" w:name="_Toc212838161"/>
            <w:bookmarkStart w:id="5" w:name="_Toc216263786"/>
            <w:bookmarkStart w:id="6" w:name="_Toc133319621"/>
            <w:r>
              <w:rPr>
                <w:rFonts w:ascii="Times New Roman" w:hAnsi="Times New Roman" w:cs="Times New Roman"/>
                <w:b/>
                <w:bCs/>
              </w:rPr>
              <w:t>1、环境质量标准</w:t>
            </w:r>
            <w:bookmarkEnd w:id="2"/>
            <w:bookmarkEnd w:id="3"/>
            <w:bookmarkEnd w:id="4"/>
            <w:bookmarkEnd w:id="5"/>
            <w:bookmarkEnd w:id="6"/>
          </w:p>
          <w:p>
            <w:pPr>
              <w:ind w:firstLine="483"/>
              <w:rPr>
                <w:rFonts w:ascii="Times New Roman" w:hAnsi="Times New Roman" w:cs="Times New Roman"/>
                <w:b/>
                <w:bCs/>
              </w:rPr>
            </w:pPr>
            <w:r>
              <w:rPr>
                <w:rFonts w:ascii="Times New Roman" w:hAnsi="Times New Roman" w:cs="Times New Roman"/>
                <w:b/>
                <w:bCs/>
              </w:rPr>
              <w:t>（1）环境空气</w:t>
            </w:r>
          </w:p>
          <w:p>
            <w:pPr>
              <w:ind w:firstLine="481"/>
              <w:rPr>
                <w:rFonts w:ascii="Times New Roman" w:hAnsi="Times New Roman" w:cs="Times New Roman"/>
              </w:rPr>
            </w:pPr>
            <w:r>
              <w:rPr>
                <w:rFonts w:ascii="Times New Roman" w:hAnsi="Times New Roman" w:cs="Times New Roman"/>
              </w:rPr>
              <w:t>项目区域环境空气质量执行《环境空气质量标准》（GB3095-2012）及2018年修改单中的二级标准，具体限值见表1</w:t>
            </w:r>
            <w:r>
              <w:rPr>
                <w:rFonts w:ascii="Times New Roman" w:hAnsi="Times New Roman" w:cs="Times New Roman" w:hint="eastAsia"/>
              </w:rPr>
              <w:t>4</w:t>
            </w:r>
            <w:r>
              <w:rPr>
                <w:rFonts w:ascii="Times New Roman" w:hAnsi="Times New Roman" w:cs="Times New Roman"/>
              </w:rPr>
              <w:t>。</w:t>
            </w:r>
          </w:p>
          <w:p>
            <w:pPr>
              <w:spacing w:line="240" w:lineRule="auto"/>
              <w:ind w:firstLine="0" w:firstLineChars="0"/>
              <w:jc w:val="center"/>
              <w:rPr>
                <w:rFonts w:ascii="Times New Roman" w:hAnsi="Times New Roman" w:cs="Times New Roman"/>
                <w:b/>
                <w:bCs/>
              </w:rPr>
            </w:pPr>
            <w:r>
              <w:rPr>
                <w:rFonts w:ascii="Times New Roman" w:hAnsi="Times New Roman" w:cs="Times New Roman"/>
                <w:b/>
                <w:bCs/>
              </w:rPr>
              <w:t>表</w:t>
            </w:r>
            <w:r>
              <w:rPr>
                <w:rFonts w:ascii="Times New Roman" w:hAnsi="Times New Roman" w:cs="Times New Roman" w:hint="eastAsia"/>
                <w:b/>
                <w:bCs/>
              </w:rPr>
              <w:t>14</w:t>
            </w:r>
            <w:r>
              <w:rPr>
                <w:rFonts w:ascii="Times New Roman" w:hAnsi="Times New Roman" w:cs="Times New Roman"/>
                <w:b/>
                <w:bCs/>
              </w:rPr>
              <w:t xml:space="preserve"> 《环境空气质量标准》（GB3095-2012）（摘录）</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2308"/>
              <w:gridCol w:w="2100"/>
              <w:gridCol w:w="1294"/>
              <w:gridCol w:w="1295"/>
              <w:gridCol w:w="1507"/>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285"/>
                <w:jc w:val="center"/>
              </w:trPr>
              <w:tc>
                <w:tcPr>
                  <w:tcW w:w="2308" w:type="dxa"/>
                  <w:vMerge w:val="restart"/>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污染物名称</w:t>
                  </w:r>
                </w:p>
              </w:tc>
              <w:tc>
                <w:tcPr>
                  <w:tcW w:w="2100" w:type="dxa"/>
                  <w:vMerge w:val="restart"/>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取值时间</w:t>
                  </w:r>
                </w:p>
              </w:tc>
              <w:tc>
                <w:tcPr>
                  <w:tcW w:w="2589" w:type="dxa"/>
                  <w:gridSpan w:val="2"/>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浓度限值</w:t>
                  </w:r>
                </w:p>
              </w:tc>
              <w:tc>
                <w:tcPr>
                  <w:tcW w:w="1507" w:type="dxa"/>
                  <w:vMerge w:val="restart"/>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浓度单位</w:t>
                  </w: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一级标准</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二级标准</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二氧化硫</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SO</w:t>
                  </w:r>
                  <w:r>
                    <w:rPr>
                      <w:rFonts w:ascii="Times New Roman" w:hAnsi="Times New Roman" w:cs="Times New Roman"/>
                      <w:sz w:val="21"/>
                      <w:vertAlign w:val="subscript"/>
                    </w:rPr>
                    <w:t>2</w:t>
                  </w: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年平均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60</w:t>
                  </w:r>
                </w:p>
              </w:tc>
              <w:tc>
                <w:tcPr>
                  <w:tcW w:w="1507" w:type="dxa"/>
                  <w:vMerge w:val="restart"/>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ug/m³</w:t>
                  </w: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150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150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500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二氧化氮</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NO</w:t>
                  </w:r>
                  <w:r>
                    <w:rPr>
                      <w:rFonts w:ascii="Times New Roman" w:hAnsi="Times New Roman" w:cs="Times New Roman"/>
                      <w:sz w:val="21"/>
                      <w:vertAlign w:val="subscript"/>
                    </w:rPr>
                    <w:t>2</w:t>
                  </w: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年平均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40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80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200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200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一氧化氮</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CO</w:t>
                  </w: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4</w:t>
                  </w:r>
                </w:p>
              </w:tc>
              <w:tc>
                <w:tcPr>
                  <w:tcW w:w="1507"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mg/m³</w:t>
                  </w: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tcBorders>
                    <w:bottom w:val="single" w:sz="4" w:space="0" w:color="auto"/>
                  </w:tcBorders>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1小时平均</w:t>
                  </w:r>
                </w:p>
              </w:tc>
              <w:tc>
                <w:tcPr>
                  <w:tcW w:w="1294" w:type="dxa"/>
                  <w:tcBorders>
                    <w:bottom w:val="single" w:sz="4" w:space="0" w:color="auto"/>
                  </w:tcBorders>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10</w:t>
                  </w:r>
                </w:p>
              </w:tc>
              <w:tc>
                <w:tcPr>
                  <w:tcW w:w="1295" w:type="dxa"/>
                  <w:tcBorders>
                    <w:bottom w:val="single" w:sz="4" w:space="0" w:color="auto"/>
                  </w:tcBorders>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10</w:t>
                  </w:r>
                </w:p>
              </w:tc>
              <w:tc>
                <w:tcPr>
                  <w:tcW w:w="1507" w:type="dxa"/>
                  <w:tcBorders>
                    <w:bottom w:val="single" w:sz="4" w:space="0" w:color="auto"/>
                  </w:tcBorders>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ug/m³</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(标准状态)</w:t>
                  </w: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颗粒物</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(粒径小于等于10um)</w:t>
                  </w:r>
                </w:p>
              </w:tc>
              <w:tc>
                <w:tcPr>
                  <w:tcW w:w="2100" w:type="dxa"/>
                  <w:tcBorders>
                    <w:top w:val="single" w:sz="4" w:space="0" w:color="auto"/>
                  </w:tcBorders>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年平均</w:t>
                  </w:r>
                </w:p>
              </w:tc>
              <w:tc>
                <w:tcPr>
                  <w:tcW w:w="1294" w:type="dxa"/>
                  <w:tcBorders>
                    <w:top w:val="single" w:sz="4" w:space="0" w:color="auto"/>
                  </w:tcBorders>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40</w:t>
                  </w:r>
                </w:p>
              </w:tc>
              <w:tc>
                <w:tcPr>
                  <w:tcW w:w="1295" w:type="dxa"/>
                  <w:tcBorders>
                    <w:top w:val="single" w:sz="4" w:space="0" w:color="auto"/>
                  </w:tcBorders>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70</w:t>
                  </w:r>
                </w:p>
              </w:tc>
              <w:tc>
                <w:tcPr>
                  <w:tcW w:w="1507" w:type="dxa"/>
                  <w:vMerge w:val="restart"/>
                  <w:tcBorders>
                    <w:top w:val="single" w:sz="4" w:space="0" w:color="auto"/>
                  </w:tcBorders>
                  <w:noWrap w:val="0"/>
                  <w:vAlign w:val="center"/>
                </w:tcPr>
                <w:p>
                  <w:pPr>
                    <w:spacing w:line="240" w:lineRule="auto"/>
                    <w:ind w:firstLine="421"/>
                    <w:jc w:val="both"/>
                    <w:rPr>
                      <w:rFonts w:ascii="Times New Roman" w:hAnsi="Times New Roman" w:cs="Times New Roman"/>
                      <w:sz w:val="21"/>
                    </w:rPr>
                  </w:pPr>
                  <w:r>
                    <w:rPr>
                      <w:rFonts w:ascii="Times New Roman" w:hAnsi="Times New Roman" w:cs="Times New Roman"/>
                      <w:sz w:val="21"/>
                    </w:rPr>
                    <w:t>ug/m³</w:t>
                  </w: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150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8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颗粒物</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(粒径小于等于2.5um)</w:t>
                  </w: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年平均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15</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35</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9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35</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75</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95"/>
                <w:jc w:val="center"/>
              </w:trPr>
              <w:tc>
                <w:tcPr>
                  <w:tcW w:w="2308" w:type="dxa"/>
                  <w:vMerge w:val="restart"/>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总悬浮颗粒物</w:t>
                  </w:r>
                </w:p>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TSP</w:t>
                  </w: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年平均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200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r>
              <w:tblPrEx>
                <w:tblW w:w="0" w:type="auto"/>
                <w:jc w:val="center"/>
                <w:tblLayout w:type="fixed"/>
                <w:tblCellMar>
                  <w:top w:w="0" w:type="dxa"/>
                  <w:left w:w="108" w:type="dxa"/>
                  <w:bottom w:w="0" w:type="dxa"/>
                  <w:right w:w="108" w:type="dxa"/>
                </w:tblCellMar>
              </w:tblPrEx>
              <w:trPr>
                <w:trHeight w:val="295"/>
                <w:jc w:val="center"/>
              </w:trPr>
              <w:tc>
                <w:tcPr>
                  <w:tcW w:w="2308" w:type="dxa"/>
                  <w:vMerge/>
                  <w:shd w:val="clear" w:color="auto" w:fill="auto"/>
                  <w:noWrap w:val="0"/>
                  <w:vAlign w:val="center"/>
                </w:tcPr>
                <w:p>
                  <w:pPr>
                    <w:snapToGrid/>
                    <w:spacing w:line="240" w:lineRule="auto"/>
                    <w:ind w:firstLine="0" w:firstLineChars="0"/>
                    <w:jc w:val="center"/>
                    <w:rPr>
                      <w:rFonts w:ascii="Times New Roman" w:hAnsi="Times New Roman" w:cs="Times New Roman"/>
                      <w:sz w:val="21"/>
                    </w:rPr>
                  </w:pPr>
                </w:p>
              </w:tc>
              <w:tc>
                <w:tcPr>
                  <w:tcW w:w="2100" w:type="dxa"/>
                  <w:shd w:val="clear" w:color="auto" w:fill="auto"/>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24小时平均</w:t>
                  </w:r>
                </w:p>
              </w:tc>
              <w:tc>
                <w:tcPr>
                  <w:tcW w:w="1294"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120</w:t>
                  </w:r>
                </w:p>
              </w:tc>
              <w:tc>
                <w:tcPr>
                  <w:tcW w:w="1295"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300</w:t>
                  </w:r>
                </w:p>
              </w:tc>
              <w:tc>
                <w:tcPr>
                  <w:tcW w:w="1507" w:type="dxa"/>
                  <w:vMerge/>
                  <w:noWrap w:val="0"/>
                  <w:vAlign w:val="center"/>
                </w:tcPr>
                <w:p>
                  <w:pPr>
                    <w:snapToGrid/>
                    <w:spacing w:line="240" w:lineRule="auto"/>
                    <w:ind w:firstLine="0" w:firstLineChars="0"/>
                    <w:jc w:val="center"/>
                    <w:rPr>
                      <w:rFonts w:ascii="Times New Roman" w:hAnsi="Times New Roman" w:cs="Times New Roman"/>
                      <w:sz w:val="21"/>
                    </w:rPr>
                  </w:pPr>
                </w:p>
              </w:tc>
            </w:tr>
          </w:tbl>
          <w:p>
            <w:pPr>
              <w:ind w:firstLine="483"/>
              <w:rPr>
                <w:rFonts w:ascii="Times New Roman" w:hAnsi="Times New Roman" w:cs="Times New Roman"/>
                <w:b/>
                <w:bCs/>
              </w:rPr>
            </w:pPr>
            <w:r>
              <w:rPr>
                <w:rFonts w:ascii="Times New Roman" w:hAnsi="Times New Roman" w:cs="Times New Roman"/>
                <w:b/>
                <w:bCs/>
              </w:rPr>
              <w:t>（2）声环境</w:t>
            </w:r>
          </w:p>
          <w:p>
            <w:pPr>
              <w:ind w:firstLine="481"/>
              <w:rPr>
                <w:rFonts w:ascii="Times New Roman" w:hAnsi="Times New Roman" w:cs="Times New Roman" w:hint="eastAsia"/>
                <w:color w:val="auto"/>
              </w:rPr>
            </w:pPr>
            <w:r>
              <w:rPr>
                <w:rFonts w:ascii="Times New Roman" w:hAnsi="Times New Roman" w:cs="Times New Roman"/>
                <w:color w:val="auto"/>
                <w:kern w:val="0"/>
                <w:szCs w:val="24"/>
                <w:lang w:bidi="ar"/>
              </w:rPr>
              <w:t>本项目为城市次干路，</w:t>
            </w:r>
            <w:r>
              <w:rPr>
                <w:rFonts w:ascii="Times New Roman" w:hAnsi="Times New Roman" w:cs="Times New Roman" w:hint="eastAsia"/>
                <w:color w:val="auto"/>
                <w:kern w:val="0"/>
                <w:szCs w:val="24"/>
                <w:lang w:bidi="ar"/>
              </w:rPr>
              <w:t>位于声功能区2类区。根据现状调查，改造段</w:t>
            </w:r>
            <w:r>
              <w:rPr>
                <w:rFonts w:ascii="Times New Roman" w:hAnsi="Times New Roman" w:cs="Times New Roman"/>
                <w:color w:val="auto"/>
                <w:kern w:val="0"/>
                <w:szCs w:val="24"/>
                <w:lang w:bidi="ar"/>
              </w:rPr>
              <w:t>项目</w:t>
            </w:r>
            <w:r>
              <w:rPr>
                <w:rFonts w:ascii="Times New Roman" w:hAnsi="Times New Roman" w:cs="Times New Roman" w:hint="eastAsia"/>
                <w:color w:val="auto"/>
                <w:kern w:val="0"/>
                <w:szCs w:val="24"/>
                <w:lang w:bidi="ar"/>
              </w:rPr>
              <w:t>沿线同心家园六期北区、南区沿道路第一排建筑均为高于3层的建筑，首排建筑距道路红线约12m。新建段以低于3层建筑为主。</w:t>
            </w:r>
            <w:r>
              <w:rPr>
                <w:rFonts w:ascii="Times New Roman" w:hAnsi="Times New Roman" w:cs="Times New Roman"/>
                <w:color w:val="auto"/>
              </w:rPr>
              <w:t>根据《声环境功能区划分技术规范》（GB/T 15190-2014）</w:t>
            </w:r>
            <w:r>
              <w:rPr>
                <w:rFonts w:ascii="Times New Roman" w:hAnsi="Times New Roman" w:cs="Times New Roman" w:hint="eastAsia"/>
                <w:color w:val="auto"/>
              </w:rPr>
              <w:t>和</w:t>
            </w:r>
            <w:r>
              <w:rPr>
                <w:rFonts w:ascii="Times New Roman" w:hAnsi="Times New Roman" w:cs="Times New Roman"/>
                <w:color w:val="auto"/>
              </w:rPr>
              <w:t>《三亚市城市区域声环境功能区划图》（2011-202</w:t>
            </w:r>
            <w:r>
              <w:rPr>
                <w:rFonts w:ascii="Times New Roman" w:hAnsi="Times New Roman" w:cs="Times New Roman" w:hint="eastAsia"/>
                <w:color w:val="auto"/>
              </w:rPr>
              <w:t>0</w:t>
            </w:r>
            <w:r>
              <w:rPr>
                <w:rFonts w:ascii="Times New Roman" w:hAnsi="Times New Roman" w:cs="Times New Roman"/>
                <w:color w:val="auto"/>
              </w:rPr>
              <w:t>年）（详见附图</w:t>
            </w:r>
            <w:r>
              <w:rPr>
                <w:rFonts w:ascii="Times New Roman" w:hAnsi="Times New Roman" w:cs="Times New Roman" w:hint="eastAsia"/>
                <w:color w:val="auto"/>
              </w:rPr>
              <w:t>9</w:t>
            </w:r>
            <w:r>
              <w:rPr>
                <w:rFonts w:ascii="Times New Roman" w:hAnsi="Times New Roman" w:cs="Times New Roman"/>
                <w:color w:val="auto"/>
              </w:rPr>
              <w:t>）</w:t>
            </w:r>
            <w:r>
              <w:rPr>
                <w:rFonts w:ascii="Times New Roman" w:hAnsi="Times New Roman" w:cs="Times New Roman" w:hint="eastAsia"/>
                <w:color w:val="auto"/>
              </w:rPr>
              <w:t>，</w:t>
            </w:r>
          </w:p>
          <w:p>
            <w:pPr>
              <w:ind w:firstLine="0" w:firstLineChars="0"/>
              <w:rPr>
                <w:rFonts w:ascii="Times New Roman" w:hAnsi="Times New Roman" w:cs="Times New Roman"/>
                <w:color w:val="auto"/>
                <w:kern w:val="0"/>
              </w:rPr>
            </w:pPr>
            <w:r>
              <w:rPr>
                <w:rFonts w:ascii="Times New Roman" w:hAnsi="Times New Roman" w:cs="Times New Roman" w:hint="eastAsia"/>
                <w:color w:val="auto"/>
              </w:rPr>
              <w:t>改造段沿线同心家园北区、南区第一排建筑面向道路一侧至道路边界线区域执行</w:t>
            </w:r>
            <w:r>
              <w:rPr>
                <w:rFonts w:ascii="Times New Roman" w:hAnsi="Times New Roman" w:cs="Times New Roman"/>
                <w:color w:val="auto"/>
                <w:kern w:val="0"/>
                <w:szCs w:val="24"/>
                <w:lang w:bidi="ar"/>
              </w:rPr>
              <w:t>《声环境质量标准》</w:t>
            </w:r>
            <w:r>
              <w:rPr>
                <w:rFonts w:ascii="Times New Roman" w:eastAsia="TimesNewRomanPSMT" w:hAnsi="Times New Roman" w:cs="Times New Roman"/>
                <w:color w:val="auto"/>
                <w:kern w:val="0"/>
                <w:szCs w:val="24"/>
                <w:lang w:bidi="ar"/>
              </w:rPr>
              <w:t>(GB3096 -2008 )</w:t>
            </w:r>
            <w:r>
              <w:rPr>
                <w:rFonts w:ascii="Times New Roman" w:hAnsi="Times New Roman" w:cs="Times New Roman"/>
                <w:color w:val="auto"/>
                <w:kern w:val="0"/>
                <w:szCs w:val="24"/>
                <w:lang w:bidi="ar"/>
              </w:rPr>
              <w:t xml:space="preserve">中的 </w:t>
            </w:r>
            <w:r>
              <w:rPr>
                <w:rFonts w:ascii="Times New Roman" w:eastAsia="TimesNewRomanPSMT" w:hAnsi="Times New Roman" w:cs="Times New Roman"/>
                <w:color w:val="auto"/>
                <w:kern w:val="0"/>
                <w:szCs w:val="24"/>
                <w:lang w:bidi="ar"/>
              </w:rPr>
              <w:t xml:space="preserve">4a </w:t>
            </w:r>
            <w:r>
              <w:rPr>
                <w:rFonts w:ascii="Times New Roman" w:hAnsi="Times New Roman" w:cs="Times New Roman"/>
                <w:color w:val="auto"/>
                <w:kern w:val="0"/>
                <w:szCs w:val="24"/>
                <w:lang w:bidi="ar"/>
              </w:rPr>
              <w:t>类标准</w:t>
            </w:r>
            <w:r>
              <w:rPr>
                <w:rFonts w:ascii="Times New Roman" w:hAnsi="Times New Roman" w:cs="Times New Roman" w:hint="eastAsia"/>
                <w:color w:val="auto"/>
                <w:kern w:val="0"/>
                <w:szCs w:val="24"/>
                <w:lang w:bidi="ar"/>
              </w:rPr>
              <w:t>，新建段道路红线外30m范围内执行</w:t>
            </w:r>
            <w:r>
              <w:rPr>
                <w:rFonts w:ascii="Times New Roman" w:eastAsia="TimesNewRomanPSMT" w:hAnsi="Times New Roman" w:cs="Times New Roman"/>
                <w:color w:val="auto"/>
                <w:kern w:val="0"/>
                <w:szCs w:val="24"/>
                <w:lang w:bidi="ar"/>
              </w:rPr>
              <w:t xml:space="preserve">4a </w:t>
            </w:r>
            <w:r>
              <w:rPr>
                <w:rFonts w:ascii="Times New Roman" w:hAnsi="Times New Roman" w:cs="Times New Roman"/>
                <w:color w:val="auto"/>
                <w:kern w:val="0"/>
                <w:szCs w:val="24"/>
                <w:lang w:bidi="ar"/>
              </w:rPr>
              <w:t>类标准</w:t>
            </w:r>
            <w:r>
              <w:rPr>
                <w:rFonts w:ascii="Times New Roman" w:hAnsi="Times New Roman" w:cs="Times New Roman" w:hint="eastAsia"/>
                <w:color w:val="auto"/>
                <w:kern w:val="0"/>
                <w:szCs w:val="24"/>
                <w:lang w:bidi="ar"/>
              </w:rPr>
              <w:t>，</w:t>
            </w:r>
            <w:r>
              <w:rPr>
                <w:rFonts w:ascii="Times New Roman" w:hAnsi="Times New Roman" w:cs="Times New Roman"/>
                <w:color w:val="auto"/>
              </w:rPr>
              <w:t>其他区域执行《声环境质量标准》（GB3096-2008）中2类标准。</w:t>
            </w:r>
          </w:p>
          <w:p>
            <w:pPr>
              <w:spacing w:line="240" w:lineRule="auto"/>
              <w:ind w:firstLine="0" w:firstLineChars="0"/>
              <w:jc w:val="center"/>
              <w:rPr>
                <w:rFonts w:ascii="Times New Roman" w:hAnsi="Times New Roman" w:cs="Times New Roman"/>
                <w:b/>
                <w:bCs/>
              </w:rPr>
            </w:pPr>
            <w:r>
              <w:rPr>
                <w:rFonts w:ascii="Times New Roman" w:hAnsi="Times New Roman" w:cs="Times New Roman"/>
                <w:b/>
                <w:bCs/>
              </w:rPr>
              <w:t xml:space="preserve">                  表1</w:t>
            </w:r>
            <w:r>
              <w:rPr>
                <w:rFonts w:ascii="Times New Roman" w:hAnsi="Times New Roman" w:cs="Times New Roman" w:hint="eastAsia"/>
                <w:b/>
                <w:bCs/>
              </w:rPr>
              <w:t>5</w:t>
            </w:r>
            <w:r>
              <w:rPr>
                <w:rFonts w:ascii="Times New Roman" w:hAnsi="Times New Roman" w:cs="Times New Roman"/>
                <w:b/>
                <w:bCs/>
              </w:rPr>
              <w:t xml:space="preserve"> 声环境质量标准 （GB3096-2008）  单位：dB(A)</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818"/>
              <w:gridCol w:w="4643"/>
              <w:gridCol w:w="1040"/>
              <w:gridCol w:w="1003"/>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12"/>
                <w:jc w:val="center"/>
              </w:trPr>
              <w:tc>
                <w:tcPr>
                  <w:tcW w:w="1818"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类别</w:t>
                  </w:r>
                </w:p>
              </w:tc>
              <w:tc>
                <w:tcPr>
                  <w:tcW w:w="4643"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适用区域</w:t>
                  </w:r>
                </w:p>
              </w:tc>
              <w:tc>
                <w:tcPr>
                  <w:tcW w:w="1040"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昼间</w:t>
                  </w:r>
                </w:p>
              </w:tc>
              <w:tc>
                <w:tcPr>
                  <w:tcW w:w="1003" w:type="dxa"/>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夜间</w:t>
                  </w:r>
                </w:p>
              </w:tc>
            </w:tr>
            <w:tr>
              <w:tblPrEx>
                <w:tblW w:w="0" w:type="auto"/>
                <w:jc w:val="center"/>
                <w:tblLayout w:type="fixed"/>
                <w:tblCellMar>
                  <w:top w:w="0" w:type="dxa"/>
                  <w:left w:w="108" w:type="dxa"/>
                  <w:bottom w:w="0" w:type="dxa"/>
                  <w:right w:w="108" w:type="dxa"/>
                </w:tblCellMar>
              </w:tblPrEx>
              <w:trPr>
                <w:trHeight w:val="249"/>
                <w:jc w:val="center"/>
              </w:trPr>
              <w:tc>
                <w:tcPr>
                  <w:tcW w:w="1818"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0</w:t>
                  </w:r>
                </w:p>
              </w:tc>
              <w:tc>
                <w:tcPr>
                  <w:tcW w:w="464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康复疗养区等特别需要安静的区域</w:t>
                  </w:r>
                </w:p>
              </w:tc>
              <w:tc>
                <w:tcPr>
                  <w:tcW w:w="1040"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50</w:t>
                  </w:r>
                </w:p>
              </w:tc>
              <w:tc>
                <w:tcPr>
                  <w:tcW w:w="100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40</w:t>
                  </w:r>
                </w:p>
              </w:tc>
            </w:tr>
            <w:tr>
              <w:tblPrEx>
                <w:tblW w:w="0" w:type="auto"/>
                <w:jc w:val="center"/>
                <w:tblLayout w:type="fixed"/>
                <w:tblCellMar>
                  <w:top w:w="0" w:type="dxa"/>
                  <w:left w:w="108" w:type="dxa"/>
                  <w:bottom w:w="0" w:type="dxa"/>
                  <w:right w:w="108" w:type="dxa"/>
                </w:tblCellMar>
              </w:tblPrEx>
              <w:trPr>
                <w:trHeight w:val="495"/>
                <w:jc w:val="center"/>
              </w:trPr>
              <w:tc>
                <w:tcPr>
                  <w:tcW w:w="1818"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w:t>
                  </w:r>
                </w:p>
              </w:tc>
              <w:tc>
                <w:tcPr>
                  <w:tcW w:w="464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以居民住宅、医疗卫生、文化教育、科研设计、行政办公为主要功能，需要保持安静的区域</w:t>
                  </w:r>
                </w:p>
              </w:tc>
              <w:tc>
                <w:tcPr>
                  <w:tcW w:w="1040"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55</w:t>
                  </w:r>
                </w:p>
              </w:tc>
              <w:tc>
                <w:tcPr>
                  <w:tcW w:w="100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45</w:t>
                  </w:r>
                </w:p>
              </w:tc>
            </w:tr>
          </w:tbl>
          <w:p/>
        </w:tc>
      </w:tr>
    </w:tbl>
    <w:p>
      <w:pPr>
        <w:sectPr>
          <w:headerReference w:type="default" r:id="rId58"/>
          <w:footerReference w:type="even" r:id="rId59"/>
          <w:footerReference w:type="default" r:id="rId60"/>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7"/>
          <w:cols w:num="1" w:space="720"/>
          <w:titlePg w:val="0"/>
          <w:docGrid w:type="linesAndChars" w:linePitch="286" w:charSpace="80"/>
        </w:sectPr>
      </w:pP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711"/>
        <w:gridCol w:w="9210"/>
      </w:tblGrid>
      <w:tr>
        <w:tblPrEx>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241"/>
          <w:jc w:val="center"/>
        </w:trPr>
        <w:tc>
          <w:tcPr>
            <w:tcW w:w="711" w:type="dxa"/>
            <w:noWrap w:val="0"/>
            <w:vAlign w:val="center"/>
          </w:tcPr>
          <w:p/>
        </w:tc>
        <w:tc>
          <w:tcPr>
            <w:tcW w:w="9210" w:type="dxa"/>
            <w:noWrap w:val="0"/>
            <w:vAlign w:val="top"/>
          </w:tcPr>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931"/>
              <w:gridCol w:w="887"/>
              <w:gridCol w:w="4643"/>
              <w:gridCol w:w="1040"/>
              <w:gridCol w:w="1003"/>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512"/>
                <w:jc w:val="center"/>
              </w:trPr>
              <w:tc>
                <w:tcPr>
                  <w:tcW w:w="1818" w:type="dxa"/>
                  <w:gridSpan w:val="2"/>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2</w:t>
                  </w:r>
                </w:p>
              </w:tc>
              <w:tc>
                <w:tcPr>
                  <w:tcW w:w="4643"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以商业金融、集市贸易为主要功能，或者居住、商业、工业混杂，需要维护住宅安静的区域</w:t>
                  </w:r>
                </w:p>
              </w:tc>
              <w:tc>
                <w:tcPr>
                  <w:tcW w:w="1040"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60</w:t>
                  </w:r>
                </w:p>
              </w:tc>
              <w:tc>
                <w:tcPr>
                  <w:tcW w:w="1003"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50</w:t>
                  </w:r>
                </w:p>
              </w:tc>
            </w:tr>
            <w:tr>
              <w:tblPrEx>
                <w:tblW w:w="0" w:type="auto"/>
                <w:jc w:val="center"/>
                <w:tblLayout w:type="fixed"/>
                <w:tblCellMar>
                  <w:top w:w="0" w:type="dxa"/>
                  <w:left w:w="108" w:type="dxa"/>
                  <w:bottom w:w="0" w:type="dxa"/>
                  <w:right w:w="108" w:type="dxa"/>
                </w:tblCellMar>
              </w:tblPrEx>
              <w:trPr>
                <w:trHeight w:val="495"/>
                <w:jc w:val="center"/>
              </w:trPr>
              <w:tc>
                <w:tcPr>
                  <w:tcW w:w="1818" w:type="dxa"/>
                  <w:gridSpan w:val="2"/>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3</w:t>
                  </w:r>
                </w:p>
              </w:tc>
              <w:tc>
                <w:tcPr>
                  <w:tcW w:w="4643"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以工业生产、仓储物流为主要功能，需要防止工业噪声对周围环境产生严重影响的区域</w:t>
                  </w:r>
                </w:p>
              </w:tc>
              <w:tc>
                <w:tcPr>
                  <w:tcW w:w="1040"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65</w:t>
                  </w:r>
                </w:p>
              </w:tc>
              <w:tc>
                <w:tcPr>
                  <w:tcW w:w="1003" w:type="dxa"/>
                  <w:shd w:val="clear" w:color="auto" w:fill="FFFFFF"/>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55</w:t>
                  </w:r>
                </w:p>
              </w:tc>
            </w:tr>
            <w:tr>
              <w:tblPrEx>
                <w:tblW w:w="0" w:type="auto"/>
                <w:jc w:val="center"/>
                <w:tblLayout w:type="fixed"/>
                <w:tblCellMar>
                  <w:top w:w="0" w:type="dxa"/>
                  <w:left w:w="108" w:type="dxa"/>
                  <w:bottom w:w="0" w:type="dxa"/>
                  <w:right w:w="108" w:type="dxa"/>
                </w:tblCellMar>
              </w:tblPrEx>
              <w:trPr>
                <w:trHeight w:val="512"/>
                <w:jc w:val="center"/>
              </w:trPr>
              <w:tc>
                <w:tcPr>
                  <w:tcW w:w="931" w:type="dxa"/>
                  <w:vMerge w:val="restart"/>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4</w:t>
                  </w:r>
                </w:p>
              </w:tc>
              <w:tc>
                <w:tcPr>
                  <w:tcW w:w="887"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4a</w:t>
                  </w:r>
                </w:p>
              </w:tc>
              <w:tc>
                <w:tcPr>
                  <w:tcW w:w="4643"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高速道路、一级道路、二级道路、城市快速路、城市主干路、城市次干路、城市轨道交通（地面段）、内河航道两侧区域</w:t>
                  </w:r>
                </w:p>
              </w:tc>
              <w:tc>
                <w:tcPr>
                  <w:tcW w:w="1040"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70</w:t>
                  </w:r>
                </w:p>
              </w:tc>
              <w:tc>
                <w:tcPr>
                  <w:tcW w:w="1003" w:type="dxa"/>
                  <w:shd w:val="clear" w:color="auto" w:fill="BEBEBE"/>
                  <w:noWrap w:val="0"/>
                  <w:vAlign w:val="center"/>
                </w:tcPr>
                <w:p>
                  <w:pPr>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55</w:t>
                  </w:r>
                </w:p>
              </w:tc>
            </w:tr>
            <w:tr>
              <w:tblPrEx>
                <w:tblW w:w="0" w:type="auto"/>
                <w:jc w:val="center"/>
                <w:tblLayout w:type="fixed"/>
                <w:tblCellMar>
                  <w:top w:w="0" w:type="dxa"/>
                  <w:left w:w="108" w:type="dxa"/>
                  <w:bottom w:w="0" w:type="dxa"/>
                  <w:right w:w="108" w:type="dxa"/>
                </w:tblCellMar>
              </w:tblPrEx>
              <w:trPr>
                <w:cantSplit/>
                <w:trHeight w:val="140"/>
                <w:jc w:val="center"/>
              </w:trPr>
              <w:tc>
                <w:tcPr>
                  <w:tcW w:w="931" w:type="dxa"/>
                  <w:vMerge/>
                  <w:shd w:val="clear" w:color="auto" w:fill="BEBEBE"/>
                  <w:noWrap w:val="0"/>
                  <w:vAlign w:val="center"/>
                </w:tcPr>
                <w:p>
                  <w:pPr>
                    <w:snapToGrid/>
                    <w:spacing w:line="240" w:lineRule="auto"/>
                    <w:ind w:firstLine="0" w:firstLineChars="0"/>
                    <w:jc w:val="center"/>
                    <w:rPr>
                      <w:rFonts w:ascii="Times New Roman" w:hAnsi="Times New Roman" w:cs="Times New Roman"/>
                      <w:sz w:val="21"/>
                    </w:rPr>
                  </w:pPr>
                </w:p>
              </w:tc>
              <w:tc>
                <w:tcPr>
                  <w:tcW w:w="887"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4b</w:t>
                  </w:r>
                </w:p>
              </w:tc>
              <w:tc>
                <w:tcPr>
                  <w:tcW w:w="464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铁路干线两侧区域</w:t>
                  </w:r>
                </w:p>
              </w:tc>
              <w:tc>
                <w:tcPr>
                  <w:tcW w:w="1040"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70</w:t>
                  </w:r>
                </w:p>
              </w:tc>
              <w:tc>
                <w:tcPr>
                  <w:tcW w:w="1003" w:type="dxa"/>
                  <w:noWrap w:val="0"/>
                  <w:vAlign w:val="center"/>
                </w:tcPr>
                <w:p>
                  <w:pPr>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60</w:t>
                  </w:r>
                </w:p>
              </w:tc>
            </w:tr>
          </w:tbl>
          <w:p>
            <w:pPr>
              <w:adjustRightInd w:val="0"/>
              <w:ind w:firstLine="483"/>
              <w:rPr>
                <w:rFonts w:ascii="Times New Roman" w:hAnsi="Times New Roman" w:cs="Times New Roman"/>
                <w:b/>
                <w:bCs/>
              </w:rPr>
            </w:pPr>
            <w:r>
              <w:rPr>
                <w:rFonts w:ascii="Times New Roman" w:hAnsi="Times New Roman" w:cs="Times New Roman"/>
                <w:b/>
                <w:bCs/>
              </w:rPr>
              <w:t>（3）地表水环境</w:t>
            </w:r>
          </w:p>
          <w:p>
            <w:pPr>
              <w:kinsoku w:val="0"/>
              <w:overflowPunct w:val="0"/>
              <w:autoSpaceDE w:val="0"/>
              <w:autoSpaceDN w:val="0"/>
              <w:adjustRightInd w:val="0"/>
              <w:ind w:firstLine="481"/>
              <w:jc w:val="left"/>
              <w:rPr>
                <w:rFonts w:ascii="Times New Roman" w:hAnsi="Times New Roman" w:cs="Times New Roman"/>
              </w:rPr>
            </w:pPr>
            <w:r>
              <w:rPr>
                <w:rFonts w:ascii="Times New Roman" w:hAnsi="Times New Roman" w:cs="Times New Roman"/>
              </w:rPr>
              <w:t>根据《三亚市</w:t>
            </w:r>
            <w:r>
              <w:rPr>
                <w:rFonts w:ascii="Times New Roman" w:hAnsi="Times New Roman" w:cs="Times New Roman" w:hint="eastAsia"/>
              </w:rPr>
              <w:t>水环境功能区划</w:t>
            </w:r>
            <w:r>
              <w:rPr>
                <w:rFonts w:ascii="Times New Roman" w:hAnsi="Times New Roman" w:cs="Times New Roman"/>
              </w:rPr>
              <w:t>》，</w:t>
            </w:r>
            <w:r>
              <w:rPr>
                <w:rFonts w:ascii="Times New Roman" w:hAnsi="Times New Roman" w:cs="Times New Roman" w:hint="eastAsia"/>
              </w:rPr>
              <w:t>本项目附近的</w:t>
            </w:r>
            <w:r>
              <w:rPr>
                <w:rFonts w:ascii="Times New Roman" w:hAnsi="Times New Roman" w:cs="Times New Roman"/>
              </w:rPr>
              <w:t>三亚河水质执行《地表水环境质量》（GB3838-2002）中的Ш类标准。具体限值见表1</w:t>
            </w:r>
            <w:r>
              <w:rPr>
                <w:rFonts w:ascii="Times New Roman" w:hAnsi="Times New Roman" w:cs="Times New Roman" w:hint="eastAsia"/>
              </w:rPr>
              <w:t>6</w:t>
            </w:r>
            <w:r>
              <w:rPr>
                <w:rFonts w:ascii="Times New Roman" w:hAnsi="Times New Roman" w:cs="Times New Roman"/>
              </w:rPr>
              <w:t xml:space="preserve">。 </w:t>
            </w:r>
          </w:p>
          <w:p>
            <w:pPr>
              <w:pStyle w:val="3"/>
              <w:adjustRightInd w:val="0"/>
              <w:spacing w:before="0" w:beforeAutospacing="0" w:after="0" w:afterAutospacing="0" w:line="240" w:lineRule="auto"/>
              <w:ind w:firstLine="0" w:firstLineChars="0"/>
              <w:jc w:val="center"/>
              <w:outlineLvl w:val="9"/>
              <w:rPr>
                <w:rFonts w:ascii="Times New Roman" w:eastAsia="宋体" w:hAnsi="Times New Roman" w:cs="Times New Roman"/>
                <w:color w:val="000000"/>
              </w:rPr>
            </w:pPr>
            <w:r>
              <w:rPr>
                <w:rFonts w:ascii="Times New Roman" w:eastAsia="宋体" w:hAnsi="Times New Roman" w:cs="Times New Roman"/>
                <w:color w:val="000000"/>
              </w:rPr>
              <w:t>表1</w:t>
            </w:r>
            <w:r>
              <w:rPr>
                <w:rFonts w:ascii="Times New Roman" w:eastAsia="宋体" w:hAnsi="Times New Roman" w:cs="Times New Roman" w:hint="eastAsia"/>
                <w:color w:val="000000"/>
              </w:rPr>
              <w:t>6</w:t>
            </w:r>
            <w:r>
              <w:rPr>
                <w:rFonts w:ascii="Times New Roman" w:eastAsia="宋体" w:hAnsi="Times New Roman" w:cs="Times New Roman"/>
                <w:color w:val="000000"/>
              </w:rPr>
              <w:t xml:space="preserve"> 地表水环境质量标准（GB3838-2002）（单位：mg/L）摘录</w:t>
            </w: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top w:w="0" w:type="dxa"/>
                <w:left w:w="108" w:type="dxa"/>
                <w:bottom w:w="0" w:type="dxa"/>
                <w:right w:w="108" w:type="dxa"/>
              </w:tblCellMar>
            </w:tblPr>
            <w:tblGrid>
              <w:gridCol w:w="691"/>
              <w:gridCol w:w="2746"/>
              <w:gridCol w:w="1762"/>
              <w:gridCol w:w="1652"/>
              <w:gridCol w:w="1653"/>
            </w:tblGrid>
            <w:tr>
              <w:tblPrEx>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top w:w="0" w:type="dxa"/>
                  <w:left w:w="108" w:type="dxa"/>
                  <w:bottom w:w="0" w:type="dxa"/>
                  <w:right w:w="108" w:type="dxa"/>
                </w:tblCellMar>
              </w:tblPrEx>
              <w:trPr>
                <w:trHeight w:val="391"/>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rPr>
                  </w:pPr>
                  <w:r>
                    <w:rPr>
                      <w:rFonts w:ascii="Times New Roman" w:hAnsi="Times New Roman" w:cs="Times New Roman"/>
                      <w:b/>
                      <w:bCs/>
                      <w:color w:val="000000"/>
                      <w:kern w:val="0"/>
                      <w:sz w:val="21"/>
                    </w:rPr>
                    <w:t>序号</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rPr>
                  </w:pPr>
                  <w:r>
                    <w:rPr>
                      <w:rFonts w:ascii="Times New Roman" w:hAnsi="Times New Roman" w:cs="Times New Roman"/>
                      <w:b/>
                      <w:bCs/>
                      <w:color w:val="000000"/>
                      <w:kern w:val="0"/>
                      <w:sz w:val="21"/>
                    </w:rPr>
                    <w:t>项目</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Ⅲ类</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b/>
                      <w:bCs/>
                      <w:color w:val="000000"/>
                      <w:kern w:val="0"/>
                      <w:sz w:val="21"/>
                    </w:rPr>
                  </w:pPr>
                  <w:r>
                    <w:rPr>
                      <w:rFonts w:ascii="Times New Roman" w:hAnsi="Times New Roman" w:cs="Times New Roman"/>
                      <w:b/>
                      <w:bCs/>
                      <w:color w:val="000000"/>
                      <w:kern w:val="0"/>
                      <w:sz w:val="21"/>
                    </w:rPr>
                    <w:t>IV类</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b/>
                      <w:bCs/>
                      <w:color w:val="000000"/>
                      <w:kern w:val="0"/>
                      <w:sz w:val="21"/>
                    </w:rPr>
                  </w:pPr>
                  <w:r>
                    <w:rPr>
                      <w:rFonts w:ascii="Times New Roman" w:hAnsi="Times New Roman" w:cs="Times New Roman"/>
                      <w:b/>
                      <w:bCs/>
                      <w:color w:val="000000"/>
                      <w:kern w:val="0"/>
                      <w:sz w:val="21"/>
                    </w:rPr>
                    <w:t>V类</w:t>
                  </w:r>
                </w:p>
              </w:tc>
            </w:tr>
            <w:tr>
              <w:tblPrEx>
                <w:tblW w:w="0" w:type="auto"/>
                <w:jc w:val="center"/>
                <w:tblLayout w:type="fixed"/>
                <w:tblCellMar>
                  <w:top w:w="0" w:type="dxa"/>
                  <w:left w:w="108" w:type="dxa"/>
                  <w:bottom w:w="0" w:type="dxa"/>
                  <w:right w:w="108" w:type="dxa"/>
                </w:tblCellMar>
              </w:tblPrEx>
              <w:trPr>
                <w:trHeight w:val="93"/>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1</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pH值(无量纲)</w:t>
                  </w:r>
                </w:p>
              </w:tc>
              <w:tc>
                <w:tcPr>
                  <w:tcW w:w="5067" w:type="dxa"/>
                  <w:gridSpan w:val="3"/>
                  <w:shd w:val="clear" w:color="auto" w:fill="A5A5A5"/>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6～9</w:t>
                  </w:r>
                </w:p>
              </w:tc>
            </w:tr>
            <w:tr>
              <w:tblPrEx>
                <w:tblW w:w="0" w:type="auto"/>
                <w:jc w:val="center"/>
                <w:tblLayout w:type="fixed"/>
                <w:tblCellMar>
                  <w:top w:w="0" w:type="dxa"/>
                  <w:left w:w="108" w:type="dxa"/>
                  <w:bottom w:w="0" w:type="dxa"/>
                  <w:right w:w="108" w:type="dxa"/>
                </w:tblCellMar>
              </w:tblPrEx>
              <w:trPr>
                <w:trHeight w:val="90"/>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2</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溶解氧</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5</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3</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2</w:t>
                  </w:r>
                </w:p>
              </w:tc>
            </w:tr>
            <w:tr>
              <w:tblPrEx>
                <w:tblW w:w="0" w:type="auto"/>
                <w:jc w:val="center"/>
                <w:tblLayout w:type="fixed"/>
                <w:tblCellMar>
                  <w:top w:w="0" w:type="dxa"/>
                  <w:left w:w="108" w:type="dxa"/>
                  <w:bottom w:w="0" w:type="dxa"/>
                  <w:right w:w="108" w:type="dxa"/>
                </w:tblCellMar>
              </w:tblPrEx>
              <w:trPr>
                <w:trHeight w:val="90"/>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3</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石油类</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0.05</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0.5</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1.0</w:t>
                  </w:r>
                </w:p>
              </w:tc>
            </w:tr>
            <w:tr>
              <w:tblPrEx>
                <w:tblW w:w="0" w:type="auto"/>
                <w:jc w:val="center"/>
                <w:tblLayout w:type="fixed"/>
                <w:tblCellMar>
                  <w:top w:w="0" w:type="dxa"/>
                  <w:left w:w="108" w:type="dxa"/>
                  <w:bottom w:w="0" w:type="dxa"/>
                  <w:right w:w="108" w:type="dxa"/>
                </w:tblCellMar>
              </w:tblPrEx>
              <w:trPr>
                <w:trHeight w:val="90"/>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4</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化学需氧量（COD）</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20</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30</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40</w:t>
                  </w:r>
                </w:p>
              </w:tc>
            </w:tr>
            <w:tr>
              <w:tblPrEx>
                <w:tblW w:w="0" w:type="auto"/>
                <w:jc w:val="center"/>
                <w:tblLayout w:type="fixed"/>
                <w:tblCellMar>
                  <w:top w:w="0" w:type="dxa"/>
                  <w:left w:w="108" w:type="dxa"/>
                  <w:bottom w:w="0" w:type="dxa"/>
                  <w:right w:w="108" w:type="dxa"/>
                </w:tblCellMar>
              </w:tblPrEx>
              <w:trPr>
                <w:trHeight w:val="90"/>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5</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五日生化需氧量（BOD</w:t>
                  </w:r>
                  <w:r>
                    <w:rPr>
                      <w:rFonts w:ascii="Times New Roman" w:hAnsi="Times New Roman" w:cs="Times New Roman"/>
                      <w:color w:val="000000"/>
                      <w:kern w:val="0"/>
                      <w:sz w:val="21"/>
                      <w:vertAlign w:val="subscript"/>
                    </w:rPr>
                    <w:t>5</w:t>
                  </w:r>
                  <w:r>
                    <w:rPr>
                      <w:rFonts w:ascii="Times New Roman" w:hAnsi="Times New Roman" w:cs="Times New Roman"/>
                      <w:color w:val="000000"/>
                      <w:kern w:val="0"/>
                      <w:sz w:val="21"/>
                    </w:rPr>
                    <w:t>）</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4</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6</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10</w:t>
                  </w:r>
                </w:p>
              </w:tc>
            </w:tr>
            <w:tr>
              <w:tblPrEx>
                <w:tblW w:w="0" w:type="auto"/>
                <w:jc w:val="center"/>
                <w:tblLayout w:type="fixed"/>
                <w:tblCellMar>
                  <w:top w:w="0" w:type="dxa"/>
                  <w:left w:w="108" w:type="dxa"/>
                  <w:bottom w:w="0" w:type="dxa"/>
                  <w:right w:w="108" w:type="dxa"/>
                </w:tblCellMar>
              </w:tblPrEx>
              <w:trPr>
                <w:trHeight w:val="90"/>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6</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氨氮(NH</w:t>
                  </w:r>
                  <w:r>
                    <w:rPr>
                      <w:rFonts w:ascii="Times New Roman" w:hAnsi="Times New Roman" w:cs="Times New Roman"/>
                      <w:color w:val="000000"/>
                      <w:kern w:val="0"/>
                      <w:sz w:val="21"/>
                      <w:vertAlign w:val="subscript"/>
                    </w:rPr>
                    <w:t>3</w:t>
                  </w:r>
                  <w:r>
                    <w:rPr>
                      <w:rFonts w:ascii="Times New Roman" w:hAnsi="Times New Roman" w:cs="Times New Roman"/>
                      <w:color w:val="000000"/>
                      <w:kern w:val="0"/>
                      <w:sz w:val="21"/>
                    </w:rPr>
                    <w:t>-N)</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1.0</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1.5</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2．0</w:t>
                  </w:r>
                </w:p>
              </w:tc>
            </w:tr>
            <w:tr>
              <w:tblPrEx>
                <w:tblW w:w="0" w:type="auto"/>
                <w:jc w:val="center"/>
                <w:tblLayout w:type="fixed"/>
                <w:tblCellMar>
                  <w:top w:w="0" w:type="dxa"/>
                  <w:left w:w="108" w:type="dxa"/>
                  <w:bottom w:w="0" w:type="dxa"/>
                  <w:right w:w="108" w:type="dxa"/>
                </w:tblCellMar>
              </w:tblPrEx>
              <w:trPr>
                <w:trHeight w:val="391"/>
                <w:jc w:val="center"/>
              </w:trPr>
              <w:tc>
                <w:tcPr>
                  <w:tcW w:w="691"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7</w:t>
                  </w:r>
                </w:p>
              </w:tc>
              <w:tc>
                <w:tcPr>
                  <w:tcW w:w="2746" w:type="dxa"/>
                  <w:shd w:val="clear" w:color="auto" w:fill="auto"/>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总磷（以 P 计）</w:t>
                  </w:r>
                </w:p>
              </w:tc>
              <w:tc>
                <w:tcPr>
                  <w:tcW w:w="1762" w:type="dxa"/>
                  <w:shd w:val="clear" w:color="auto" w:fill="auto"/>
                  <w:noWrap w:val="0"/>
                  <w:vAlign w:val="center"/>
                </w:tcPr>
                <w:p>
                  <w:pPr>
                    <w:widowControl/>
                    <w:spacing w:line="240" w:lineRule="auto"/>
                    <w:ind w:firstLine="0" w:firstLineChars="0"/>
                    <w:jc w:val="center"/>
                    <w:rPr>
                      <w:rFonts w:ascii="Times New Roman" w:hAnsi="Times New Roman" w:cs="Times New Roman"/>
                      <w:b/>
                      <w:bCs/>
                      <w:color w:val="000000"/>
                      <w:kern w:val="0"/>
                      <w:sz w:val="21"/>
                      <w:shd w:val="clear" w:color="auto" w:fill="auto"/>
                    </w:rPr>
                  </w:pPr>
                  <w:r>
                    <w:rPr>
                      <w:rFonts w:ascii="Times New Roman" w:hAnsi="Times New Roman" w:cs="Times New Roman"/>
                      <w:b/>
                      <w:bCs/>
                      <w:color w:val="000000"/>
                      <w:kern w:val="0"/>
                      <w:sz w:val="21"/>
                      <w:shd w:val="clear" w:color="auto" w:fill="auto"/>
                    </w:rPr>
                    <w:t>0.2(湖、库0.05)</w:t>
                  </w:r>
                </w:p>
              </w:tc>
              <w:tc>
                <w:tcPr>
                  <w:tcW w:w="1652" w:type="dxa"/>
                  <w:shd w:val="clear" w:color="auto" w:fill="A5A5A5"/>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0.3(湖、库0.1)</w:t>
                  </w:r>
                </w:p>
              </w:tc>
              <w:tc>
                <w:tcPr>
                  <w:tcW w:w="1653" w:type="dxa"/>
                  <w:shd w:val="clear" w:color="auto" w:fill="FFFFFF"/>
                  <w:noWrap w:val="0"/>
                  <w:vAlign w:val="center"/>
                </w:tcPr>
                <w:p>
                  <w:pPr>
                    <w:widowControl/>
                    <w:spacing w:line="240" w:lineRule="auto"/>
                    <w:ind w:firstLine="0" w:firstLineChars="0"/>
                    <w:jc w:val="center"/>
                    <w:rPr>
                      <w:rFonts w:ascii="Times New Roman" w:hAnsi="Times New Roman" w:cs="Times New Roman"/>
                      <w:color w:val="000000"/>
                      <w:kern w:val="0"/>
                      <w:sz w:val="21"/>
                    </w:rPr>
                  </w:pPr>
                  <w:r>
                    <w:rPr>
                      <w:rFonts w:ascii="Times New Roman" w:hAnsi="Times New Roman" w:cs="Times New Roman"/>
                      <w:color w:val="000000"/>
                      <w:kern w:val="0"/>
                      <w:sz w:val="21"/>
                    </w:rPr>
                    <w:t>0.4(湖、库0.2)</w:t>
                  </w:r>
                </w:p>
              </w:tc>
            </w:tr>
          </w:tbl>
          <w:p>
            <w:pPr>
              <w:pStyle w:val="Default"/>
              <w:rPr>
                <w:rFonts w:ascii="Times New Roman"/>
              </w:rPr>
            </w:pPr>
          </w:p>
        </w:tc>
      </w:tr>
      <w:tr>
        <w:tblPrEx>
          <w:tblW w:w="0" w:type="auto"/>
          <w:jc w:val="center"/>
          <w:tblLayout w:type="fixed"/>
          <w:tblCellMar>
            <w:top w:w="0" w:type="dxa"/>
            <w:left w:w="108" w:type="dxa"/>
            <w:bottom w:w="0" w:type="dxa"/>
            <w:right w:w="108" w:type="dxa"/>
          </w:tblCellMar>
        </w:tblPrEx>
        <w:trPr>
          <w:trHeight w:val="4262"/>
          <w:jc w:val="center"/>
        </w:trPr>
        <w:tc>
          <w:tcPr>
            <w:tcW w:w="711" w:type="dxa"/>
            <w:noWrap w:val="0"/>
            <w:vAlign w:val="center"/>
          </w:tcPr>
          <w:p>
            <w:pPr>
              <w:ind w:firstLine="0" w:firstLineChars="0"/>
              <w:jc w:val="center"/>
              <w:rPr>
                <w:rFonts w:ascii="Times New Roman" w:hAnsi="Times New Roman" w:cs="Times New Roman"/>
                <w:b/>
                <w:bCs/>
                <w:szCs w:val="24"/>
              </w:rPr>
            </w:pPr>
            <w:r>
              <w:rPr>
                <w:rFonts w:ascii="Times New Roman" w:hAnsi="Times New Roman" w:cs="Times New Roman"/>
                <w:b/>
                <w:bCs/>
                <w:szCs w:val="24"/>
              </w:rPr>
              <w:t>污</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染</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物</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排</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放</w:t>
            </w:r>
          </w:p>
          <w:p>
            <w:pPr>
              <w:ind w:firstLine="0" w:firstLineChars="0"/>
              <w:jc w:val="center"/>
              <w:rPr>
                <w:rFonts w:ascii="Times New Roman" w:hAnsi="Times New Roman" w:cs="Times New Roman"/>
                <w:b/>
                <w:bCs/>
                <w:szCs w:val="24"/>
              </w:rPr>
            </w:pPr>
            <w:r>
              <w:rPr>
                <w:rFonts w:ascii="Times New Roman" w:hAnsi="Times New Roman" w:cs="Times New Roman"/>
                <w:b/>
                <w:bCs/>
                <w:szCs w:val="24"/>
              </w:rPr>
              <w:t>标</w:t>
            </w:r>
          </w:p>
          <w:p>
            <w:pPr>
              <w:ind w:firstLine="0" w:firstLineChars="0"/>
              <w:jc w:val="center"/>
              <w:rPr>
                <w:rFonts w:ascii="Times New Roman" w:hAnsi="Times New Roman" w:cs="Times New Roman"/>
                <w:sz w:val="28"/>
              </w:rPr>
            </w:pPr>
            <w:r>
              <w:rPr>
                <w:rFonts w:ascii="Times New Roman" w:hAnsi="Times New Roman" w:cs="Times New Roman"/>
                <w:b/>
                <w:bCs/>
                <w:szCs w:val="24"/>
              </w:rPr>
              <w:t>准</w:t>
            </w:r>
          </w:p>
        </w:tc>
        <w:tc>
          <w:tcPr>
            <w:tcW w:w="9210" w:type="dxa"/>
            <w:noWrap w:val="0"/>
            <w:vAlign w:val="top"/>
          </w:tcPr>
          <w:p>
            <w:pPr>
              <w:adjustRightInd w:val="0"/>
              <w:ind w:firstLine="483"/>
              <w:rPr>
                <w:rFonts w:ascii="Times New Roman" w:hAnsi="Times New Roman" w:cs="Times New Roman"/>
                <w:b/>
                <w:szCs w:val="24"/>
              </w:rPr>
            </w:pPr>
            <w:r>
              <w:rPr>
                <w:rFonts w:ascii="Times New Roman" w:hAnsi="Times New Roman" w:cs="Times New Roman"/>
                <w:b/>
                <w:szCs w:val="24"/>
              </w:rPr>
              <w:t>2、项目执行污染物排放标准如下</w:t>
            </w:r>
          </w:p>
          <w:p>
            <w:pPr>
              <w:adjustRightInd w:val="0"/>
              <w:ind w:firstLine="481"/>
              <w:rPr>
                <w:rFonts w:ascii="Times New Roman" w:hAnsi="Times New Roman" w:cs="Times New Roman"/>
                <w:szCs w:val="24"/>
              </w:rPr>
            </w:pPr>
            <w:r>
              <w:rPr>
                <w:rFonts w:ascii="Times New Roman" w:hAnsi="Times New Roman" w:cs="Times New Roman"/>
                <w:szCs w:val="24"/>
              </w:rPr>
              <w:t>（1）大气污染物排放标准</w:t>
            </w:r>
          </w:p>
          <w:p>
            <w:pPr>
              <w:adjustRightInd w:val="0"/>
              <w:ind w:firstLine="481"/>
              <w:rPr>
                <w:rFonts w:ascii="Times New Roman" w:hAnsi="Times New Roman" w:cs="Times New Roman"/>
                <w:szCs w:val="24"/>
              </w:rPr>
            </w:pPr>
            <w:r>
              <w:rPr>
                <w:rFonts w:ascii="Times New Roman" w:hAnsi="Times New Roman" w:cs="Times New Roman"/>
                <w:szCs w:val="24"/>
              </w:rPr>
              <w:t>施工期排放的粉尘执行《大气污染物综合排放标准》（GB16297-1996）中“表2”颗粒物无组织排放标准限值。</w:t>
            </w:r>
          </w:p>
          <w:p>
            <w:pPr>
              <w:adjustRightInd w:val="0"/>
              <w:ind w:firstLine="481"/>
              <w:rPr>
                <w:rFonts w:ascii="Times New Roman" w:hAnsi="Times New Roman" w:cs="Times New Roman"/>
                <w:szCs w:val="24"/>
              </w:rPr>
            </w:pPr>
            <w:r>
              <w:rPr>
                <w:rFonts w:ascii="Times New Roman" w:hAnsi="Times New Roman" w:cs="Times New Roman"/>
                <w:szCs w:val="24"/>
              </w:rPr>
              <w:t>（2）施工噪声排放标准</w:t>
            </w:r>
          </w:p>
          <w:p>
            <w:pPr>
              <w:adjustRightInd w:val="0"/>
              <w:ind w:firstLine="481"/>
              <w:rPr>
                <w:rFonts w:ascii="Times New Roman" w:hAnsi="Times New Roman" w:cs="Times New Roman"/>
                <w:sz w:val="21"/>
                <w:szCs w:val="24"/>
              </w:rPr>
            </w:pPr>
            <w:r>
              <w:rPr>
                <w:rFonts w:ascii="Times New Roman" w:hAnsi="Times New Roman" w:cs="Times New Roman"/>
                <w:szCs w:val="24"/>
              </w:rPr>
              <w:t>施工期建筑场界噪声执行《建筑施工场界环境噪声排放标准》（GB12523-2011）。</w:t>
            </w:r>
          </w:p>
        </w:tc>
      </w:tr>
      <w:tr>
        <w:tblPrEx>
          <w:tblW w:w="0" w:type="auto"/>
          <w:jc w:val="center"/>
          <w:tblLayout w:type="fixed"/>
          <w:tblCellMar>
            <w:top w:w="0" w:type="dxa"/>
            <w:left w:w="108" w:type="dxa"/>
            <w:bottom w:w="0" w:type="dxa"/>
            <w:right w:w="108" w:type="dxa"/>
          </w:tblCellMar>
        </w:tblPrEx>
        <w:trPr>
          <w:trHeight w:val="2312"/>
          <w:jc w:val="center"/>
        </w:trPr>
        <w:tc>
          <w:tcPr>
            <w:tcW w:w="711" w:type="dxa"/>
            <w:noWrap w:val="0"/>
            <w:vAlign w:val="top"/>
          </w:tcPr>
          <w:p>
            <w:pPr>
              <w:spacing w:line="240" w:lineRule="auto"/>
              <w:ind w:firstLine="0" w:firstLineChars="0"/>
              <w:jc w:val="center"/>
              <w:rPr>
                <w:rFonts w:ascii="Times New Roman" w:hAnsi="Times New Roman" w:cs="Times New Roman"/>
                <w:b/>
                <w:bCs/>
                <w:szCs w:val="24"/>
              </w:rPr>
            </w:pPr>
            <w:r>
              <w:rPr>
                <w:rFonts w:ascii="Times New Roman" w:hAnsi="Times New Roman" w:cs="Times New Roman"/>
                <w:b/>
                <w:bCs/>
                <w:szCs w:val="24"/>
              </w:rPr>
              <w:t>总</w:t>
            </w:r>
          </w:p>
          <w:p>
            <w:pPr>
              <w:spacing w:line="240" w:lineRule="auto"/>
              <w:ind w:firstLine="0" w:firstLineChars="0"/>
              <w:jc w:val="center"/>
              <w:rPr>
                <w:rFonts w:ascii="Times New Roman" w:hAnsi="Times New Roman" w:cs="Times New Roman"/>
                <w:b/>
                <w:bCs/>
                <w:szCs w:val="24"/>
              </w:rPr>
            </w:pPr>
            <w:r>
              <w:rPr>
                <w:rFonts w:ascii="Times New Roman" w:hAnsi="Times New Roman" w:cs="Times New Roman"/>
                <w:b/>
                <w:bCs/>
                <w:szCs w:val="24"/>
              </w:rPr>
              <w:t>量</w:t>
            </w:r>
          </w:p>
          <w:p>
            <w:pPr>
              <w:spacing w:line="240" w:lineRule="auto"/>
              <w:ind w:firstLine="0" w:firstLineChars="0"/>
              <w:jc w:val="center"/>
              <w:rPr>
                <w:rFonts w:ascii="Times New Roman" w:hAnsi="Times New Roman" w:cs="Times New Roman"/>
                <w:b/>
                <w:bCs/>
                <w:szCs w:val="24"/>
              </w:rPr>
            </w:pPr>
            <w:r>
              <w:rPr>
                <w:rFonts w:ascii="Times New Roman" w:hAnsi="Times New Roman" w:cs="Times New Roman"/>
                <w:b/>
                <w:bCs/>
                <w:szCs w:val="24"/>
              </w:rPr>
              <w:t>控</w:t>
            </w:r>
          </w:p>
          <w:p>
            <w:pPr>
              <w:spacing w:line="240" w:lineRule="auto"/>
              <w:ind w:firstLine="0" w:firstLineChars="0"/>
              <w:jc w:val="center"/>
              <w:rPr>
                <w:rFonts w:ascii="Times New Roman" w:hAnsi="Times New Roman" w:cs="Times New Roman"/>
                <w:b/>
                <w:bCs/>
                <w:szCs w:val="24"/>
              </w:rPr>
            </w:pPr>
            <w:r>
              <w:rPr>
                <w:rFonts w:ascii="Times New Roman" w:hAnsi="Times New Roman" w:cs="Times New Roman"/>
                <w:b/>
                <w:bCs/>
                <w:szCs w:val="24"/>
              </w:rPr>
              <w:t>制</w:t>
            </w:r>
          </w:p>
          <w:p>
            <w:pPr>
              <w:spacing w:line="240" w:lineRule="auto"/>
              <w:ind w:firstLine="0" w:firstLineChars="0"/>
              <w:jc w:val="center"/>
              <w:rPr>
                <w:rFonts w:ascii="Times New Roman" w:hAnsi="Times New Roman" w:cs="Times New Roman"/>
                <w:b/>
                <w:bCs/>
                <w:szCs w:val="24"/>
              </w:rPr>
            </w:pPr>
            <w:r>
              <w:rPr>
                <w:rFonts w:ascii="Times New Roman" w:hAnsi="Times New Roman" w:cs="Times New Roman"/>
                <w:b/>
                <w:bCs/>
                <w:szCs w:val="24"/>
              </w:rPr>
              <w:t>指</w:t>
            </w:r>
          </w:p>
          <w:p>
            <w:pPr>
              <w:spacing w:line="240" w:lineRule="auto"/>
              <w:ind w:firstLine="0" w:firstLineChars="0"/>
              <w:jc w:val="center"/>
              <w:rPr>
                <w:rFonts w:ascii="Times New Roman" w:hAnsi="Times New Roman" w:cs="Times New Roman"/>
                <w:szCs w:val="24"/>
              </w:rPr>
            </w:pPr>
            <w:r>
              <w:rPr>
                <w:rFonts w:ascii="Times New Roman" w:hAnsi="Times New Roman" w:cs="Times New Roman"/>
                <w:b/>
                <w:bCs/>
                <w:szCs w:val="24"/>
              </w:rPr>
              <w:t>标</w:t>
            </w:r>
          </w:p>
        </w:tc>
        <w:tc>
          <w:tcPr>
            <w:tcW w:w="9210" w:type="dxa"/>
            <w:noWrap w:val="0"/>
            <w:vAlign w:val="top"/>
          </w:tcPr>
          <w:p>
            <w:pPr>
              <w:autoSpaceDE w:val="0"/>
              <w:autoSpaceDN w:val="0"/>
              <w:adjustRightInd w:val="0"/>
              <w:ind w:firstLine="481"/>
              <w:rPr>
                <w:rFonts w:ascii="Times New Roman" w:hAnsi="Times New Roman" w:cs="Times New Roman"/>
                <w:szCs w:val="24"/>
              </w:rPr>
            </w:pPr>
            <w:r>
              <w:rPr>
                <w:rFonts w:ascii="Times New Roman" w:hAnsi="Times New Roman" w:cs="Times New Roman"/>
              </w:rPr>
              <w:t>本项目为市政道路、管网工程，项目运营后无废水、废气等污染物产生，因此无需进行总量控制。</w:t>
            </w:r>
          </w:p>
        </w:tc>
      </w:tr>
    </w:tbl>
    <w:p>
      <w:pPr>
        <w:sectPr>
          <w:headerReference w:type="default" r:id="rId61"/>
          <w:footerReference w:type="even" r:id="rId62"/>
          <w:footerReference w:type="default" r:id="rId63"/>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8"/>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0" w:firstLineChars="0"/>
              <w:rPr>
                <w:rFonts w:ascii="Times New Roman" w:hAnsi="Times New Roman" w:cs="Times New Roman"/>
                <w:color w:val="000000"/>
              </w:rPr>
            </w:pPr>
            <w:r>
              <w:rPr>
                <w:rFonts w:ascii="Times New Roman" w:hAnsi="Times New Roman" w:cs="Times New Roman"/>
                <w:sz w:val="28"/>
              </w:rPr>
              <mc:AlternateContent>
                <mc:Choice Requires="wps">
                  <w:drawing>
                    <wp:anchor distT="0" distB="0" distL="114300" distR="114300" simplePos="0" relativeHeight="251667456" behindDoc="0" locked="0" layoutInCell="1" allowOverlap="1">
                      <wp:simplePos x="0" y="0"/>
                      <wp:positionH relativeFrom="column">
                        <wp:posOffset>-545465</wp:posOffset>
                      </wp:positionH>
                      <wp:positionV relativeFrom="paragraph">
                        <wp:posOffset>-336550</wp:posOffset>
                      </wp:positionV>
                      <wp:extent cx="2647950" cy="409575"/>
                      <wp:effectExtent l="0" t="0" r="0" b="0"/>
                      <wp:wrapNone/>
                      <wp:docPr id="4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2647950" cy="409575"/>
                              </a:xfrm>
                              <a:prstGeom prst="rect">
                                <a:avLst/>
                              </a:prstGeom>
                              <a:noFill/>
                              <a:ln>
                                <a:noFill/>
                              </a:ln>
                            </wps:spPr>
                            <wps:txbx>
                              <w:txbxContent>
                                <w:p>
                                  <w:pPr>
                                    <w:ind w:firstLine="603"/>
                                  </w:pPr>
                                  <w:r>
                                    <w:rPr>
                                      <w:b/>
                                      <w:color w:val="000000"/>
                                      <w:sz w:val="30"/>
                                      <w:szCs w:val="30"/>
                                    </w:rPr>
                                    <w:t>建设项目工程分析</w:t>
                                  </w:r>
                                </w:p>
                                <w:p>
                                  <w:pPr>
                                    <w:ind w:firstLine="481"/>
                                  </w:pPr>
                                </w:p>
                              </w:txbxContent>
                            </wps:txbx>
                            <wps:bodyPr wrap="square" upright="1"/>
                          </wps:wsp>
                        </a:graphicData>
                      </a:graphic>
                    </wp:anchor>
                  </w:drawing>
                </mc:Choice>
                <mc:Fallback>
                  <w:pict>
                    <v:shape id="文本框 100" o:spid="_x0000_s1028" type="#_x0000_t202" style="width:208.5pt;height:32.25pt;margin-top:-26.5pt;margin-left:-42.95pt;mso-wrap-distance-bottom:0;mso-wrap-distance-left:9pt;mso-wrap-distance-right:9pt;mso-wrap-distance-top:0;position:absolute;v-text-anchor:top;z-index:251666432" filled="f" fillcolor="this" stroked="f">
                      <v:textbox>
                        <w:txbxContent>
                          <w:p>
                            <w:pPr>
                              <w:ind w:firstLine="603"/>
                            </w:pPr>
                            <w:r>
                              <w:rPr>
                                <w:b/>
                                <w:color w:val="000000"/>
                                <w:sz w:val="30"/>
                                <w:szCs w:val="30"/>
                              </w:rPr>
                              <w:t>建设项目工程分析</w:t>
                            </w:r>
                          </w:p>
                          <w:p>
                            <w:pPr>
                              <w:ind w:firstLine="481"/>
                            </w:pPr>
                          </w:p>
                        </w:txbxContent>
                      </v:textbox>
                    </v:shape>
                  </w:pict>
                </mc:Fallback>
              </mc:AlternateContent>
            </w:r>
            <w:r>
              <w:rPr>
                <w:rFonts w:ascii="Times New Roman" w:hAnsi="Times New Roman" w:cs="Times New Roman"/>
                <w:b/>
                <w:color w:val="000000"/>
                <w:sz w:val="28"/>
                <w:szCs w:val="28"/>
              </w:rPr>
              <w:t>工艺流程简述（图示）：</w:t>
            </w:r>
          </w:p>
          <w:p>
            <w:pPr>
              <w:ind w:firstLine="483"/>
              <w:rPr>
                <w:rFonts w:ascii="Times New Roman" w:hAnsi="Times New Roman" w:cs="Times New Roman"/>
                <w:b/>
                <w:bCs/>
              </w:rPr>
            </w:pPr>
            <w:r>
              <w:rPr>
                <w:rFonts w:ascii="Times New Roman" w:hAnsi="Times New Roman" w:cs="Times New Roman"/>
                <w:b/>
                <w:bCs/>
              </w:rPr>
              <w:t>一、施工期工艺流程及污节点示意图：</w:t>
            </w:r>
          </w:p>
          <w:p>
            <w:pPr>
              <w:ind w:firstLine="483"/>
              <w:rPr>
                <w:rFonts w:ascii="Times New Roman" w:hAnsi="Times New Roman" w:cs="Times New Roman"/>
                <w:b/>
                <w:bCs/>
              </w:rPr>
            </w:pPr>
            <w:r>
              <w:rPr>
                <w:rFonts w:ascii="Times New Roman" w:hAnsi="Times New Roman" w:cs="Times New Roman"/>
                <w:b/>
                <w:bCs/>
              </w:rPr>
              <w:drawing>
                <wp:anchor distT="0" distB="0" distL="114300" distR="114300" simplePos="0" relativeHeight="251665408" behindDoc="1" locked="0" layoutInCell="1" allowOverlap="1">
                  <wp:simplePos x="0" y="0"/>
                  <wp:positionH relativeFrom="column">
                    <wp:posOffset>39370</wp:posOffset>
                  </wp:positionH>
                  <wp:positionV relativeFrom="paragraph">
                    <wp:posOffset>239395</wp:posOffset>
                  </wp:positionV>
                  <wp:extent cx="6349365" cy="2628265"/>
                  <wp:effectExtent l="0" t="0" r="13335" b="635"/>
                  <wp:wrapNone/>
                  <wp:docPr id="2" name="图片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21"/>
                          <pic:cNvPicPr>
                            <a:picLocks noChangeAspect="1"/>
                          </pic:cNvPicPr>
                        </pic:nvPicPr>
                        <pic:blipFill>
                          <a:blip xmlns:r="http://schemas.openxmlformats.org/officeDocument/2006/relationships" r:embed="rId64"/>
                          <a:stretch>
                            <a:fillRect/>
                          </a:stretch>
                        </pic:blipFill>
                        <pic:spPr>
                          <a:xfrm>
                            <a:off x="0" y="0"/>
                            <a:ext cx="6349365" cy="2628265"/>
                          </a:xfrm>
                          <a:prstGeom prst="rect">
                            <a:avLst/>
                          </a:prstGeom>
                          <a:noFill/>
                          <a:ln>
                            <a:noFill/>
                          </a:ln>
                        </pic:spPr>
                      </pic:pic>
                    </a:graphicData>
                  </a:graphic>
                </wp:anchor>
              </w:drawing>
            </w:r>
            <w:r>
              <w:rPr>
                <w:rFonts w:ascii="Times New Roman" w:hAnsi="Times New Roman" w:cs="Times New Roman"/>
                <w:b/>
                <w:bCs/>
              </w:rPr>
              <w:t>（一）新建道路工程施工工序如下图：</w:t>
            </w: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p>
          <w:p>
            <w:pPr>
              <w:ind w:firstLine="483"/>
              <w:jc w:val="center"/>
              <w:rPr>
                <w:rFonts w:ascii="Times New Roman" w:hAnsi="Times New Roman" w:cs="Times New Roman"/>
                <w:b/>
                <w:color w:val="000000"/>
              </w:rPr>
            </w:pPr>
            <w:r>
              <w:rPr>
                <w:rFonts w:ascii="Times New Roman" w:hAnsi="Times New Roman" w:cs="Times New Roman"/>
                <w:b/>
                <w:color w:val="000000"/>
              </w:rPr>
              <w:t>图4  项目新建道路工程施工工序流程及产污环节图</w:t>
            </w:r>
          </w:p>
          <w:p>
            <w:pPr>
              <w:ind w:firstLine="481"/>
              <w:rPr>
                <w:rFonts w:ascii="Times New Roman" w:hAnsi="Times New Roman" w:cs="Times New Roman"/>
                <w:color w:val="000000"/>
              </w:rPr>
            </w:pPr>
          </w:p>
          <w:p>
            <w:pPr>
              <w:numPr>
                <w:ilvl w:val="0"/>
                <w:numId w:val="20"/>
              </w:numPr>
              <w:ind w:firstLine="483"/>
              <w:rPr>
                <w:rFonts w:ascii="Times New Roman" w:hAnsi="Times New Roman" w:cs="Times New Roman"/>
                <w:b/>
                <w:bCs/>
                <w:color w:val="000000"/>
              </w:rPr>
            </w:pPr>
            <w:r>
              <w:rPr>
                <w:rFonts w:ascii="Times New Roman" w:hAnsi="Times New Roman" w:cs="Times New Roman"/>
                <w:b/>
                <w:bCs/>
                <w:color w:val="000000"/>
              </w:rPr>
              <w:t>改造道路工程施工工序如下图：</w:t>
            </w:r>
          </w:p>
          <w:p>
            <w:pPr>
              <w:pStyle w:val="NormalIndent"/>
              <w:ind w:firstLine="0" w:firstLineChars="0"/>
              <w:rPr>
                <w:rFonts w:ascii="Times New Roman" w:hAnsi="Times New Roman" w:cs="Times New Roman"/>
              </w:rPr>
            </w:pPr>
            <w:r>
              <w:rPr>
                <w:rFonts w:ascii="Times New Roman" w:hAnsi="Times New Roman" w:cs="Times New Roman"/>
              </w:rPr>
              <w:drawing>
                <wp:inline distT="0" distB="0" distL="114300" distR="114300">
                  <wp:extent cx="6210300" cy="3009900"/>
                  <wp:effectExtent l="0" t="0" r="0" b="0"/>
                  <wp:docPr id="93"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16"/>
                          <pic:cNvPicPr>
                            <a:picLocks noChangeAspect="1"/>
                          </pic:cNvPicPr>
                        </pic:nvPicPr>
                        <pic:blipFill>
                          <a:blip xmlns:r="http://schemas.openxmlformats.org/officeDocument/2006/relationships" r:embed="rId65"/>
                          <a:stretch>
                            <a:fillRect/>
                          </a:stretch>
                        </pic:blipFill>
                        <pic:spPr>
                          <a:xfrm>
                            <a:off x="0" y="0"/>
                            <a:ext cx="6210300" cy="3009900"/>
                          </a:xfrm>
                          <a:prstGeom prst="rect">
                            <a:avLst/>
                          </a:prstGeom>
                          <a:noFill/>
                          <a:ln>
                            <a:noFill/>
                          </a:ln>
                        </pic:spPr>
                      </pic:pic>
                    </a:graphicData>
                  </a:graphic>
                </wp:inline>
              </w:drawing>
            </w:r>
          </w:p>
          <w:p>
            <w:pPr>
              <w:ind w:firstLine="483"/>
              <w:jc w:val="center"/>
              <w:rPr>
                <w:rFonts w:ascii="Times New Roman" w:hAnsi="Times New Roman" w:cs="Times New Roman"/>
                <w:b/>
                <w:bCs/>
              </w:rPr>
            </w:pPr>
            <w:r>
              <w:rPr>
                <w:rFonts w:ascii="Times New Roman" w:hAnsi="Times New Roman" w:cs="Times New Roman"/>
                <w:b/>
                <w:bCs/>
              </w:rPr>
              <w:t>图5  项目改造道路工程施工工序流程及产污环节图</w:t>
            </w:r>
          </w:p>
          <w:p>
            <w:pPr>
              <w:ind w:firstLine="481"/>
              <w:rPr>
                <w:rFonts w:ascii="Times New Roman" w:hAnsi="Times New Roman" w:cs="Times New Roman"/>
                <w:color w:val="000000"/>
              </w:rPr>
            </w:pPr>
          </w:p>
          <w:p>
            <w:pPr>
              <w:ind w:firstLine="483"/>
              <w:rPr>
                <w:rFonts w:ascii="Times New Roman" w:hAnsi="Times New Roman" w:cs="Times New Roman"/>
                <w:b/>
                <w:bCs/>
                <w:color w:val="000000"/>
              </w:rPr>
            </w:pPr>
          </w:p>
          <w:p>
            <w:pPr>
              <w:ind w:firstLine="483"/>
              <w:rPr>
                <w:rFonts w:ascii="Times New Roman" w:hAnsi="Times New Roman" w:cs="Times New Roman"/>
                <w:b/>
                <w:bCs/>
                <w:color w:val="000000"/>
              </w:rPr>
            </w:pPr>
          </w:p>
          <w:p>
            <w:pPr>
              <w:ind w:firstLine="483"/>
              <w:rPr>
                <w:rFonts w:ascii="Times New Roman" w:hAnsi="Times New Roman" w:cs="Times New Roman"/>
                <w:b/>
                <w:bCs/>
                <w:color w:val="000000"/>
              </w:rPr>
            </w:pPr>
          </w:p>
        </w:tc>
      </w:tr>
    </w:tbl>
    <w:p>
      <w:pPr>
        <w:sectPr>
          <w:headerReference w:type="default" r:id="rId66"/>
          <w:footerReference w:type="even" r:id="rId67"/>
          <w:footerReference w:type="default" r:id="rId68"/>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19"/>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483"/>
              <w:rPr>
                <w:rFonts w:ascii="Times New Roman" w:hAnsi="Times New Roman" w:cs="Times New Roman"/>
                <w:b/>
                <w:bCs/>
                <w:color w:val="000000"/>
              </w:rPr>
            </w:pPr>
            <w:r>
              <w:rPr>
                <w:rFonts w:ascii="Times New Roman" w:hAnsi="Times New Roman" w:cs="Times New Roman"/>
                <w:b/>
                <w:bCs/>
                <w:color w:val="000000"/>
              </w:rPr>
              <w:t>（三）旧水泥混凝土路面共振碎石化施工工序如下：</w:t>
            </w:r>
          </w:p>
          <w:p>
            <w:pPr>
              <w:pStyle w:val="a13"/>
              <w:adjustRightInd w:val="0"/>
              <w:spacing w:line="312" w:lineRule="auto"/>
              <w:ind w:firstLine="0" w:firstLineChars="0"/>
              <w:jc w:val="center"/>
              <w:rPr>
                <w:rFonts w:ascii="Times New Roman" w:hAnsi="Times New Roman" w:cs="Times New Roman"/>
                <w:color w:val="000000"/>
              </w:rPr>
            </w:pPr>
            <w:r>
              <w:rPr>
                <w:rFonts w:ascii="Times New Roman" w:hAnsi="Times New Roman" w:cs="Times New Roman"/>
                <w:color w:val="000000"/>
              </w:rPr>
              <w:drawing>
                <wp:inline distT="0" distB="0" distL="114300" distR="114300">
                  <wp:extent cx="5064125" cy="5347335"/>
                  <wp:effectExtent l="0" t="0" r="3175" b="5715"/>
                  <wp:docPr id="9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6"/>
                          <pic:cNvPicPr>
                            <a:picLocks noChangeAspect="1"/>
                          </pic:cNvPicPr>
                        </pic:nvPicPr>
                        <pic:blipFill>
                          <a:blip xmlns:r="http://schemas.openxmlformats.org/officeDocument/2006/relationships" r:embed="rId69"/>
                          <a:stretch>
                            <a:fillRect/>
                          </a:stretch>
                        </pic:blipFill>
                        <pic:spPr>
                          <a:xfrm>
                            <a:off x="0" y="0"/>
                            <a:ext cx="5064125" cy="5347335"/>
                          </a:xfrm>
                          <a:prstGeom prst="rect">
                            <a:avLst/>
                          </a:prstGeom>
                          <a:noFill/>
                          <a:ln>
                            <a:noFill/>
                          </a:ln>
                        </pic:spPr>
                      </pic:pic>
                    </a:graphicData>
                  </a:graphic>
                </wp:inline>
              </w:drawing>
            </w:r>
          </w:p>
          <w:p>
            <w:pPr>
              <w:pStyle w:val="BodyText2"/>
              <w:ind w:firstLine="483"/>
              <w:jc w:val="center"/>
              <w:rPr>
                <w:rFonts w:ascii="Times New Roman" w:hAnsi="Times New Roman" w:cs="Times New Roman"/>
                <w:b/>
                <w:bCs/>
                <w:sz w:val="21"/>
              </w:rPr>
            </w:pPr>
            <w:r>
              <w:rPr>
                <w:rFonts w:ascii="Times New Roman" w:hAnsi="Times New Roman" w:cs="Times New Roman"/>
                <w:b/>
                <w:bCs/>
              </w:rPr>
              <w:t>图6  旧水泥混凝土路面共振碎石化施工流程图</w:t>
            </w:r>
          </w:p>
          <w:p>
            <w:pPr>
              <w:pStyle w:val="Heading2"/>
              <w:adjustRightInd w:val="0"/>
              <w:ind w:firstLine="483"/>
              <w:rPr>
                <w:rFonts w:cs="Times New Roman"/>
                <w:sz w:val="24"/>
                <w:szCs w:val="24"/>
              </w:rPr>
            </w:pPr>
            <w:r>
              <w:rPr>
                <w:rFonts w:cs="Times New Roman"/>
                <w:sz w:val="24"/>
                <w:szCs w:val="24"/>
              </w:rPr>
              <w:t>1、施工方案</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Cs/>
                <w:kern w:val="2"/>
              </w:rPr>
            </w:pPr>
            <w:r>
              <w:rPr>
                <w:rFonts w:ascii="Times New Roman" w:eastAsia="宋体" w:hAnsi="Times New Roman" w:cs="Times New Roman"/>
                <w:bCs/>
                <w:kern w:val="2"/>
              </w:rPr>
              <w:t>（1）保通方案</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kern w:val="2"/>
              </w:rPr>
            </w:pPr>
            <w:r>
              <w:rPr>
                <w:rFonts w:ascii="Times New Roman" w:eastAsia="宋体" w:hAnsi="Times New Roman" w:cs="Times New Roman"/>
                <w:b w:val="0"/>
                <w:kern w:val="2"/>
              </w:rPr>
              <w:t>1）基本原则</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kern w:val="2"/>
              </w:rPr>
            </w:pPr>
            <w:r>
              <w:rPr>
                <w:rFonts w:ascii="Times New Roman" w:eastAsia="宋体" w:hAnsi="Times New Roman" w:cs="Times New Roman"/>
                <w:b w:val="0"/>
                <w:kern w:val="2"/>
              </w:rPr>
              <w:t>a、本新建工程所在区域为拆迁区，</w:t>
            </w:r>
            <w:r>
              <w:rPr>
                <w:rFonts w:ascii="Times New Roman" w:eastAsia="宋体" w:hAnsi="Times New Roman" w:cs="Times New Roman"/>
                <w:b w:val="0"/>
                <w:bCs/>
              </w:rPr>
              <w:t>本项目新建工程采用“</w:t>
            </w:r>
            <w:r>
              <w:rPr>
                <w:rFonts w:ascii="Times New Roman" w:eastAsia="宋体" w:hAnsi="Times New Roman" w:cs="Times New Roman" w:hint="eastAsia"/>
                <w:b w:val="0"/>
                <w:bCs/>
              </w:rPr>
              <w:t>全</w:t>
            </w:r>
            <w:r>
              <w:rPr>
                <w:rFonts w:ascii="Times New Roman" w:eastAsia="宋体" w:hAnsi="Times New Roman" w:cs="Times New Roman"/>
                <w:b w:val="0"/>
                <w:bCs/>
              </w:rPr>
              <w:t>封闭”的施工方式；改造工程</w:t>
            </w:r>
            <w:r>
              <w:rPr>
                <w:rFonts w:ascii="Times New Roman" w:eastAsia="宋体" w:hAnsi="Times New Roman" w:cs="Times New Roman"/>
                <w:b w:val="0"/>
                <w:bCs/>
                <w:kern w:val="2"/>
              </w:rPr>
              <w:t>采用</w:t>
            </w:r>
            <w:r>
              <w:rPr>
                <w:rFonts w:ascii="Times New Roman" w:eastAsia="宋体" w:hAnsi="Times New Roman" w:cs="Times New Roman"/>
                <w:b w:val="0"/>
                <w:bCs/>
              </w:rPr>
              <w:t>“分段</w:t>
            </w:r>
            <w:r>
              <w:rPr>
                <w:rFonts w:ascii="Times New Roman" w:eastAsia="宋体" w:hAnsi="Times New Roman" w:cs="Times New Roman" w:hint="eastAsia"/>
                <w:b w:val="0"/>
                <w:bCs/>
              </w:rPr>
              <w:t>半幅</w:t>
            </w:r>
            <w:r>
              <w:rPr>
                <w:rFonts w:ascii="Times New Roman" w:eastAsia="宋体" w:hAnsi="Times New Roman" w:cs="Times New Roman"/>
                <w:b w:val="0"/>
                <w:bCs/>
              </w:rPr>
              <w:t>封闭施工，半幅双向通行”的施工方式</w:t>
            </w:r>
            <w:r>
              <w:rPr>
                <w:rFonts w:ascii="Times New Roman" w:eastAsia="宋体" w:hAnsi="Times New Roman" w:cs="Times New Roman"/>
                <w:b w:val="0"/>
                <w:bCs/>
                <w:kern w:val="2"/>
              </w:rPr>
              <w:t>，以降低对现状育春路的</w:t>
            </w:r>
            <w:r>
              <w:rPr>
                <w:rFonts w:ascii="Times New Roman" w:eastAsia="宋体" w:hAnsi="Times New Roman" w:cs="Times New Roman"/>
                <w:b w:val="0"/>
                <w:kern w:val="2"/>
              </w:rPr>
              <w:t>正常交通影响。</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kern w:val="2"/>
              </w:rPr>
            </w:pPr>
            <w:r>
              <w:rPr>
                <w:rFonts w:ascii="Times New Roman" w:eastAsia="宋体" w:hAnsi="Times New Roman" w:cs="Times New Roman"/>
                <w:b w:val="0"/>
                <w:kern w:val="2"/>
              </w:rPr>
              <w:t>b、项目实施期间对项目区域外交通影响减至最低</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kern w:val="2"/>
              </w:rPr>
            </w:pPr>
            <w:r>
              <w:rPr>
                <w:rFonts w:ascii="Times New Roman" w:eastAsia="宋体" w:hAnsi="Times New Roman" w:cs="Times New Roman"/>
                <w:b w:val="0"/>
                <w:kern w:val="2"/>
              </w:rPr>
              <w:t>要降低对现状育春路的交通影响，选择合适工施工时间进出项目区域，努力减少对项目外围道路交通的影响。</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kern w:val="2"/>
              </w:rPr>
            </w:pPr>
            <w:r>
              <w:rPr>
                <w:rFonts w:ascii="Times New Roman" w:eastAsia="宋体" w:hAnsi="Times New Roman" w:cs="Times New Roman"/>
                <w:kern w:val="2"/>
              </w:rPr>
              <w:t>（2）雨水、污水、给水管网工艺流程简述</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bCs/>
                <w:kern w:val="2"/>
              </w:rPr>
            </w:pPr>
            <w:r>
              <w:rPr>
                <w:rFonts w:ascii="Times New Roman" w:eastAsia="宋体" w:hAnsi="Times New Roman" w:cs="Times New Roman"/>
                <w:b w:val="0"/>
                <w:bCs/>
                <w:kern w:val="2"/>
              </w:rPr>
              <w:t>管线铺设前先进</w:t>
            </w:r>
            <w:r>
              <w:rPr>
                <w:rFonts w:ascii="Times New Roman" w:eastAsia="宋体" w:hAnsi="Times New Roman" w:cs="Times New Roman" w:hint="eastAsia"/>
                <w:b w:val="0"/>
                <w:bCs/>
                <w:kern w:val="2"/>
              </w:rPr>
              <w:t>行</w:t>
            </w:r>
          </w:p>
        </w:tc>
      </w:tr>
    </w:tbl>
    <w:p>
      <w:pPr>
        <w:sectPr>
          <w:headerReference w:type="default" r:id="rId70"/>
          <w:footerReference w:type="even" r:id="rId71"/>
          <w:footerReference w:type="default" r:id="rId72"/>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0"/>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bCs/>
                <w:kern w:val="2"/>
              </w:rPr>
            </w:pPr>
            <w:r>
              <w:rPr>
                <w:rFonts w:ascii="Times New Roman" w:eastAsia="宋体" w:hAnsi="Times New Roman" w:cs="Times New Roman"/>
                <w:b w:val="0"/>
                <w:bCs/>
                <w:kern w:val="2"/>
              </w:rPr>
              <w:t>路面清表工作，对其现状表土进行开挖；将新的管网进行组接、加固，完成后进行下管沟，进行管道铺设；管道铺设完成后需进行闭水测试，检查其是否畅通；通过闭水测试之后，进行回填土方、进行夯实，为下一步道路施工做准备。</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kern w:val="2"/>
              </w:rPr>
            </w:pPr>
            <w:r>
              <w:rPr>
                <w:rFonts w:ascii="Times New Roman" w:eastAsia="宋体" w:hAnsi="Times New Roman" w:cs="Times New Roman"/>
                <w:kern w:val="2"/>
              </w:rPr>
              <w:t>（3）道路施工流程简述</w:t>
            </w:r>
          </w:p>
          <w:p>
            <w:pPr>
              <w:adjustRightInd w:val="0"/>
              <w:ind w:firstLine="481"/>
              <w:rPr>
                <w:rFonts w:ascii="Times New Roman" w:hAnsi="Times New Roman" w:cs="Times New Roman"/>
                <w:szCs w:val="20"/>
              </w:rPr>
            </w:pPr>
            <w:r>
              <w:rPr>
                <w:rFonts w:ascii="Times New Roman" w:hAnsi="Times New Roman" w:cs="Times New Roman"/>
                <w:kern w:val="24"/>
                <w:szCs w:val="20"/>
                <w:lang w:bidi="ar"/>
              </w:rPr>
              <w:t>路基：路基土石方以机械施工为主，并尽可能纵向调配利用，填方尽量取用挖方土石，填方路基施工时分层铺筑，均匀压实，要注意每次摊铺的厚度及压实度，采用重型击实实验的路基压实度标准，以保证路面有良好的支承条件。土石方工程应尽早完成，使路基有充分的沉降稳定时间，废方应在指定地点堆放。</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kern w:val="24"/>
                <w:lang w:bidi="ar"/>
              </w:rPr>
            </w:pPr>
            <w:r>
              <w:rPr>
                <w:rFonts w:ascii="Times New Roman" w:eastAsia="宋体" w:hAnsi="Times New Roman" w:cs="Times New Roman"/>
                <w:b w:val="0"/>
                <w:kern w:val="24"/>
                <w:lang w:bidi="ar"/>
              </w:rPr>
              <w:t>路面：路面施工应优先采用全机械化施工方案，严格控制材料用量和材料组成，实行严格的工序管理，做好现场监理与工序检测，确保施工质量。</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Cs/>
                <w:kern w:val="24"/>
                <w:lang w:bidi="ar"/>
              </w:rPr>
            </w:pPr>
            <w:r>
              <w:rPr>
                <w:rFonts w:ascii="Times New Roman" w:eastAsia="宋体" w:hAnsi="Times New Roman" w:cs="Times New Roman"/>
                <w:bCs/>
                <w:kern w:val="24"/>
                <w:lang w:bidi="ar"/>
              </w:rPr>
              <w:t>2、施工布置</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Cs/>
                <w:kern w:val="24"/>
                <w:lang w:bidi="ar"/>
              </w:rPr>
            </w:pPr>
            <w:r>
              <w:rPr>
                <w:rFonts w:ascii="Times New Roman" w:eastAsia="宋体" w:hAnsi="Times New Roman" w:cs="Times New Roman"/>
                <w:bCs/>
                <w:kern w:val="24"/>
                <w:lang w:bidi="ar"/>
              </w:rPr>
              <w:t>（1）施工生产、生活区</w:t>
            </w:r>
          </w:p>
          <w:p>
            <w:pPr>
              <w:adjustRightInd w:val="0"/>
              <w:ind w:firstLine="481"/>
              <w:rPr>
                <w:rFonts w:ascii="Times New Roman" w:hAnsi="Times New Roman" w:cs="Times New Roman"/>
                <w:kern w:val="24"/>
                <w:szCs w:val="20"/>
                <w:lang w:bidi="ar"/>
              </w:rPr>
            </w:pPr>
            <w:r>
              <w:rPr>
                <w:rFonts w:ascii="Times New Roman" w:hAnsi="Times New Roman" w:cs="Times New Roman"/>
                <w:kern w:val="24"/>
                <w:szCs w:val="20"/>
                <w:lang w:bidi="ar"/>
              </w:rPr>
              <w:t>根据项目特点，施工过程中原料堆放等施工场地布置需临时占用土地。施工工人租住于周边民房，据了解，项目尚未决定施工原料堆放场所和</w:t>
            </w:r>
            <w:r>
              <w:rPr>
                <w:rFonts w:ascii="Times New Roman" w:hAnsi="Times New Roman" w:cs="Times New Roman" w:hint="eastAsia"/>
                <w:kern w:val="24"/>
                <w:szCs w:val="20"/>
                <w:lang w:val="en-US" w:eastAsia="zh-CN" w:bidi="ar"/>
              </w:rPr>
              <w:t>堆</w:t>
            </w:r>
            <w:r>
              <w:rPr>
                <w:rFonts w:ascii="Times New Roman" w:hAnsi="Times New Roman" w:cs="Times New Roman"/>
                <w:kern w:val="24"/>
                <w:szCs w:val="20"/>
                <w:lang w:bidi="ar"/>
              </w:rPr>
              <w:t>土场</w:t>
            </w:r>
            <w:r>
              <w:rPr>
                <w:rFonts w:ascii="Times New Roman" w:hAnsi="Times New Roman" w:cs="Times New Roman" w:hint="eastAsia"/>
                <w:kern w:val="24"/>
                <w:szCs w:val="20"/>
                <w:lang w:val="en-US" w:eastAsia="zh-CN" w:bidi="ar"/>
              </w:rPr>
              <w:t>临时占地位置</w:t>
            </w:r>
            <w:r>
              <w:rPr>
                <w:rFonts w:ascii="Times New Roman" w:hAnsi="Times New Roman" w:cs="Times New Roman"/>
                <w:kern w:val="24"/>
                <w:szCs w:val="20"/>
                <w:lang w:bidi="ar"/>
              </w:rPr>
              <w:t>，本</w:t>
            </w:r>
            <w:r>
              <w:rPr>
                <w:rFonts w:ascii="Times New Roman" w:hAnsi="Times New Roman" w:cs="Times New Roman" w:hint="eastAsia"/>
                <w:kern w:val="24"/>
                <w:szCs w:val="20"/>
                <w:lang w:val="en-US" w:eastAsia="zh-CN" w:bidi="ar"/>
              </w:rPr>
              <w:t>评价</w:t>
            </w:r>
            <w:r>
              <w:rPr>
                <w:rFonts w:ascii="Times New Roman" w:hAnsi="Times New Roman" w:cs="Times New Roman"/>
                <w:kern w:val="24"/>
                <w:szCs w:val="20"/>
                <w:lang w:bidi="ar"/>
              </w:rPr>
              <w:t>建议在KO+080处</w:t>
            </w:r>
            <w:r>
              <w:rPr>
                <w:rFonts w:ascii="Times New Roman" w:hAnsi="Times New Roman" w:cs="Times New Roman" w:hint="eastAsia"/>
                <w:kern w:val="24"/>
                <w:szCs w:val="20"/>
                <w:lang w:val="en-US" w:eastAsia="zh-CN" w:bidi="ar"/>
              </w:rPr>
              <w:t>空地</w:t>
            </w:r>
            <w:r>
              <w:rPr>
                <w:rFonts w:ascii="Times New Roman" w:hAnsi="Times New Roman" w:cs="Times New Roman"/>
                <w:kern w:val="24"/>
                <w:szCs w:val="20"/>
                <w:lang w:bidi="ar"/>
              </w:rPr>
              <w:t>设置临时堆料场、临时堆土场，项目</w:t>
            </w:r>
            <w:r>
              <w:rPr>
                <w:rFonts w:ascii="Times New Roman" w:hAnsi="Times New Roman" w:cs="Times New Roman"/>
                <w:kern w:val="24"/>
                <w:lang w:bidi="ar"/>
              </w:rPr>
              <w:t>施工期应对原料</w:t>
            </w:r>
            <w:r>
              <w:rPr>
                <w:rFonts w:ascii="Times New Roman" w:hAnsi="Times New Roman" w:cs="Times New Roman" w:hint="eastAsia"/>
                <w:kern w:val="24"/>
                <w:lang w:eastAsia="zh-CN" w:bidi="ar"/>
              </w:rPr>
              <w:t>、</w:t>
            </w:r>
            <w:r>
              <w:rPr>
                <w:rFonts w:ascii="Times New Roman" w:hAnsi="Times New Roman" w:cs="Times New Roman" w:hint="eastAsia"/>
                <w:kern w:val="24"/>
                <w:lang w:val="en-US" w:eastAsia="zh-CN" w:bidi="ar"/>
              </w:rPr>
              <w:t>堆土场</w:t>
            </w:r>
            <w:r>
              <w:rPr>
                <w:rFonts w:ascii="Times New Roman" w:hAnsi="Times New Roman" w:cs="Times New Roman"/>
                <w:kern w:val="24"/>
                <w:lang w:bidi="ar"/>
              </w:rPr>
              <w:t>进行遮盖，在用地周围进行围挡，避免对周边环境造成影响。</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Cs/>
                <w:kern w:val="24"/>
                <w:lang w:bidi="ar"/>
              </w:rPr>
            </w:pPr>
            <w:r>
              <w:rPr>
                <w:rFonts w:ascii="Times New Roman" w:eastAsia="宋体" w:hAnsi="Times New Roman" w:cs="Times New Roman"/>
                <w:bCs/>
                <w:kern w:val="24"/>
                <w:lang w:bidi="ar"/>
              </w:rPr>
              <w:t>（2）施工临时道路区</w:t>
            </w:r>
          </w:p>
          <w:p>
            <w:pPr>
              <w:adjustRightInd w:val="0"/>
              <w:ind w:firstLine="481"/>
              <w:rPr>
                <w:rFonts w:ascii="Times New Roman" w:hAnsi="Times New Roman" w:cs="Times New Roman"/>
                <w:b/>
                <w:bCs/>
                <w:kern w:val="24"/>
                <w:szCs w:val="20"/>
                <w:lang w:bidi="ar"/>
              </w:rPr>
            </w:pPr>
            <w:r>
              <w:rPr>
                <w:rFonts w:ascii="Times New Roman" w:hAnsi="Times New Roman" w:cs="Times New Roman"/>
                <w:kern w:val="24"/>
                <w:szCs w:val="20"/>
                <w:lang w:bidi="ar"/>
              </w:rPr>
              <w:t>本项目为新建道路，周边建设市政道路完善，无需设置临时便道。</w:t>
            </w:r>
          </w:p>
          <w:p>
            <w:pPr>
              <w:ind w:firstLine="0" w:firstLineChars="0"/>
              <w:rPr>
                <w:rFonts w:ascii="Times New Roman" w:hAnsi="Times New Roman" w:cs="Times New Roman"/>
                <w:b/>
                <w:color w:val="000000"/>
                <w:sz w:val="28"/>
                <w:szCs w:val="28"/>
              </w:rPr>
            </w:pPr>
          </w:p>
          <w:p>
            <w:pPr>
              <w:ind w:firstLine="0" w:firstLineChars="0"/>
              <w:rPr>
                <w:rFonts w:ascii="Times New Roman" w:hAnsi="Times New Roman" w:cs="Times New Roman"/>
                <w:b/>
                <w:color w:val="000000"/>
                <w:sz w:val="28"/>
                <w:szCs w:val="28"/>
              </w:rPr>
            </w:pPr>
          </w:p>
          <w:p>
            <w:pPr>
              <w:ind w:firstLine="0" w:firstLineChars="0"/>
              <w:rPr>
                <w:rFonts w:ascii="Times New Roman" w:hAnsi="Times New Roman" w:cs="Times New Roman"/>
                <w:b/>
                <w:color w:val="000000"/>
                <w:sz w:val="28"/>
                <w:szCs w:val="28"/>
              </w:rPr>
            </w:pPr>
          </w:p>
          <w:p>
            <w:pPr>
              <w:ind w:firstLine="0" w:firstLineChars="0"/>
              <w:rPr>
                <w:rFonts w:ascii="Times New Roman" w:hAnsi="Times New Roman" w:cs="Times New Roman"/>
                <w:b/>
                <w:color w:val="000000"/>
                <w:sz w:val="28"/>
                <w:szCs w:val="28"/>
              </w:rPr>
            </w:pPr>
          </w:p>
          <w:p>
            <w:pPr>
              <w:pStyle w:val="Default"/>
              <w:rPr>
                <w:rFonts w:ascii="Times New Roman"/>
                <w:b/>
                <w:sz w:val="28"/>
                <w:szCs w:val="28"/>
              </w:rPr>
            </w:pPr>
          </w:p>
          <w:p>
            <w:pPr>
              <w:pStyle w:val="1"/>
              <w:ind w:firstLine="483"/>
              <w:rPr>
                <w:rFonts w:ascii="Times New Roman" w:hAnsi="Times New Roman" w:cs="Times New Roman"/>
              </w:rPr>
            </w:pPr>
          </w:p>
          <w:p>
            <w:pPr>
              <w:ind w:firstLine="0" w:firstLineChars="0"/>
              <w:rPr>
                <w:rFonts w:ascii="Times New Roman" w:hAnsi="Times New Roman" w:cs="Times New Roman"/>
                <w:b/>
                <w:color w:val="000000"/>
                <w:sz w:val="28"/>
                <w:szCs w:val="28"/>
              </w:rPr>
            </w:pPr>
          </w:p>
          <w:p>
            <w:pPr>
              <w:ind w:firstLine="0" w:firstLineChars="0"/>
              <w:rPr>
                <w:rFonts w:ascii="Times New Roman" w:hAnsi="Times New Roman" w:cs="Times New Roman"/>
                <w:b/>
                <w:color w:val="000000"/>
                <w:sz w:val="28"/>
                <w:szCs w:val="28"/>
              </w:rPr>
            </w:pPr>
          </w:p>
          <w:p>
            <w:pPr>
              <w:pStyle w:val="Default"/>
              <w:rPr>
                <w:rFonts w:ascii="Times New Roman"/>
                <w:b/>
                <w:sz w:val="28"/>
                <w:szCs w:val="28"/>
              </w:rPr>
            </w:pPr>
          </w:p>
          <w:p>
            <w:pPr>
              <w:pStyle w:val="1"/>
              <w:ind w:firstLine="483"/>
            </w:pPr>
          </w:p>
          <w:p>
            <w:pPr>
              <w:pStyle w:val="1"/>
              <w:ind w:firstLine="563"/>
              <w:rPr>
                <w:rFonts w:ascii="Times New Roman" w:hAnsi="Times New Roman" w:cs="Times New Roman"/>
                <w:color w:val="000000"/>
                <w:sz w:val="28"/>
                <w:szCs w:val="28"/>
              </w:rPr>
            </w:pPr>
          </w:p>
          <w:p>
            <w:pPr>
              <w:pStyle w:val="Default"/>
              <w:rPr>
                <w:rFonts w:ascii="Times New Roman"/>
              </w:rPr>
            </w:pPr>
          </w:p>
          <w:p>
            <w:pPr>
              <w:ind w:firstLine="0" w:firstLineChars="0"/>
              <w:rPr>
                <w:rFonts w:ascii="Times New Roman" w:hAnsi="Times New Roman" w:cs="Times New Roman"/>
                <w:b/>
                <w:color w:val="000000"/>
                <w:sz w:val="28"/>
                <w:szCs w:val="28"/>
              </w:rPr>
            </w:pPr>
            <w:r>
              <w:rPr>
                <w:rFonts w:ascii="Times New Roman" w:hAnsi="Times New Roman" w:cs="Times New Roman"/>
                <w:b/>
                <w:color w:val="000000"/>
                <w:sz w:val="28"/>
                <w:szCs w:val="28"/>
              </w:rPr>
              <w:t>主要污染工序</w:t>
            </w:r>
          </w:p>
        </w:tc>
      </w:tr>
    </w:tbl>
    <w:p>
      <w:pPr>
        <w:sectPr>
          <w:headerReference w:type="default" r:id="rId73"/>
          <w:footerReference w:type="even" r:id="rId74"/>
          <w:footerReference w:type="default" r:id="rId75"/>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1"/>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481"/>
              <w:rPr>
                <w:rFonts w:ascii="Times New Roman" w:hAnsi="Times New Roman" w:cs="Times New Roman"/>
              </w:rPr>
            </w:pPr>
            <w:r>
              <w:rPr>
                <w:rFonts w:ascii="Times New Roman" w:hAnsi="Times New Roman" w:cs="Times New Roman"/>
              </w:rPr>
              <w:t>本项目工程对环境造成的影响可分为建设施工期和营运期两个阶段。根据本工程的特点并结合项目地区的环境特征，工程施工期及运营期产生的主要环境问题见表1</w:t>
            </w:r>
            <w:r>
              <w:rPr>
                <w:rFonts w:ascii="Times New Roman" w:hAnsi="Times New Roman" w:cs="Times New Roman" w:hint="eastAsia"/>
              </w:rPr>
              <w:t>7</w:t>
            </w:r>
            <w:r>
              <w:rPr>
                <w:rFonts w:ascii="Times New Roman" w:hAnsi="Times New Roman" w:cs="Times New Roman"/>
              </w:rPr>
              <w:t>。</w:t>
            </w:r>
          </w:p>
          <w:p>
            <w:pPr>
              <w:spacing w:line="240" w:lineRule="auto"/>
              <w:ind w:firstLine="0" w:firstLineChars="0"/>
              <w:jc w:val="center"/>
              <w:rPr>
                <w:rFonts w:ascii="Times New Roman" w:hAnsi="Times New Roman" w:cs="Times New Roman"/>
                <w:b/>
                <w:bCs/>
              </w:rPr>
            </w:pPr>
            <w:r>
              <w:rPr>
                <w:rFonts w:ascii="Times New Roman" w:hAnsi="Times New Roman" w:cs="Times New Roman"/>
                <w:b/>
                <w:bCs/>
              </w:rPr>
              <w:t>表1</w:t>
            </w:r>
            <w:r>
              <w:rPr>
                <w:rFonts w:ascii="Times New Roman" w:hAnsi="Times New Roman" w:cs="Times New Roman" w:hint="eastAsia"/>
                <w:b/>
                <w:bCs/>
              </w:rPr>
              <w:t>7</w:t>
            </w:r>
            <w:r>
              <w:rPr>
                <w:rFonts w:ascii="Times New Roman" w:hAnsi="Times New Roman" w:cs="Times New Roman"/>
                <w:b/>
                <w:bCs/>
              </w:rPr>
              <w:t xml:space="preserve">  主要污染工序及环境问题</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30"/>
              <w:gridCol w:w="1204"/>
              <w:gridCol w:w="1791"/>
              <w:gridCol w:w="5446"/>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52"/>
                <w:jc w:val="center"/>
              </w:trPr>
              <w:tc>
                <w:tcPr>
                  <w:tcW w:w="630"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施工期</w:t>
                  </w:r>
                </w:p>
              </w:tc>
              <w:tc>
                <w:tcPr>
                  <w:tcW w:w="1204"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环境空气</w:t>
                  </w:r>
                </w:p>
              </w:tc>
              <w:tc>
                <w:tcPr>
                  <w:tcW w:w="1791"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道路施工、车辆运输</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施工过程中的开挖、回填以及水泥、粘土、砂石等在装卸过程产生粉尘，运输过程中沿途散落及运输车辆在运行过程产生的粉尘。</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noWrap w:val="0"/>
                  <w:vAlign w:val="center"/>
                </w:tcPr>
                <w:p>
                  <w:pPr>
                    <w:spacing w:line="240" w:lineRule="auto"/>
                    <w:ind w:firstLine="0" w:firstLineChars="0"/>
                    <w:rPr>
                      <w:rFonts w:ascii="Times New Roman" w:hAnsi="Times New Roman" w:cs="Times New Roman"/>
                      <w:sz w:val="21"/>
                    </w:rPr>
                  </w:pP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sz w:val="21"/>
                    </w:rPr>
                  </w:pPr>
                  <w:r>
                    <w:rPr>
                      <w:rFonts w:ascii="Times New Roman" w:hAnsi="Times New Roman" w:cs="Times New Roman"/>
                      <w:kern w:val="2"/>
                      <w:sz w:val="21"/>
                      <w:lang w:bidi="ar"/>
                    </w:rPr>
                    <w:t>施工机械使用</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以燃油为动力的施工机械和运输车辆增加，必然导致废气排放量的增加</w:t>
                  </w:r>
                </w:p>
              </w:tc>
            </w:tr>
            <w:tr>
              <w:tblPrEx>
                <w:tblW w:w="0" w:type="auto"/>
                <w:jc w:val="center"/>
                <w:tblLayout w:type="fixed"/>
                <w:tblCellMar>
                  <w:top w:w="0" w:type="dxa"/>
                  <w:left w:w="108" w:type="dxa"/>
                  <w:bottom w:w="0" w:type="dxa"/>
                  <w:right w:w="108" w:type="dxa"/>
                </w:tblCellMar>
              </w:tblPrEx>
              <w:trPr>
                <w:cantSplit/>
                <w:trHeight w:val="90"/>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noWrap w:val="0"/>
                  <w:vAlign w:val="center"/>
                </w:tcPr>
                <w:p>
                  <w:pPr>
                    <w:spacing w:line="240" w:lineRule="auto"/>
                    <w:ind w:firstLine="0" w:firstLineChars="0"/>
                    <w:rPr>
                      <w:rFonts w:ascii="Times New Roman" w:hAnsi="Times New Roman" w:cs="Times New Roman"/>
                      <w:sz w:val="21"/>
                    </w:rPr>
                  </w:pP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kern w:val="2"/>
                      <w:sz w:val="21"/>
                      <w:lang w:bidi="ar"/>
                    </w:rPr>
                  </w:pPr>
                  <w:r>
                    <w:rPr>
                      <w:rFonts w:ascii="Times New Roman" w:hAnsi="Times New Roman" w:cs="Times New Roman"/>
                      <w:kern w:val="2"/>
                      <w:sz w:val="21"/>
                      <w:lang w:bidi="ar"/>
                    </w:rPr>
                    <w:t>沥青铺设</w:t>
                  </w:r>
                </w:p>
              </w:tc>
              <w:tc>
                <w:tcPr>
                  <w:tcW w:w="5446" w:type="dxa"/>
                  <w:noWrap w:val="0"/>
                  <w:vAlign w:val="top"/>
                </w:tcPr>
                <w:p>
                  <w:pPr>
                    <w:spacing w:line="240" w:lineRule="auto"/>
                    <w:ind w:firstLine="0" w:firstLineChars="0"/>
                    <w:rPr>
                      <w:rFonts w:ascii="Times New Roman" w:hAnsi="Times New Roman" w:cs="Times New Roman"/>
                      <w:sz w:val="21"/>
                      <w:lang w:bidi="ar"/>
                    </w:rPr>
                  </w:pPr>
                  <w:r>
                    <w:rPr>
                      <w:rFonts w:ascii="Times New Roman" w:hAnsi="Times New Roman" w:cs="Times New Roman"/>
                      <w:sz w:val="21"/>
                      <w:lang w:bidi="ar"/>
                    </w:rPr>
                    <w:t>在沥青铺设过程中产生沥青烟排放</w:t>
                  </w:r>
                </w:p>
              </w:tc>
            </w:tr>
            <w:tr>
              <w:tblPrEx>
                <w:tblW w:w="0" w:type="auto"/>
                <w:jc w:val="center"/>
                <w:tblLayout w:type="fixed"/>
                <w:tblCellMar>
                  <w:top w:w="0" w:type="dxa"/>
                  <w:left w:w="108" w:type="dxa"/>
                  <w:bottom w:w="0" w:type="dxa"/>
                  <w:right w:w="108" w:type="dxa"/>
                </w:tblCellMar>
              </w:tblPrEx>
              <w:trPr>
                <w:cantSplit/>
                <w:trHeight w:val="90"/>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noWrap w:val="0"/>
                  <w:vAlign w:val="center"/>
                </w:tcPr>
                <w:p>
                  <w:pPr>
                    <w:spacing w:line="240" w:lineRule="auto"/>
                    <w:ind w:firstLine="0" w:firstLineChars="0"/>
                    <w:rPr>
                      <w:rFonts w:ascii="Times New Roman" w:hAnsi="Times New Roman" w:cs="Times New Roman"/>
                      <w:sz w:val="21"/>
                    </w:rPr>
                  </w:pP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kern w:val="2"/>
                      <w:sz w:val="21"/>
                      <w:lang w:bidi="ar"/>
                    </w:rPr>
                  </w:pPr>
                  <w:r>
                    <w:rPr>
                      <w:rFonts w:ascii="Times New Roman" w:hAnsi="Times New Roman" w:cs="Times New Roman"/>
                      <w:kern w:val="2"/>
                      <w:sz w:val="21"/>
                      <w:lang w:bidi="ar"/>
                    </w:rPr>
                    <w:t>管网施工环节</w:t>
                  </w:r>
                </w:p>
              </w:tc>
              <w:tc>
                <w:tcPr>
                  <w:tcW w:w="5446" w:type="dxa"/>
                  <w:noWrap w:val="0"/>
                  <w:vAlign w:val="top"/>
                </w:tcPr>
                <w:p>
                  <w:pPr>
                    <w:spacing w:line="240" w:lineRule="auto"/>
                    <w:ind w:firstLine="0" w:firstLineChars="0"/>
                    <w:rPr>
                      <w:rFonts w:ascii="Times New Roman" w:hAnsi="Times New Roman" w:cs="Times New Roman"/>
                      <w:sz w:val="21"/>
                      <w:lang w:bidi="ar"/>
                    </w:rPr>
                  </w:pPr>
                  <w:r>
                    <w:rPr>
                      <w:rFonts w:ascii="Times New Roman" w:hAnsi="Times New Roman" w:cs="Times New Roman"/>
                      <w:sz w:val="21"/>
                      <w:lang w:bidi="ar"/>
                    </w:rPr>
                    <w:t>管道开挖、土方回填过程产生的扬尘</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噪声</w:t>
                  </w: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sz w:val="21"/>
                    </w:rPr>
                  </w:pPr>
                  <w:r>
                    <w:rPr>
                      <w:rFonts w:ascii="Times New Roman" w:hAnsi="Times New Roman" w:cs="Times New Roman"/>
                      <w:kern w:val="2"/>
                      <w:sz w:val="21"/>
                      <w:lang w:bidi="ar"/>
                    </w:rPr>
                    <w:t>车辆运输、各种施工机械使用</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各种施工设备如大型挖土机、钻孔机、空压机、压路机以及各种重型运输车辆产生的施工机械噪声，</w:t>
                  </w:r>
                </w:p>
              </w:tc>
            </w:tr>
            <w:tr>
              <w:tblPrEx>
                <w:tblW w:w="0" w:type="auto"/>
                <w:jc w:val="center"/>
                <w:tblLayout w:type="fixed"/>
                <w:tblCellMar>
                  <w:top w:w="0" w:type="dxa"/>
                  <w:left w:w="108" w:type="dxa"/>
                  <w:bottom w:w="0" w:type="dxa"/>
                  <w:right w:w="108" w:type="dxa"/>
                </w:tblCellMar>
              </w:tblPrEx>
              <w:trPr>
                <w:cantSplit/>
                <w:trHeight w:val="852"/>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废水</w:t>
                  </w: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sz w:val="21"/>
                    </w:rPr>
                  </w:pPr>
                  <w:r>
                    <w:rPr>
                      <w:rFonts w:ascii="Times New Roman" w:hAnsi="Times New Roman" w:cs="Times New Roman"/>
                      <w:kern w:val="2"/>
                      <w:sz w:val="21"/>
                      <w:lang w:bidi="ar"/>
                    </w:rPr>
                    <w:t>工程施工及施工人员</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开挖产生的泥浆水、机械设备运转的冷却水和洗涤水，施工机械运转中产生的油污水及施工人员产生的生活废水。</w:t>
                  </w:r>
                </w:p>
              </w:tc>
            </w:tr>
            <w:tr>
              <w:tblPrEx>
                <w:tblW w:w="0" w:type="auto"/>
                <w:jc w:val="center"/>
                <w:tblLayout w:type="fixed"/>
                <w:tblCellMar>
                  <w:top w:w="0" w:type="dxa"/>
                  <w:left w:w="108" w:type="dxa"/>
                  <w:bottom w:w="0" w:type="dxa"/>
                  <w:right w:w="108" w:type="dxa"/>
                </w:tblCellMar>
              </w:tblPrEx>
              <w:trPr>
                <w:cantSplit/>
                <w:trHeight w:val="299"/>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noWrap w:val="0"/>
                  <w:vAlign w:val="center"/>
                </w:tcPr>
                <w:p>
                  <w:pPr>
                    <w:spacing w:line="240" w:lineRule="auto"/>
                    <w:ind w:firstLine="0" w:firstLineChars="0"/>
                    <w:jc w:val="center"/>
                    <w:rPr>
                      <w:rFonts w:ascii="Times New Roman" w:hAnsi="Times New Roman" w:cs="Times New Roman"/>
                      <w:sz w:val="21"/>
                      <w:lang w:bidi="ar"/>
                    </w:rPr>
                  </w:pP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kern w:val="2"/>
                      <w:sz w:val="21"/>
                      <w:lang w:bidi="ar"/>
                    </w:rPr>
                  </w:pPr>
                  <w:r>
                    <w:rPr>
                      <w:rFonts w:ascii="Times New Roman" w:hAnsi="Times New Roman" w:cs="Times New Roman"/>
                      <w:kern w:val="2"/>
                      <w:sz w:val="21"/>
                      <w:lang w:bidi="ar"/>
                    </w:rPr>
                    <w:t>管道施工环节</w:t>
                  </w:r>
                </w:p>
              </w:tc>
              <w:tc>
                <w:tcPr>
                  <w:tcW w:w="5446" w:type="dxa"/>
                  <w:noWrap w:val="0"/>
                  <w:vAlign w:val="top"/>
                </w:tcPr>
                <w:p>
                  <w:pPr>
                    <w:spacing w:line="240" w:lineRule="auto"/>
                    <w:ind w:firstLine="0" w:firstLineChars="0"/>
                    <w:rPr>
                      <w:rFonts w:ascii="Times New Roman" w:hAnsi="Times New Roman" w:cs="Times New Roman"/>
                      <w:sz w:val="21"/>
                      <w:lang w:bidi="ar"/>
                    </w:rPr>
                  </w:pPr>
                  <w:r>
                    <w:rPr>
                      <w:rFonts w:ascii="Times New Roman" w:hAnsi="Times New Roman" w:cs="Times New Roman"/>
                      <w:sz w:val="21"/>
                      <w:lang w:bidi="ar"/>
                    </w:rPr>
                    <w:t>管道铺设完成后，需进行闭水测试，闭水测试过程中会产生一些废水。</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固废</w:t>
                  </w:r>
                </w:p>
              </w:tc>
              <w:tc>
                <w:tcPr>
                  <w:tcW w:w="1791"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sz w:val="21"/>
                    </w:rPr>
                  </w:pPr>
                  <w:r>
                    <w:rPr>
                      <w:rFonts w:ascii="Times New Roman" w:hAnsi="Times New Roman" w:cs="Times New Roman"/>
                      <w:kern w:val="2"/>
                      <w:sz w:val="21"/>
                      <w:lang w:bidi="ar"/>
                    </w:rPr>
                    <w:t>工程施工及施工人员</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施工工地产生大量余泥、渣土、地表开挖的余泥、施工剩余废物料等；施工人员生活垃圾。</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vMerge/>
                  <w:noWrap w:val="0"/>
                  <w:vAlign w:val="center"/>
                </w:tcPr>
                <w:p>
                  <w:pPr>
                    <w:spacing w:line="240" w:lineRule="auto"/>
                    <w:ind w:firstLine="0" w:firstLineChars="0"/>
                    <w:jc w:val="center"/>
                    <w:rPr>
                      <w:rFonts w:ascii="Times New Roman" w:hAnsi="Times New Roman" w:cs="Times New Roman"/>
                      <w:sz w:val="21"/>
                      <w:lang w:bidi="ar"/>
                    </w:rPr>
                  </w:pPr>
                </w:p>
              </w:tc>
              <w:tc>
                <w:tcPr>
                  <w:tcW w:w="1791" w:type="dxa"/>
                  <w:noWrap w:val="0"/>
                  <w:vAlign w:val="center"/>
                </w:tcPr>
                <w:p>
                  <w:pPr>
                    <w:spacing w:line="240" w:lineRule="auto"/>
                    <w:ind w:firstLine="0" w:firstLineChars="0"/>
                    <w:jc w:val="center"/>
                    <w:rPr>
                      <w:rFonts w:ascii="Times New Roman" w:hAnsi="Times New Roman" w:cs="Times New Roman"/>
                      <w:sz w:val="21"/>
                      <w:lang w:bidi="ar"/>
                    </w:rPr>
                  </w:pPr>
                  <w:r>
                    <w:rPr>
                      <w:rFonts w:ascii="Times New Roman" w:hAnsi="Times New Roman" w:cs="Times New Roman"/>
                      <w:sz w:val="21"/>
                      <w:lang w:bidi="ar"/>
                    </w:rPr>
                    <w:t>土方工程</w:t>
                  </w:r>
                </w:p>
              </w:tc>
              <w:tc>
                <w:tcPr>
                  <w:tcW w:w="5446" w:type="dxa"/>
                  <w:noWrap w:val="0"/>
                  <w:vAlign w:val="top"/>
                </w:tcPr>
                <w:p>
                  <w:pPr>
                    <w:spacing w:line="240" w:lineRule="auto"/>
                    <w:ind w:firstLine="0" w:firstLineChars="0"/>
                    <w:rPr>
                      <w:rFonts w:ascii="Times New Roman" w:hAnsi="Times New Roman" w:cs="Times New Roman"/>
                      <w:sz w:val="21"/>
                      <w:lang w:bidi="ar"/>
                    </w:rPr>
                  </w:pPr>
                  <w:r>
                    <w:rPr>
                      <w:rFonts w:ascii="Times New Roman" w:hAnsi="Times New Roman" w:cs="Times New Roman"/>
                      <w:sz w:val="21"/>
                      <w:lang w:bidi="ar"/>
                    </w:rPr>
                    <w:t>工程取弃土、建筑垃圾的堆放会占用土地，如措施不当，会给生态造成一定影响，并可能造成局部水土流失。</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noWrap w:val="0"/>
                  <w:vAlign w:val="center"/>
                </w:tcPr>
                <w:p>
                  <w:pPr>
                    <w:spacing w:line="240" w:lineRule="auto"/>
                    <w:ind w:firstLine="0" w:firstLineChars="0"/>
                    <w:jc w:val="center"/>
                    <w:rPr>
                      <w:rFonts w:ascii="Times New Roman" w:hAnsi="Times New Roman" w:cs="Times New Roman"/>
                      <w:sz w:val="21"/>
                      <w:lang w:bidi="ar"/>
                    </w:rPr>
                  </w:pPr>
                  <w:r>
                    <w:rPr>
                      <w:rFonts w:ascii="Times New Roman" w:hAnsi="Times New Roman" w:cs="Times New Roman" w:hint="eastAsia"/>
                      <w:sz w:val="21"/>
                      <w:lang w:bidi="ar"/>
                    </w:rPr>
                    <w:t>生态环境</w:t>
                  </w:r>
                </w:p>
              </w:tc>
              <w:tc>
                <w:tcPr>
                  <w:tcW w:w="1791" w:type="dxa"/>
                  <w:noWrap w:val="0"/>
                  <w:vAlign w:val="center"/>
                </w:tcPr>
                <w:p>
                  <w:pPr>
                    <w:spacing w:line="240" w:lineRule="auto"/>
                    <w:ind w:firstLine="0" w:firstLineChars="0"/>
                    <w:jc w:val="center"/>
                    <w:rPr>
                      <w:rFonts w:ascii="Times New Roman" w:hAnsi="Times New Roman" w:cs="Times New Roman"/>
                      <w:sz w:val="21"/>
                      <w:lang w:bidi="ar"/>
                    </w:rPr>
                  </w:pPr>
                  <w:r>
                    <w:rPr>
                      <w:rFonts w:ascii="Times New Roman" w:hAnsi="Times New Roman" w:cs="Times New Roman" w:hint="eastAsia"/>
                      <w:sz w:val="21"/>
                      <w:lang w:bidi="ar"/>
                    </w:rPr>
                    <w:t>路面清表工程</w:t>
                  </w:r>
                </w:p>
              </w:tc>
              <w:tc>
                <w:tcPr>
                  <w:tcW w:w="5446" w:type="dxa"/>
                  <w:noWrap w:val="0"/>
                  <w:vAlign w:val="top"/>
                </w:tcPr>
                <w:p>
                  <w:pPr>
                    <w:spacing w:line="240" w:lineRule="auto"/>
                    <w:ind w:firstLine="0" w:firstLineChars="0"/>
                    <w:rPr>
                      <w:rFonts w:ascii="Times New Roman" w:hAnsi="Times New Roman" w:cs="Times New Roman"/>
                      <w:sz w:val="21"/>
                      <w:lang w:bidi="ar"/>
                    </w:rPr>
                  </w:pPr>
                  <w:r>
                    <w:rPr>
                      <w:rFonts w:ascii="Times New Roman" w:hAnsi="Times New Roman" w:cs="Times New Roman" w:hint="eastAsia"/>
                      <w:sz w:val="21"/>
                    </w:rPr>
                    <w:t>路面清表会移除新建工程现状区域内的植被、菜苗等，生物多样性降低，对生态环境有一定的影响。</w:t>
                  </w:r>
                </w:p>
              </w:tc>
            </w:tr>
            <w:tr>
              <w:tblPrEx>
                <w:tblW w:w="0" w:type="auto"/>
                <w:jc w:val="center"/>
                <w:tblLayout w:type="fixed"/>
                <w:tblCellMar>
                  <w:top w:w="0" w:type="dxa"/>
                  <w:left w:w="108" w:type="dxa"/>
                  <w:bottom w:w="0" w:type="dxa"/>
                  <w:right w:w="108" w:type="dxa"/>
                </w:tblCellMar>
              </w:tblPrEx>
              <w:trPr>
                <w:cantSplit/>
                <w:trHeight w:val="558"/>
                <w:jc w:val="center"/>
              </w:trPr>
              <w:tc>
                <w:tcPr>
                  <w:tcW w:w="630"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运营期</w:t>
                  </w:r>
                </w:p>
              </w:tc>
              <w:tc>
                <w:tcPr>
                  <w:tcW w:w="1204" w:type="dxa"/>
                  <w:noWrap w:val="0"/>
                  <w:vAlign w:val="center"/>
                </w:tcPr>
                <w:p>
                  <w:pPr>
                    <w:pStyle w:val="NormalWeb"/>
                    <w:widowControl w:val="0"/>
                    <w:spacing w:before="0" w:beforeAutospacing="0" w:after="0" w:afterAutospacing="0" w:line="240" w:lineRule="auto"/>
                    <w:ind w:firstLine="0" w:firstLineChars="0"/>
                    <w:jc w:val="center"/>
                    <w:rPr>
                      <w:rFonts w:ascii="Times New Roman" w:hAnsi="Times New Roman" w:cs="Times New Roman"/>
                      <w:sz w:val="21"/>
                    </w:rPr>
                  </w:pPr>
                  <w:r>
                    <w:rPr>
                      <w:rFonts w:ascii="Times New Roman" w:hAnsi="Times New Roman" w:cs="Times New Roman"/>
                      <w:spacing w:val="-20"/>
                      <w:kern w:val="21"/>
                      <w:sz w:val="21"/>
                      <w:lang w:bidi="ar"/>
                    </w:rPr>
                    <w:t>环境空气</w:t>
                  </w:r>
                </w:p>
              </w:tc>
              <w:tc>
                <w:tcPr>
                  <w:tcW w:w="1791"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车辆行驶</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汽车排放的尾气含有CO、NO</w:t>
                  </w:r>
                  <w:r>
                    <w:rPr>
                      <w:rFonts w:ascii="Times New Roman" w:hAnsi="Times New Roman" w:cs="Times New Roman"/>
                      <w:sz w:val="21"/>
                      <w:vertAlign w:val="subscript"/>
                      <w:lang w:bidi="ar"/>
                    </w:rPr>
                    <w:t>2</w:t>
                  </w:r>
                  <w:r>
                    <w:rPr>
                      <w:rFonts w:ascii="Times New Roman" w:hAnsi="Times New Roman" w:cs="Times New Roman"/>
                      <w:sz w:val="21"/>
                      <w:lang w:bidi="ar"/>
                    </w:rPr>
                    <w:t>等污染物质，可能增加沿线的大气污染负荷</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噪声环境</w:t>
                  </w:r>
                </w:p>
              </w:tc>
              <w:tc>
                <w:tcPr>
                  <w:tcW w:w="1791"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车辆行驶</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项目完成后，各类车辆产生的交通噪声对线路两侧的敏感点产生不同程度影响。</w:t>
                  </w:r>
                </w:p>
              </w:tc>
            </w:tr>
            <w:tr>
              <w:tblPrEx>
                <w:tblW w:w="0" w:type="auto"/>
                <w:jc w:val="center"/>
                <w:tblLayout w:type="fixed"/>
                <w:tblCellMar>
                  <w:top w:w="0" w:type="dxa"/>
                  <w:left w:w="108" w:type="dxa"/>
                  <w:bottom w:w="0" w:type="dxa"/>
                  <w:right w:w="108" w:type="dxa"/>
                </w:tblCellMar>
              </w:tblPrEx>
              <w:trPr>
                <w:cantSplit/>
                <w:trHeight w:val="588"/>
                <w:jc w:val="center"/>
              </w:trPr>
              <w:tc>
                <w:tcPr>
                  <w:tcW w:w="630" w:type="dxa"/>
                  <w:vMerge/>
                  <w:noWrap w:val="0"/>
                  <w:vAlign w:val="center"/>
                </w:tcPr>
                <w:p>
                  <w:pPr>
                    <w:spacing w:line="240" w:lineRule="auto"/>
                    <w:ind w:firstLine="0" w:firstLineChars="0"/>
                    <w:rPr>
                      <w:rFonts w:ascii="Times New Roman" w:hAnsi="Times New Roman" w:cs="Times New Roman"/>
                      <w:sz w:val="21"/>
                    </w:rPr>
                  </w:pPr>
                </w:p>
              </w:tc>
              <w:tc>
                <w:tcPr>
                  <w:tcW w:w="120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生态环境</w:t>
                  </w:r>
                </w:p>
              </w:tc>
              <w:tc>
                <w:tcPr>
                  <w:tcW w:w="1791"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lang w:bidi="ar"/>
                    </w:rPr>
                    <w:t>绿化工程</w:t>
                  </w:r>
                </w:p>
              </w:tc>
              <w:tc>
                <w:tcPr>
                  <w:tcW w:w="5446" w:type="dxa"/>
                  <w:noWrap w:val="0"/>
                  <w:vAlign w:val="top"/>
                </w:tcPr>
                <w:p>
                  <w:pPr>
                    <w:spacing w:line="240" w:lineRule="auto"/>
                    <w:ind w:firstLine="0" w:firstLineChars="0"/>
                    <w:rPr>
                      <w:rFonts w:ascii="Times New Roman" w:hAnsi="Times New Roman" w:cs="Times New Roman"/>
                      <w:sz w:val="21"/>
                    </w:rPr>
                  </w:pPr>
                  <w:r>
                    <w:rPr>
                      <w:rFonts w:ascii="Times New Roman" w:hAnsi="Times New Roman" w:cs="Times New Roman"/>
                      <w:sz w:val="21"/>
                      <w:lang w:bidi="ar"/>
                    </w:rPr>
                    <w:t>道路的美化、绿化等景观建设工程，将对城市生态环境和景观产生一定的有利影响</w:t>
                  </w:r>
                </w:p>
              </w:tc>
            </w:tr>
          </w:tbl>
          <w:p>
            <w:pPr>
              <w:pStyle w:val="Heading2"/>
              <w:adjustRightInd w:val="0"/>
              <w:ind w:firstLine="0" w:firstLineChars="0"/>
              <w:rPr>
                <w:rFonts w:cs="Times New Roman"/>
                <w:sz w:val="24"/>
                <w:szCs w:val="24"/>
              </w:rPr>
            </w:pPr>
            <w:r>
              <w:rPr>
                <w:rFonts w:cs="Times New Roman"/>
                <w:sz w:val="24"/>
                <w:szCs w:val="24"/>
              </w:rPr>
              <w:t>一、施工期污染源分析</w:t>
            </w:r>
          </w:p>
          <w:p>
            <w:pPr>
              <w:ind w:firstLine="483"/>
              <w:rPr>
                <w:rFonts w:ascii="Times New Roman" w:hAnsi="Times New Roman" w:cs="Times New Roman"/>
                <w:b/>
                <w:bCs/>
              </w:rPr>
            </w:pPr>
            <w:r>
              <w:rPr>
                <w:rFonts w:ascii="Times New Roman" w:hAnsi="Times New Roman" w:cs="Times New Roman"/>
                <w:b/>
                <w:bCs/>
              </w:rPr>
              <w:t>1、施工期废水污染源分析</w:t>
            </w:r>
          </w:p>
          <w:p>
            <w:pPr>
              <w:adjustRightInd w:val="0"/>
              <w:ind w:firstLine="481"/>
              <w:rPr>
                <w:rFonts w:ascii="Times New Roman" w:hAnsi="Times New Roman" w:cs="Times New Roman"/>
                <w:color w:val="auto"/>
                <w:lang w:bidi="ar"/>
              </w:rPr>
            </w:pPr>
            <w:r>
              <w:rPr>
                <w:rFonts w:ascii="Times New Roman" w:hAnsi="Times New Roman" w:cs="Times New Roman" w:hint="eastAsia"/>
                <w:color w:val="auto"/>
                <w:lang w:val="en-US" w:eastAsia="zh-CN" w:bidi="ar"/>
              </w:rPr>
              <w:t>项目</w:t>
            </w:r>
            <w:r>
              <w:rPr>
                <w:rFonts w:ascii="Times New Roman" w:hAnsi="Times New Roman" w:cs="Times New Roman"/>
                <w:color w:val="auto"/>
                <w:lang w:bidi="ar"/>
              </w:rPr>
              <w:t>施工期废水主要</w:t>
            </w:r>
            <w:r>
              <w:rPr>
                <w:rFonts w:ascii="Times New Roman" w:hAnsi="Times New Roman" w:cs="Times New Roman" w:hint="eastAsia"/>
                <w:color w:val="auto"/>
                <w:lang w:val="en-US" w:eastAsia="zh-CN" w:bidi="ar"/>
              </w:rPr>
              <w:t>来源于施工废水、管道闭水试验废水及生活污水</w:t>
            </w:r>
            <w:r>
              <w:rPr>
                <w:rFonts w:ascii="Times New Roman" w:hAnsi="Times New Roman" w:cs="Times New Roman"/>
                <w:color w:val="auto"/>
                <w:lang w:bidi="ar"/>
              </w:rPr>
              <w:t>。</w:t>
            </w:r>
          </w:p>
          <w:p>
            <w:pPr>
              <w:adjustRightInd w:val="0"/>
              <w:ind w:firstLine="483"/>
              <w:rPr>
                <w:rFonts w:ascii="Times New Roman" w:hAnsi="Times New Roman" w:cs="Times New Roman"/>
                <w:b/>
                <w:bCs/>
                <w:color w:val="auto"/>
              </w:rPr>
            </w:pPr>
            <w:r>
              <w:rPr>
                <w:rFonts w:ascii="Times New Roman" w:hAnsi="Times New Roman" w:cs="Times New Roman"/>
                <w:b/>
                <w:bCs/>
                <w:color w:val="auto"/>
                <w:lang w:bidi="ar"/>
              </w:rPr>
              <w:t>（1）施工废水</w:t>
            </w:r>
          </w:p>
          <w:p>
            <w:pPr>
              <w:ind w:firstLine="481"/>
              <w:rPr>
                <w:rFonts w:ascii="Times New Roman" w:hAnsi="Times New Roman" w:cs="Times New Roman"/>
                <w:color w:val="auto"/>
              </w:rPr>
            </w:pPr>
            <w:r>
              <w:rPr>
                <w:rFonts w:ascii="Times New Roman" w:hAnsi="Times New Roman" w:cs="Times New Roman" w:hint="eastAsia"/>
                <w:color w:val="auto"/>
                <w:lang w:val="en-US" w:eastAsia="zh-CN"/>
              </w:rPr>
              <w:t>施工废水主要为施工机械冲洗及维修产生的油污水、管道闭水实验废水。</w:t>
            </w:r>
            <w:r>
              <w:rPr>
                <w:rFonts w:ascii="Times New Roman" w:hAnsi="Times New Roman" w:cs="Times New Roman"/>
                <w:color w:val="auto"/>
              </w:rPr>
              <w:t>施工废水主要污染物为SS、石油类，其中SS浓度较高，据类比调查，约为1000～3000mg/L。施工废水经</w:t>
            </w:r>
            <w:r>
              <w:rPr>
                <w:rFonts w:ascii="Times New Roman" w:hAnsi="Times New Roman" w:cs="Times New Roman" w:hint="eastAsia"/>
                <w:color w:val="auto"/>
                <w:lang w:val="en-US" w:eastAsia="zh-CN"/>
              </w:rPr>
              <w:t>隔油沉淀</w:t>
            </w:r>
            <w:r>
              <w:rPr>
                <w:rFonts w:ascii="Times New Roman" w:hAnsi="Times New Roman" w:cs="Times New Roman"/>
                <w:color w:val="auto"/>
              </w:rPr>
              <w:t>处理后回用于生产施工，不外排。</w:t>
            </w:r>
          </w:p>
          <w:p>
            <w:pPr>
              <w:pStyle w:val="Default"/>
              <w:spacing w:line="360" w:lineRule="auto"/>
              <w:ind w:firstLine="480" w:firstLineChars="200"/>
              <w:rPr>
                <w:rFonts w:ascii="Times New Roman"/>
                <w:b/>
                <w:bCs/>
                <w:color w:val="auto"/>
              </w:rPr>
            </w:pPr>
            <w:r>
              <w:rPr>
                <w:rFonts w:ascii="Times New Roman"/>
                <w:b/>
                <w:bCs/>
                <w:color w:val="auto"/>
              </w:rPr>
              <w:t>（2）管线闭水</w:t>
            </w:r>
            <w:r>
              <w:rPr>
                <w:rFonts w:ascii="Times New Roman" w:hint="eastAsia"/>
                <w:b/>
                <w:bCs/>
                <w:color w:val="auto"/>
                <w:lang w:val="en-US" w:eastAsia="zh-CN"/>
              </w:rPr>
              <w:t>试验</w:t>
            </w:r>
            <w:r>
              <w:rPr>
                <w:rFonts w:ascii="Times New Roman"/>
                <w:b/>
                <w:bCs/>
                <w:color w:val="auto"/>
              </w:rPr>
              <w:t>废水</w:t>
            </w:r>
          </w:p>
          <w:p>
            <w:pPr>
              <w:pStyle w:val="Default"/>
              <w:spacing w:line="360" w:lineRule="auto"/>
              <w:ind w:firstLine="480" w:firstLineChars="200"/>
              <w:jc w:val="both"/>
              <w:rPr>
                <w:rFonts w:ascii="Times New Roman"/>
                <w:b/>
                <w:bCs/>
                <w:lang w:bidi="ar"/>
              </w:rPr>
            </w:pPr>
            <w:r>
              <w:rPr>
                <w:rFonts w:ascii="Times New Roman"/>
                <w:color w:val="auto"/>
              </w:rPr>
              <w:t>管线试压水一般采用自来水进行，</w:t>
            </w:r>
            <w:r>
              <w:rPr>
                <w:rFonts w:ascii="Times New Roman"/>
                <w:bCs/>
                <w:color w:val="auto"/>
              </w:rPr>
              <w:t>闭水试验时分段进行，试压水重复利用，</w:t>
            </w:r>
            <w:r>
              <w:rPr>
                <w:rFonts w:ascii="Times New Roman"/>
                <w:color w:val="auto"/>
              </w:rPr>
              <w:t>管线全长482.971m。设备水压试验产生的废水，含有一定量的油污和泥沙。</w:t>
            </w:r>
          </w:p>
        </w:tc>
      </w:tr>
    </w:tbl>
    <w:p>
      <w:pPr>
        <w:sectPr>
          <w:headerReference w:type="default" r:id="rId76"/>
          <w:footerReference w:type="even" r:id="rId77"/>
          <w:footerReference w:type="default" r:id="rId78"/>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2"/>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keepNext w:val="0"/>
              <w:keepLines w:val="0"/>
              <w:pageBreakBefore w:val="0"/>
              <w:widowControl w:val="0"/>
              <w:kinsoku/>
              <w:wordWrap/>
              <w:overflowPunct/>
              <w:topLinePunct w:val="0"/>
              <w:bidi w:val="0"/>
              <w:adjustRightInd w:val="0"/>
              <w:snapToGrid w:val="0"/>
              <w:spacing w:line="360" w:lineRule="auto"/>
              <w:ind w:firstLine="483"/>
              <w:textAlignment w:val="auto"/>
              <w:rPr>
                <w:rFonts w:ascii="Times New Roman" w:hAnsi="Times New Roman" w:cs="Times New Roman"/>
                <w:b/>
                <w:bCs/>
              </w:rPr>
            </w:pPr>
            <w:r>
              <w:rPr>
                <w:rFonts w:ascii="Times New Roman" w:hAnsi="Times New Roman" w:cs="Times New Roman"/>
                <w:b/>
                <w:bCs/>
                <w:lang w:bidi="ar"/>
              </w:rPr>
              <w:t>（</w:t>
            </w:r>
            <w:r>
              <w:rPr>
                <w:rFonts w:ascii="Times New Roman" w:hAnsi="Times New Roman" w:cs="Times New Roman" w:hint="eastAsia"/>
                <w:b/>
                <w:bCs/>
                <w:lang w:val="en-US" w:eastAsia="zh-CN" w:bidi="ar"/>
              </w:rPr>
              <w:t>3</w:t>
            </w:r>
            <w:r>
              <w:rPr>
                <w:rFonts w:ascii="Times New Roman" w:hAnsi="Times New Roman" w:cs="Times New Roman"/>
                <w:b/>
                <w:bCs/>
                <w:lang w:bidi="ar"/>
              </w:rPr>
              <w:t>）生活污水</w:t>
            </w:r>
          </w:p>
          <w:p>
            <w:pPr>
              <w:pStyle w:val="NormalIndent"/>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color w:val="auto"/>
                <w:sz w:val="24"/>
              </w:rPr>
            </w:pPr>
            <w:r>
              <w:rPr>
                <w:rFonts w:ascii="Times New Roman" w:hAnsi="Times New Roman" w:cs="Times New Roman"/>
                <w:color w:val="auto"/>
              </w:rPr>
              <w:t>本项目不设施工生活营地，</w:t>
            </w:r>
            <w:r>
              <w:rPr>
                <w:color w:val="auto"/>
                <w:sz w:val="24"/>
              </w:rPr>
              <w:t>施工人员租用周边民房，生活污水依托民房污水处理设施处理，本项目不单独统计。</w:t>
            </w:r>
          </w:p>
          <w:p>
            <w:pPr>
              <w:pStyle w:val="Default"/>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ascii="Times New Roman"/>
                <w:b/>
                <w:bCs/>
                <w:color w:val="auto"/>
                <w:lang w:bidi="ar"/>
              </w:rPr>
            </w:pPr>
            <w:r>
              <w:rPr>
                <w:rFonts w:ascii="Times New Roman"/>
                <w:b/>
                <w:bCs/>
                <w:color w:val="auto"/>
                <w:lang w:bidi="ar"/>
              </w:rPr>
              <w:t>2、施工期大气污染源分析</w:t>
            </w:r>
          </w:p>
          <w:p>
            <w:pPr>
              <w:adjustRightInd w:val="0"/>
              <w:ind w:firstLine="483"/>
              <w:rPr>
                <w:rFonts w:ascii="Times New Roman" w:hAnsi="Times New Roman" w:cs="Times New Roman" w:hint="default"/>
                <w:b w:val="0"/>
                <w:bCs w:val="0"/>
                <w:kern w:val="24"/>
                <w:lang w:bidi="ar"/>
              </w:rPr>
            </w:pPr>
            <w:r>
              <w:rPr>
                <w:rFonts w:ascii="Times New Roman" w:hAnsi="Times New Roman" w:cs="Times New Roman" w:hint="eastAsia"/>
                <w:b w:val="0"/>
                <w:bCs w:val="0"/>
                <w:kern w:val="24"/>
                <w:lang w:val="en-US" w:eastAsia="zh-CN" w:bidi="ar"/>
              </w:rPr>
              <w:t>项目施工期废气主要来源于施工扬尘、施工车辆尾气、机械废气、沥青烟气。</w:t>
            </w:r>
          </w:p>
          <w:p>
            <w:pPr>
              <w:adjustRightInd w:val="0"/>
              <w:ind w:firstLine="483"/>
              <w:rPr>
                <w:rFonts w:ascii="Times New Roman" w:hAnsi="Times New Roman" w:cs="Times New Roman"/>
                <w:b/>
                <w:bCs/>
              </w:rPr>
            </w:pPr>
            <w:r>
              <w:rPr>
                <w:rFonts w:ascii="Times New Roman" w:hAnsi="Times New Roman" w:cs="Times New Roman"/>
                <w:b/>
                <w:bCs/>
                <w:kern w:val="24"/>
                <w:lang w:bidi="ar"/>
              </w:rPr>
              <w:t>（1）扬尘污染源</w:t>
            </w:r>
          </w:p>
          <w:p>
            <w:pPr>
              <w:ind w:firstLine="481"/>
              <w:rPr>
                <w:rFonts w:ascii="Times New Roman" w:hAnsi="Times New Roman" w:cs="Times New Roman"/>
              </w:rPr>
            </w:pPr>
            <w:r>
              <w:rPr>
                <w:rFonts w:ascii="Times New Roman" w:hAnsi="Times New Roman" w:cs="Times New Roman"/>
              </w:rPr>
              <w:t>施工期间土方开挖、回填以及土方、物料装卸、堆放、运输、管道施工开挖等将产生大量扬尘。场区现场浮土、渣土较多，土方工程阶段产生的扬尘是施工期最主要的大气污染源，此外在土方、物料运输过程中，由于沿路散落、风吹起尘及运输车辆车身、轮胎携带的泥土风干后将对场区内和道路上造成严重的扬尘，污染环境。</w:t>
            </w:r>
          </w:p>
          <w:p>
            <w:pPr>
              <w:ind w:firstLine="481"/>
              <w:rPr>
                <w:rFonts w:ascii="Times New Roman" w:hAnsi="Times New Roman" w:cs="Times New Roman"/>
              </w:rPr>
            </w:pPr>
            <w:r>
              <w:rPr>
                <w:rFonts w:ascii="Times New Roman" w:hAnsi="Times New Roman" w:cs="Times New Roman"/>
              </w:rPr>
              <w:t>在一般气象，平均风速2.5m/s的情况，下建筑工地内扬尘处TSP浓度为上风向对照点在2.0-2.5倍，即下风向10-200m范围内施工扬尘的浓度为1.843-0.372mg/m</w:t>
            </w:r>
            <w:r>
              <w:rPr>
                <w:rFonts w:ascii="Times New Roman" w:hAnsi="Times New Roman" w:cs="Times New Roman"/>
                <w:vertAlign w:val="superscript"/>
              </w:rPr>
              <w:t>3</w:t>
            </w:r>
            <w:r>
              <w:rPr>
                <w:rFonts w:ascii="Times New Roman" w:hAnsi="Times New Roman" w:cs="Times New Roman"/>
              </w:rPr>
              <w:t>。</w:t>
            </w:r>
          </w:p>
          <w:p>
            <w:pPr>
              <w:pStyle w:val="3"/>
              <w:tabs>
                <w:tab w:val="left" w:pos="360"/>
              </w:tabs>
              <w:spacing w:before="0" w:beforeAutospacing="0" w:after="0" w:afterAutospacing="0" w:line="360" w:lineRule="auto"/>
              <w:ind w:firstLine="480" w:firstLineChars="200"/>
              <w:rPr>
                <w:rFonts w:ascii="Times New Roman" w:eastAsia="宋体" w:hAnsi="Times New Roman" w:cs="Times New Roman"/>
                <w:kern w:val="2"/>
              </w:rPr>
            </w:pPr>
            <w:r>
              <w:rPr>
                <w:rFonts w:ascii="Times New Roman" w:eastAsia="宋体" w:hAnsi="Times New Roman" w:cs="Times New Roman"/>
                <w:kern w:val="2"/>
              </w:rPr>
              <w:t>（2）汽车扬尘</w:t>
            </w:r>
          </w:p>
          <w:p>
            <w:pPr>
              <w:ind w:firstLine="481"/>
              <w:rPr>
                <w:rFonts w:ascii="Times New Roman" w:hAnsi="Times New Roman" w:cs="Times New Roman"/>
              </w:rPr>
            </w:pPr>
            <w:r>
              <w:rPr>
                <w:rFonts w:ascii="Times New Roman" w:hAnsi="Times New Roman" w:cs="Times New Roman"/>
              </w:rPr>
              <w:t>按经验公式计算得出：一辆载重5t的卡车，通过一段长度为500米的路面时，不同表面清洁程度，不同形式速度情况下产生的扬尘量见表1</w:t>
            </w:r>
            <w:r>
              <w:rPr>
                <w:rFonts w:ascii="Times New Roman" w:hAnsi="Times New Roman" w:cs="Times New Roman" w:hint="eastAsia"/>
              </w:rPr>
              <w:t>8</w:t>
            </w:r>
            <w:r>
              <w:rPr>
                <w:rFonts w:ascii="Times New Roman" w:hAnsi="Times New Roman" w:cs="Times New Roman"/>
              </w:rPr>
              <w:t>。</w:t>
            </w:r>
          </w:p>
          <w:p>
            <w:pPr>
              <w:spacing w:line="240" w:lineRule="auto"/>
              <w:ind w:firstLine="0" w:firstLineChars="0"/>
              <w:jc w:val="center"/>
              <w:rPr>
                <w:rFonts w:ascii="Times New Roman" w:hAnsi="Times New Roman" w:cs="Times New Roman"/>
                <w:b/>
                <w:bCs/>
              </w:rPr>
            </w:pPr>
            <w:r>
              <w:rPr>
                <w:rFonts w:ascii="Times New Roman" w:hAnsi="Times New Roman" w:cs="Times New Roman"/>
                <w:b/>
                <w:bCs/>
              </w:rPr>
              <w:t xml:space="preserve">              表1</w:t>
            </w:r>
            <w:r>
              <w:rPr>
                <w:rFonts w:ascii="Times New Roman" w:hAnsi="Times New Roman" w:cs="Times New Roman" w:hint="eastAsia"/>
                <w:b/>
                <w:bCs/>
              </w:rPr>
              <w:t>8</w:t>
            </w:r>
            <w:r>
              <w:rPr>
                <w:rFonts w:ascii="Times New Roman" w:hAnsi="Times New Roman" w:cs="Times New Roman"/>
                <w:b/>
                <w:bCs/>
              </w:rPr>
              <w:t xml:space="preserve"> 不同车速和地面清洁程度时的汽车扬尘      单位：kg/km·辆</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615"/>
              <w:gridCol w:w="1244"/>
              <w:gridCol w:w="1243"/>
              <w:gridCol w:w="1243"/>
              <w:gridCol w:w="1240"/>
              <w:gridCol w:w="1242"/>
              <w:gridCol w:w="1244"/>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07"/>
                <w:tblHeader/>
                <w:jc w:val="center"/>
              </w:trPr>
              <w:tc>
                <w:tcPr>
                  <w:tcW w:w="1615"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车速（km/h）</w:t>
                  </w:r>
                </w:p>
              </w:tc>
              <w:tc>
                <w:tcPr>
                  <w:tcW w:w="7456" w:type="dxa"/>
                  <w:gridSpan w:val="6"/>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P(kg/m</w:t>
                  </w:r>
                  <w:r>
                    <w:rPr>
                      <w:rFonts w:ascii="Times New Roman" w:hAnsi="Times New Roman" w:cs="Times New Roman"/>
                      <w:b/>
                      <w:bCs/>
                      <w:sz w:val="21"/>
                      <w:vertAlign w:val="superscript"/>
                    </w:rPr>
                    <w:t>2</w:t>
                  </w:r>
                  <w:r>
                    <w:rPr>
                      <w:rFonts w:ascii="Times New Roman" w:hAnsi="Times New Roman" w:cs="Times New Roman"/>
                      <w:b/>
                      <w:bCs/>
                      <w:sz w:val="21"/>
                    </w:rPr>
                    <w:t>)</w:t>
                  </w:r>
                </w:p>
              </w:tc>
            </w:tr>
            <w:tr>
              <w:tblPrEx>
                <w:tblW w:w="0" w:type="auto"/>
                <w:jc w:val="center"/>
                <w:tblLayout w:type="fixed"/>
                <w:tblCellMar>
                  <w:top w:w="0" w:type="dxa"/>
                  <w:left w:w="108" w:type="dxa"/>
                  <w:bottom w:w="0" w:type="dxa"/>
                  <w:right w:w="108" w:type="dxa"/>
                </w:tblCellMar>
              </w:tblPrEx>
              <w:trPr>
                <w:trHeight w:hRule="exact" w:val="307"/>
                <w:tblHeader/>
                <w:jc w:val="center"/>
              </w:trPr>
              <w:tc>
                <w:tcPr>
                  <w:tcW w:w="1615" w:type="dxa"/>
                  <w:vMerge/>
                  <w:noWrap w:val="0"/>
                  <w:vAlign w:val="center"/>
                </w:tcPr>
                <w:p>
                  <w:pPr>
                    <w:spacing w:line="240" w:lineRule="auto"/>
                    <w:ind w:firstLine="0" w:firstLineChars="0"/>
                    <w:jc w:val="center"/>
                    <w:rPr>
                      <w:rFonts w:ascii="Times New Roman" w:hAnsi="Times New Roman" w:cs="Times New Roman"/>
                      <w:sz w:val="21"/>
                    </w:rPr>
                  </w:pP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0.2</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0.3</w:t>
                  </w:r>
                </w:p>
              </w:tc>
              <w:tc>
                <w:tcPr>
                  <w:tcW w:w="124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0.4</w:t>
                  </w:r>
                </w:p>
              </w:tc>
              <w:tc>
                <w:tcPr>
                  <w:tcW w:w="1242"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0.5</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0.6</w:t>
                  </w:r>
                </w:p>
              </w:tc>
            </w:tr>
            <w:tr>
              <w:tblPrEx>
                <w:tblW w:w="0" w:type="auto"/>
                <w:jc w:val="center"/>
                <w:tblLayout w:type="fixed"/>
                <w:tblCellMar>
                  <w:top w:w="0" w:type="dxa"/>
                  <w:left w:w="108" w:type="dxa"/>
                  <w:bottom w:w="0" w:type="dxa"/>
                  <w:right w:w="108" w:type="dxa"/>
                </w:tblCellMar>
              </w:tblPrEx>
              <w:trPr>
                <w:trHeight w:hRule="exact" w:val="307"/>
                <w:tblHeader/>
                <w:jc w:val="center"/>
              </w:trPr>
              <w:tc>
                <w:tcPr>
                  <w:tcW w:w="16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0.0283</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0.0476</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0.0646</w:t>
                  </w:r>
                </w:p>
              </w:tc>
              <w:tc>
                <w:tcPr>
                  <w:tcW w:w="124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0.0801</w:t>
                  </w:r>
                </w:p>
              </w:tc>
              <w:tc>
                <w:tcPr>
                  <w:tcW w:w="1242"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0.0947</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0.1593</w:t>
                  </w:r>
                </w:p>
              </w:tc>
            </w:tr>
            <w:tr>
              <w:tblPrEx>
                <w:tblW w:w="0" w:type="auto"/>
                <w:jc w:val="center"/>
                <w:tblLayout w:type="fixed"/>
                <w:tblCellMar>
                  <w:top w:w="0" w:type="dxa"/>
                  <w:left w:w="108" w:type="dxa"/>
                  <w:bottom w:w="0" w:type="dxa"/>
                  <w:right w:w="108" w:type="dxa"/>
                </w:tblCellMar>
              </w:tblPrEx>
              <w:trPr>
                <w:trHeight w:hRule="exact" w:val="307"/>
                <w:tblHeader/>
                <w:jc w:val="center"/>
              </w:trPr>
              <w:tc>
                <w:tcPr>
                  <w:tcW w:w="16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10</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0.0566</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0.0953</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0.1291</w:t>
                  </w:r>
                </w:p>
              </w:tc>
              <w:tc>
                <w:tcPr>
                  <w:tcW w:w="124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0.1602</w:t>
                  </w:r>
                </w:p>
              </w:tc>
              <w:tc>
                <w:tcPr>
                  <w:tcW w:w="1242"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0.1894</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0.3186</w:t>
                  </w:r>
                </w:p>
              </w:tc>
            </w:tr>
            <w:tr>
              <w:tblPrEx>
                <w:tblW w:w="0" w:type="auto"/>
                <w:jc w:val="center"/>
                <w:tblLayout w:type="fixed"/>
                <w:tblCellMar>
                  <w:top w:w="0" w:type="dxa"/>
                  <w:left w:w="108" w:type="dxa"/>
                  <w:bottom w:w="0" w:type="dxa"/>
                  <w:right w:w="108" w:type="dxa"/>
                </w:tblCellMar>
              </w:tblPrEx>
              <w:trPr>
                <w:trHeight w:hRule="exact" w:val="307"/>
                <w:tblHeader/>
                <w:jc w:val="center"/>
              </w:trPr>
              <w:tc>
                <w:tcPr>
                  <w:tcW w:w="16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15</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0.0850</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0.1429</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0.1937</w:t>
                  </w:r>
                </w:p>
              </w:tc>
              <w:tc>
                <w:tcPr>
                  <w:tcW w:w="124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0.2403</w:t>
                  </w:r>
                </w:p>
              </w:tc>
              <w:tc>
                <w:tcPr>
                  <w:tcW w:w="1242"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0.2841</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0.4778</w:t>
                  </w:r>
                </w:p>
              </w:tc>
            </w:tr>
            <w:tr>
              <w:tblPrEx>
                <w:tblW w:w="0" w:type="auto"/>
                <w:jc w:val="center"/>
                <w:tblLayout w:type="fixed"/>
                <w:tblCellMar>
                  <w:top w:w="0" w:type="dxa"/>
                  <w:left w:w="108" w:type="dxa"/>
                  <w:bottom w:w="0" w:type="dxa"/>
                  <w:right w:w="108" w:type="dxa"/>
                </w:tblCellMar>
              </w:tblPrEx>
              <w:trPr>
                <w:trHeight w:hRule="exact" w:val="321"/>
                <w:tblHeader/>
                <w:jc w:val="center"/>
              </w:trPr>
              <w:tc>
                <w:tcPr>
                  <w:tcW w:w="1615"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0.1133</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0.1905</w:t>
                  </w:r>
                </w:p>
              </w:tc>
              <w:tc>
                <w:tcPr>
                  <w:tcW w:w="1243"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0.2583</w:t>
                  </w:r>
                </w:p>
              </w:tc>
              <w:tc>
                <w:tcPr>
                  <w:tcW w:w="1240"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0.3204</w:t>
                  </w:r>
                </w:p>
              </w:tc>
              <w:tc>
                <w:tcPr>
                  <w:tcW w:w="1242"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0.3788</w:t>
                  </w:r>
                </w:p>
              </w:tc>
              <w:tc>
                <w:tcPr>
                  <w:tcW w:w="1244"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0.6371</w:t>
                  </w:r>
                </w:p>
              </w:tc>
            </w:tr>
          </w:tbl>
          <w:p>
            <w:pPr>
              <w:adjustRightInd w:val="0"/>
              <w:ind w:firstLine="483"/>
              <w:rPr>
                <w:rFonts w:ascii="Times New Roman" w:hAnsi="Times New Roman" w:cs="Times New Roman"/>
                <w:b/>
                <w:bCs/>
              </w:rPr>
            </w:pPr>
            <w:r>
              <w:rPr>
                <w:rFonts w:ascii="Times New Roman" w:hAnsi="Times New Roman" w:cs="Times New Roman"/>
                <w:b/>
                <w:bCs/>
              </w:rPr>
              <w:t>（3）燃油废气</w:t>
            </w:r>
          </w:p>
          <w:p>
            <w:pPr>
              <w:tabs>
                <w:tab w:val="left" w:pos="6120"/>
                <w:tab w:val="left" w:pos="6840"/>
              </w:tabs>
              <w:ind w:firstLine="481"/>
              <w:rPr>
                <w:rFonts w:ascii="Times New Roman" w:hAnsi="Times New Roman" w:cs="Times New Roman"/>
              </w:rPr>
            </w:pPr>
            <w:r>
              <w:rPr>
                <w:rFonts w:ascii="Times New Roman" w:hAnsi="Times New Roman" w:cs="Times New Roman"/>
                <w:lang w:bidi="ar"/>
              </w:rPr>
              <w:t>主要来自施工设备运转产生的燃油废气和物料交通运输工具产生的燃油尾气，排放的主要污染物为CO、NO</w:t>
            </w:r>
            <w:r>
              <w:rPr>
                <w:rFonts w:ascii="Times New Roman" w:hAnsi="Times New Roman" w:cs="Times New Roman"/>
                <w:vertAlign w:val="subscript"/>
                <w:lang w:bidi="ar"/>
              </w:rPr>
              <w:t>2</w:t>
            </w:r>
            <w:r>
              <w:rPr>
                <w:rFonts w:ascii="Times New Roman" w:hAnsi="Times New Roman" w:cs="Times New Roman"/>
                <w:lang w:bidi="ar"/>
              </w:rPr>
              <w:t>和烃类物等。机动车辆污染物排放系数见表</w:t>
            </w:r>
            <w:r>
              <w:rPr>
                <w:rFonts w:ascii="Times New Roman" w:hAnsi="Times New Roman" w:cs="Times New Roman" w:hint="eastAsia"/>
                <w:lang w:bidi="ar"/>
              </w:rPr>
              <w:t>19</w:t>
            </w:r>
            <w:r>
              <w:rPr>
                <w:rFonts w:ascii="Times New Roman" w:hAnsi="Times New Roman" w:cs="Times New Roman"/>
                <w:lang w:bidi="ar"/>
              </w:rPr>
              <w:t>。</w:t>
            </w:r>
          </w:p>
          <w:p>
            <w:pPr>
              <w:autoSpaceDE w:val="0"/>
              <w:autoSpaceDN w:val="0"/>
              <w:adjustRightInd w:val="0"/>
              <w:spacing w:line="240" w:lineRule="auto"/>
              <w:ind w:firstLine="0" w:firstLineChars="0"/>
              <w:jc w:val="center"/>
              <w:rPr>
                <w:rFonts w:ascii="Times New Roman" w:hAnsi="Times New Roman" w:cs="Times New Roman"/>
                <w:b/>
                <w:kern w:val="0"/>
              </w:rPr>
            </w:pPr>
            <w:r>
              <w:rPr>
                <w:rFonts w:ascii="Times New Roman" w:hAnsi="Times New Roman" w:cs="Times New Roman"/>
                <w:b/>
                <w:kern w:val="0"/>
                <w:lang w:bidi="ar"/>
              </w:rPr>
              <w:t xml:space="preserve">                       表</w:t>
            </w:r>
            <w:r>
              <w:rPr>
                <w:rFonts w:ascii="Times New Roman" w:hAnsi="Times New Roman" w:cs="Times New Roman" w:hint="eastAsia"/>
                <w:b/>
                <w:kern w:val="0"/>
                <w:lang w:bidi="ar"/>
              </w:rPr>
              <w:t>19</w:t>
            </w:r>
            <w:r>
              <w:rPr>
                <w:rFonts w:ascii="Times New Roman" w:hAnsi="Times New Roman" w:cs="Times New Roman"/>
                <w:b/>
                <w:kern w:val="0"/>
                <w:lang w:bidi="ar"/>
              </w:rPr>
              <w:t xml:space="preserve"> 不同类型车辆的当量               L</w:t>
            </w:r>
            <w:r>
              <w:rPr>
                <w:rFonts w:ascii="Times New Roman" w:hAnsi="Times New Roman" w:cs="Times New Roman"/>
                <w:b/>
                <w:kern w:val="0"/>
                <w:vertAlign w:val="subscript"/>
                <w:lang w:bidi="ar"/>
              </w:rPr>
              <w:t>i</w:t>
            </w:r>
            <w:r>
              <w:rPr>
                <w:rFonts w:ascii="Times New Roman" w:hAnsi="Times New Roman" w:cs="Times New Roman"/>
                <w:b/>
                <w:kern w:val="0"/>
                <w:lang w:bidi="ar"/>
              </w:rPr>
              <w:t>（dB）A</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389"/>
              <w:gridCol w:w="3265"/>
              <w:gridCol w:w="3266"/>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250"/>
                <w:jc w:val="center"/>
              </w:trPr>
              <w:tc>
                <w:tcPr>
                  <w:tcW w:w="2389" w:type="dxa"/>
                  <w:vMerge w:val="restart"/>
                  <w:noWrap w:val="0"/>
                  <w:vAlign w:val="center"/>
                </w:tcPr>
                <w:p>
                  <w:pPr>
                    <w:autoSpaceDE w:val="0"/>
                    <w:autoSpaceDN w:val="0"/>
                    <w:adjustRightInd w:val="0"/>
                    <w:snapToGrid/>
                    <w:spacing w:line="240" w:lineRule="auto"/>
                    <w:ind w:firstLine="0" w:firstLineChars="0"/>
                    <w:jc w:val="center"/>
                    <w:rPr>
                      <w:rFonts w:ascii="Times New Roman" w:hAnsi="Times New Roman" w:cs="Times New Roman"/>
                      <w:b/>
                      <w:bCs/>
                      <w:kern w:val="0"/>
                      <w:sz w:val="21"/>
                    </w:rPr>
                  </w:pPr>
                  <w:r>
                    <w:rPr>
                      <w:rFonts w:ascii="Times New Roman" w:hAnsi="Times New Roman" w:cs="Times New Roman"/>
                      <w:b/>
                      <w:bCs/>
                      <w:kern w:val="0"/>
                      <w:sz w:val="21"/>
                      <w:lang w:bidi="ar"/>
                    </w:rPr>
                    <w:t>类型</w:t>
                  </w:r>
                </w:p>
              </w:tc>
              <w:tc>
                <w:tcPr>
                  <w:tcW w:w="6531" w:type="dxa"/>
                  <w:gridSpan w:val="2"/>
                  <w:noWrap w:val="0"/>
                  <w:vAlign w:val="center"/>
                </w:tcPr>
                <w:p>
                  <w:pPr>
                    <w:autoSpaceDE w:val="0"/>
                    <w:autoSpaceDN w:val="0"/>
                    <w:adjustRightInd w:val="0"/>
                    <w:snapToGrid/>
                    <w:spacing w:line="240" w:lineRule="auto"/>
                    <w:ind w:firstLine="0" w:firstLineChars="0"/>
                    <w:jc w:val="center"/>
                    <w:rPr>
                      <w:rFonts w:ascii="Times New Roman" w:hAnsi="Times New Roman" w:cs="Times New Roman"/>
                      <w:b/>
                      <w:bCs/>
                      <w:kern w:val="0"/>
                      <w:sz w:val="21"/>
                    </w:rPr>
                  </w:pPr>
                  <w:r>
                    <w:rPr>
                      <w:rFonts w:ascii="Times New Roman" w:hAnsi="Times New Roman" w:cs="Times New Roman"/>
                      <w:b/>
                      <w:bCs/>
                      <w:kern w:val="0"/>
                      <w:sz w:val="21"/>
                      <w:lang w:bidi="ar"/>
                    </w:rPr>
                    <w:t>以柴油为燃料（g/L）</w:t>
                  </w:r>
                </w:p>
              </w:tc>
            </w:tr>
            <w:tr>
              <w:tblPrEx>
                <w:tblW w:w="0" w:type="auto"/>
                <w:jc w:val="center"/>
                <w:tblLayout w:type="fixed"/>
                <w:tblCellMar>
                  <w:top w:w="0" w:type="dxa"/>
                  <w:left w:w="108" w:type="dxa"/>
                  <w:bottom w:w="0" w:type="dxa"/>
                  <w:right w:w="108" w:type="dxa"/>
                </w:tblCellMar>
              </w:tblPrEx>
              <w:trPr>
                <w:trHeight w:val="255"/>
                <w:jc w:val="center"/>
              </w:trPr>
              <w:tc>
                <w:tcPr>
                  <w:tcW w:w="2389" w:type="dxa"/>
                  <w:vMerge/>
                  <w:noWrap w:val="0"/>
                  <w:vAlign w:val="center"/>
                </w:tcPr>
                <w:p>
                  <w:pPr>
                    <w:snapToGrid/>
                    <w:spacing w:line="240" w:lineRule="auto"/>
                    <w:ind w:firstLine="0" w:firstLineChars="0"/>
                    <w:jc w:val="center"/>
                    <w:rPr>
                      <w:rFonts w:ascii="Times New Roman" w:hAnsi="Times New Roman" w:cs="Times New Roman"/>
                      <w:b/>
                      <w:bCs/>
                      <w:sz w:val="21"/>
                    </w:rPr>
                  </w:pPr>
                </w:p>
              </w:tc>
              <w:tc>
                <w:tcPr>
                  <w:tcW w:w="3265"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b/>
                      <w:bCs/>
                      <w:kern w:val="0"/>
                      <w:sz w:val="21"/>
                    </w:rPr>
                  </w:pPr>
                  <w:r>
                    <w:rPr>
                      <w:rFonts w:ascii="Times New Roman" w:hAnsi="Times New Roman" w:cs="Times New Roman"/>
                      <w:b/>
                      <w:bCs/>
                      <w:kern w:val="0"/>
                      <w:sz w:val="21"/>
                      <w:lang w:bidi="ar"/>
                    </w:rPr>
                    <w:t>载重车</w:t>
                  </w:r>
                </w:p>
              </w:tc>
              <w:tc>
                <w:tcPr>
                  <w:tcW w:w="3266"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b/>
                      <w:bCs/>
                      <w:kern w:val="0"/>
                      <w:sz w:val="21"/>
                    </w:rPr>
                  </w:pPr>
                  <w:r>
                    <w:rPr>
                      <w:rFonts w:ascii="Times New Roman" w:hAnsi="Times New Roman" w:cs="Times New Roman"/>
                      <w:b/>
                      <w:bCs/>
                      <w:kern w:val="0"/>
                      <w:sz w:val="21"/>
                      <w:lang w:bidi="ar"/>
                    </w:rPr>
                    <w:t>机车</w:t>
                  </w:r>
                </w:p>
              </w:tc>
            </w:tr>
            <w:tr>
              <w:tblPrEx>
                <w:tblW w:w="0" w:type="auto"/>
                <w:jc w:val="center"/>
                <w:tblLayout w:type="fixed"/>
                <w:tblCellMar>
                  <w:top w:w="0" w:type="dxa"/>
                  <w:left w:w="108" w:type="dxa"/>
                  <w:bottom w:w="0" w:type="dxa"/>
                  <w:right w:w="108" w:type="dxa"/>
                </w:tblCellMar>
              </w:tblPrEx>
              <w:trPr>
                <w:trHeight w:val="250"/>
                <w:jc w:val="center"/>
              </w:trPr>
              <w:tc>
                <w:tcPr>
                  <w:tcW w:w="2389"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sz w:val="21"/>
                      <w:lang w:bidi="ar"/>
                    </w:rPr>
                    <w:t>CO</w:t>
                  </w:r>
                </w:p>
              </w:tc>
              <w:tc>
                <w:tcPr>
                  <w:tcW w:w="3265"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27.0</w:t>
                  </w:r>
                </w:p>
              </w:tc>
              <w:tc>
                <w:tcPr>
                  <w:tcW w:w="3266"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8.4</w:t>
                  </w:r>
                </w:p>
              </w:tc>
            </w:tr>
            <w:tr>
              <w:tblPrEx>
                <w:tblW w:w="0" w:type="auto"/>
                <w:jc w:val="center"/>
                <w:tblLayout w:type="fixed"/>
                <w:tblCellMar>
                  <w:top w:w="0" w:type="dxa"/>
                  <w:left w:w="108" w:type="dxa"/>
                  <w:bottom w:w="0" w:type="dxa"/>
                  <w:right w:w="108" w:type="dxa"/>
                </w:tblCellMar>
              </w:tblPrEx>
              <w:trPr>
                <w:trHeight w:val="250"/>
                <w:jc w:val="center"/>
              </w:trPr>
              <w:tc>
                <w:tcPr>
                  <w:tcW w:w="2389"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sz w:val="21"/>
                      <w:lang w:bidi="ar"/>
                    </w:rPr>
                    <w:t>NO</w:t>
                  </w:r>
                  <w:r>
                    <w:rPr>
                      <w:rFonts w:ascii="Times New Roman" w:hAnsi="Times New Roman" w:cs="Times New Roman"/>
                      <w:sz w:val="21"/>
                      <w:vertAlign w:val="subscript"/>
                      <w:lang w:bidi="ar"/>
                    </w:rPr>
                    <w:t>2</w:t>
                  </w:r>
                </w:p>
              </w:tc>
              <w:tc>
                <w:tcPr>
                  <w:tcW w:w="3265"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44.4</w:t>
                  </w:r>
                </w:p>
              </w:tc>
              <w:tc>
                <w:tcPr>
                  <w:tcW w:w="3266"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9.0</w:t>
                  </w:r>
                </w:p>
              </w:tc>
            </w:tr>
            <w:tr>
              <w:tblPrEx>
                <w:tblW w:w="0" w:type="auto"/>
                <w:jc w:val="center"/>
                <w:tblLayout w:type="fixed"/>
                <w:tblCellMar>
                  <w:top w:w="0" w:type="dxa"/>
                  <w:left w:w="108" w:type="dxa"/>
                  <w:bottom w:w="0" w:type="dxa"/>
                  <w:right w:w="108" w:type="dxa"/>
                </w:tblCellMar>
              </w:tblPrEx>
              <w:trPr>
                <w:trHeight w:val="290"/>
                <w:jc w:val="center"/>
              </w:trPr>
              <w:tc>
                <w:tcPr>
                  <w:tcW w:w="2389"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烃类</w:t>
                  </w:r>
                </w:p>
              </w:tc>
              <w:tc>
                <w:tcPr>
                  <w:tcW w:w="3265"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4.44</w:t>
                  </w:r>
                </w:p>
              </w:tc>
              <w:tc>
                <w:tcPr>
                  <w:tcW w:w="3266" w:type="dxa"/>
                  <w:noWrap w:val="0"/>
                  <w:vAlign w:val="center"/>
                </w:tcPr>
                <w:p>
                  <w:pPr>
                    <w:autoSpaceDE w:val="0"/>
                    <w:autoSpaceDN w:val="0"/>
                    <w:adjustRightInd w:val="0"/>
                    <w:snapToGrid/>
                    <w:spacing w:line="240" w:lineRule="auto"/>
                    <w:ind w:firstLine="0" w:firstLineChars="0"/>
                    <w:jc w:val="center"/>
                    <w:rPr>
                      <w:rFonts w:ascii="Times New Roman" w:hAnsi="Times New Roman" w:cs="Times New Roman"/>
                      <w:kern w:val="0"/>
                      <w:sz w:val="21"/>
                    </w:rPr>
                  </w:pPr>
                  <w:r>
                    <w:rPr>
                      <w:rFonts w:ascii="Times New Roman" w:hAnsi="Times New Roman" w:cs="Times New Roman"/>
                      <w:kern w:val="0"/>
                      <w:sz w:val="21"/>
                      <w:lang w:bidi="ar"/>
                    </w:rPr>
                    <w:t>6.0</w:t>
                  </w:r>
                </w:p>
              </w:tc>
            </w:tr>
          </w:tbl>
          <w:p>
            <w:pPr>
              <w:tabs>
                <w:tab w:val="left" w:pos="6120"/>
                <w:tab w:val="left" w:pos="6840"/>
              </w:tabs>
              <w:ind w:firstLine="481"/>
              <w:rPr>
                <w:rFonts w:ascii="Times New Roman" w:hAnsi="Times New Roman" w:cs="Times New Roman"/>
                <w:lang w:bidi="ar"/>
              </w:rPr>
            </w:pPr>
            <w:r>
              <w:rPr>
                <w:rFonts w:ascii="Times New Roman" w:hAnsi="Times New Roman" w:cs="Times New Roman"/>
                <w:lang w:bidi="ar"/>
              </w:rPr>
              <w:t>以中型载重车为例，其额定燃油为30.19L/10km，按表</w:t>
            </w:r>
            <w:r>
              <w:rPr>
                <w:rFonts w:ascii="Times New Roman" w:hAnsi="Times New Roman" w:cs="Times New Roman" w:hint="eastAsia"/>
                <w:lang w:bidi="ar"/>
              </w:rPr>
              <w:t>19</w:t>
            </w:r>
            <w:r>
              <w:rPr>
                <w:rFonts w:ascii="Times New Roman" w:hAnsi="Times New Roman" w:cs="Times New Roman"/>
                <w:lang w:bidi="ar"/>
              </w:rPr>
              <w:t>机动车辆污染物排放系数测算，单车污染物平均排放量分别为CO：815.13g/100km，NO</w:t>
            </w:r>
            <w:r>
              <w:rPr>
                <w:rFonts w:ascii="Times New Roman" w:hAnsi="Times New Roman" w:cs="Times New Roman"/>
                <w:vertAlign w:val="subscript"/>
                <w:lang w:bidi="ar"/>
              </w:rPr>
              <w:t>2</w:t>
            </w:r>
            <w:r>
              <w:rPr>
                <w:rFonts w:ascii="Times New Roman" w:hAnsi="Times New Roman" w:cs="Times New Roman"/>
                <w:lang w:bidi="ar"/>
              </w:rPr>
              <w:t>：1340.44g/100km，烃类物：134.0g/100km。</w:t>
            </w:r>
          </w:p>
          <w:p>
            <w:pPr>
              <w:tabs>
                <w:tab w:val="left" w:pos="6120"/>
                <w:tab w:val="left" w:pos="6840"/>
              </w:tabs>
              <w:ind w:firstLine="483"/>
              <w:rPr>
                <w:rFonts w:ascii="Times New Roman" w:hAnsi="Times New Roman" w:cs="Times New Roman"/>
                <w:b/>
                <w:bCs/>
                <w:lang w:bidi="ar"/>
              </w:rPr>
            </w:pPr>
            <w:r>
              <w:rPr>
                <w:rFonts w:ascii="Times New Roman" w:hAnsi="Times New Roman" w:cs="Times New Roman"/>
                <w:b/>
                <w:bCs/>
                <w:lang w:bidi="ar"/>
              </w:rPr>
              <w:t>（4）沥青烟气</w:t>
            </w:r>
          </w:p>
        </w:tc>
      </w:tr>
    </w:tbl>
    <w:p>
      <w:pPr>
        <w:sectPr>
          <w:headerReference w:type="default" r:id="rId79"/>
          <w:footerReference w:type="even" r:id="rId80"/>
          <w:footerReference w:type="default" r:id="rId81"/>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3"/>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481"/>
              <w:rPr>
                <w:rFonts w:ascii="Times New Roman" w:hAnsi="Times New Roman" w:cs="Times New Roman"/>
              </w:rPr>
            </w:pPr>
            <w:r>
              <w:rPr>
                <w:rFonts w:ascii="Times New Roman" w:hAnsi="Times New Roman" w:cs="Times New Roman"/>
              </w:rPr>
              <w:t>沥青烟气主要来源于路面施工阶段的沥青的摊铺过程，主要产生以TFC、TSP 和BaP 为主的污染物。不同的沥青拌和设备，所产生的烟气对环境的影响不一样。根据其他公路沥青拌和站的沥青烟监测结果，一般沥青拌和设备产生的沥青烟排放浓度范围在12.5-17.0mg/m</w:t>
            </w:r>
            <w:r>
              <w:rPr>
                <w:rFonts w:ascii="Times New Roman" w:hAnsi="Times New Roman" w:cs="Times New Roman"/>
                <w:vertAlign w:val="superscript"/>
              </w:rPr>
              <w:t>3</w:t>
            </w:r>
            <w:r>
              <w:rPr>
                <w:rFonts w:ascii="Times New Roman" w:hAnsi="Times New Roman" w:cs="Times New Roman"/>
              </w:rPr>
              <w:t>。在下风向30m处达0.05mg/Nm</w:t>
            </w:r>
            <w:r>
              <w:rPr>
                <w:rFonts w:ascii="Times New Roman" w:hAnsi="Times New Roman" w:cs="Times New Roman"/>
                <w:vertAlign w:val="superscript"/>
              </w:rPr>
              <w:t>3</w:t>
            </w:r>
            <w:r>
              <w:rPr>
                <w:rFonts w:ascii="Times New Roman" w:hAnsi="Times New Roman" w:cs="Times New Roman"/>
              </w:rPr>
              <w:t>。</w:t>
            </w:r>
          </w:p>
          <w:p>
            <w:pPr>
              <w:ind w:firstLine="483"/>
              <w:rPr>
                <w:rFonts w:ascii="Times New Roman" w:hAnsi="Times New Roman" w:cs="Times New Roman"/>
                <w:b/>
              </w:rPr>
            </w:pPr>
            <w:r>
              <w:rPr>
                <w:rFonts w:ascii="Times New Roman" w:hAnsi="Times New Roman" w:cs="Times New Roman"/>
                <w:b/>
              </w:rPr>
              <w:t>3、施工期噪声污染源分析</w:t>
            </w:r>
          </w:p>
          <w:p>
            <w:pPr>
              <w:ind w:firstLine="481"/>
              <w:rPr>
                <w:rFonts w:ascii="Times New Roman" w:hAnsi="Times New Roman" w:cs="Times New Roman"/>
              </w:rPr>
            </w:pPr>
            <w:r>
              <w:rPr>
                <w:rFonts w:ascii="Times New Roman" w:hAnsi="Times New Roman" w:cs="Times New Roman" w:hint="eastAsia"/>
                <w:lang w:val="en-US" w:eastAsia="zh-CN"/>
              </w:rPr>
              <w:t>项目施工期噪声主要来源于</w:t>
            </w:r>
            <w:r>
              <w:rPr>
                <w:rFonts w:ascii="Times New Roman" w:hAnsi="Times New Roman" w:cs="Times New Roman"/>
              </w:rPr>
              <w:t>各类机械的辐射噪声和运输材料车辆的交通噪声，噪声声级为90～120dB(A)。</w:t>
            </w:r>
          </w:p>
          <w:p>
            <w:pPr>
              <w:ind w:firstLine="481"/>
              <w:rPr>
                <w:rFonts w:ascii="Times New Roman" w:hAnsi="Times New Roman" w:cs="Times New Roman"/>
              </w:rPr>
            </w:pPr>
            <w:r>
              <w:rPr>
                <w:rFonts w:ascii="Times New Roman" w:hAnsi="Times New Roman" w:cs="Times New Roman"/>
              </w:rPr>
              <w:t>施工机械都具有高噪声、无规则等特点，施工时如不加以控制，对周围环境会造成不良影响。常用机械作业时噪声A声级范围列于表</w:t>
            </w:r>
            <w:r>
              <w:rPr>
                <w:rFonts w:ascii="Times New Roman" w:hAnsi="Times New Roman" w:cs="Times New Roman" w:hint="eastAsia"/>
              </w:rPr>
              <w:t>20</w:t>
            </w:r>
            <w:r>
              <w:rPr>
                <w:rFonts w:ascii="Times New Roman" w:hAnsi="Times New Roman" w:cs="Times New Roman"/>
              </w:rPr>
              <w:t>。</w:t>
            </w:r>
          </w:p>
          <w:p>
            <w:pPr>
              <w:pStyle w:val="3"/>
              <w:tabs>
                <w:tab w:val="left" w:pos="360"/>
              </w:tabs>
              <w:spacing w:before="0" w:beforeAutospacing="0" w:after="0" w:afterAutospacing="0" w:line="240" w:lineRule="auto"/>
              <w:ind w:firstLine="463"/>
              <w:jc w:val="center"/>
              <w:rPr>
                <w:rFonts w:ascii="Times New Roman" w:eastAsia="宋体" w:hAnsi="Times New Roman" w:cs="Times New Roman"/>
                <w:kern w:val="2"/>
              </w:rPr>
            </w:pPr>
            <w:r>
              <w:rPr>
                <w:rFonts w:ascii="Times New Roman" w:eastAsia="宋体" w:hAnsi="Times New Roman" w:cs="Times New Roman"/>
                <w:kern w:val="2"/>
              </w:rPr>
              <w:t xml:space="preserve">                 表</w:t>
            </w:r>
            <w:r>
              <w:rPr>
                <w:rFonts w:ascii="Times New Roman" w:eastAsia="宋体" w:hAnsi="Times New Roman" w:cs="Times New Roman" w:hint="eastAsia"/>
                <w:kern w:val="2"/>
              </w:rPr>
              <w:t>20</w:t>
            </w:r>
            <w:r>
              <w:rPr>
                <w:rFonts w:ascii="Times New Roman" w:eastAsia="宋体" w:hAnsi="Times New Roman" w:cs="Times New Roman"/>
                <w:kern w:val="2"/>
              </w:rPr>
              <w:t xml:space="preserve">  各种机械设备的噪声值            单位：dB（A）</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13"/>
              <w:gridCol w:w="2177"/>
              <w:gridCol w:w="2098"/>
              <w:gridCol w:w="1813"/>
              <w:gridCol w:w="2170"/>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序号</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机械类型</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声源特点</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测点位置（m）</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噪声值（dBA）</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1</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铲土机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90</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2</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平地机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90</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3</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压路机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86</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4</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振捣器</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固定稳态源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86</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推土机</w:t>
                  </w:r>
                </w:p>
              </w:tc>
              <w:tc>
                <w:tcPr>
                  <w:tcW w:w="2098" w:type="dxa"/>
                  <w:noWrap w:val="0"/>
                  <w:vAlign w:val="center"/>
                </w:tcPr>
                <w:p>
                  <w:pPr>
                    <w:pStyle w:val="NormalIndent"/>
                    <w:tabs>
                      <w:tab w:val="left" w:pos="436"/>
                      <w:tab w:val="center" w:pos="1137"/>
                    </w:tabs>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86</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6</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挖掘机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87</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7</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卷扬机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固定稳态源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89</w:t>
                  </w:r>
                </w:p>
              </w:tc>
            </w:tr>
            <w:tr>
              <w:tblPrEx>
                <w:tblW w:w="0" w:type="auto"/>
                <w:jc w:val="center"/>
                <w:tblLayout w:type="fixed"/>
                <w:tblCellMar>
                  <w:top w:w="0" w:type="dxa"/>
                  <w:left w:w="108" w:type="dxa"/>
                  <w:bottom w:w="0" w:type="dxa"/>
                  <w:right w:w="108" w:type="dxa"/>
                </w:tblCellMar>
              </w:tblPrEx>
              <w:trPr>
                <w:trHeight w:hRule="exact" w:val="34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载重汽车</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85</w:t>
                  </w:r>
                </w:p>
              </w:tc>
            </w:tr>
            <w:tr>
              <w:tblPrEx>
                <w:tblW w:w="0" w:type="auto"/>
                <w:jc w:val="center"/>
                <w:tblLayout w:type="fixed"/>
                <w:tblCellMar>
                  <w:top w:w="0" w:type="dxa"/>
                  <w:left w:w="108" w:type="dxa"/>
                  <w:bottom w:w="0" w:type="dxa"/>
                  <w:right w:w="108" w:type="dxa"/>
                </w:tblCellMar>
              </w:tblPrEx>
              <w:trPr>
                <w:trHeight w:hRule="exact" w:val="355"/>
                <w:jc w:val="center"/>
              </w:trPr>
              <w:tc>
                <w:tcPr>
                  <w:tcW w:w="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9</w:t>
                  </w:r>
                </w:p>
              </w:tc>
              <w:tc>
                <w:tcPr>
                  <w:tcW w:w="2177"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装载机</w:t>
                  </w:r>
                </w:p>
              </w:tc>
              <w:tc>
                <w:tcPr>
                  <w:tcW w:w="2098"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流动不稳态源</w:t>
                  </w:r>
                </w:p>
              </w:tc>
              <w:tc>
                <w:tcPr>
                  <w:tcW w:w="1813"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5</w:t>
                  </w:r>
                </w:p>
              </w:tc>
              <w:tc>
                <w:tcPr>
                  <w:tcW w:w="2170" w:type="dxa"/>
                  <w:noWrap w:val="0"/>
                  <w:vAlign w:val="center"/>
                </w:tcPr>
                <w:p>
                  <w:pPr>
                    <w:pStyle w:val="NormalIndent"/>
                    <w:snapToGrid/>
                    <w:spacing w:line="240" w:lineRule="auto"/>
                    <w:ind w:firstLine="0" w:firstLineChars="0"/>
                    <w:jc w:val="center"/>
                    <w:rPr>
                      <w:rFonts w:ascii="Times New Roman" w:hAnsi="Times New Roman" w:cs="Times New Roman"/>
                      <w:sz w:val="21"/>
                    </w:rPr>
                  </w:pPr>
                  <w:r>
                    <w:rPr>
                      <w:rFonts w:ascii="Times New Roman" w:hAnsi="Times New Roman" w:cs="Times New Roman"/>
                      <w:sz w:val="21"/>
                    </w:rPr>
                    <w:t>87</w:t>
                  </w:r>
                </w:p>
              </w:tc>
            </w:tr>
          </w:tbl>
          <w:p>
            <w:pPr>
              <w:adjustRightInd w:val="0"/>
              <w:ind w:firstLine="483"/>
              <w:rPr>
                <w:rFonts w:ascii="Times New Roman" w:hAnsi="Times New Roman" w:cs="Times New Roman"/>
                <w:b/>
                <w:bCs/>
              </w:rPr>
            </w:pPr>
            <w:r>
              <w:rPr>
                <w:rFonts w:ascii="Times New Roman" w:hAnsi="Times New Roman" w:cs="Times New Roman"/>
                <w:b/>
                <w:bCs/>
              </w:rPr>
              <w:t>4、施工期固体废弃物污染源</w:t>
            </w:r>
          </w:p>
          <w:p>
            <w:pPr>
              <w:adjustRightInd w:val="0"/>
              <w:ind w:firstLine="481"/>
              <w:rPr>
                <w:rFonts w:ascii="Times New Roman" w:hAnsi="Times New Roman" w:cs="Times New Roman" w:hint="default"/>
                <w:kern w:val="24"/>
                <w:lang w:bidi="ar"/>
              </w:rPr>
            </w:pPr>
            <w:r>
              <w:rPr>
                <w:rFonts w:ascii="Times New Roman" w:hAnsi="Times New Roman" w:cs="Times New Roman" w:hint="eastAsia"/>
                <w:kern w:val="24"/>
                <w:lang w:val="en-US" w:eastAsia="zh-CN" w:bidi="ar"/>
              </w:rPr>
              <w:t>项目施工期产生的固废主要来源于施工人员生活垃圾、施工建筑垃圾、工程开挖清表土及废弃土石方。</w:t>
            </w:r>
          </w:p>
          <w:p>
            <w:pPr>
              <w:adjustRightInd w:val="0"/>
              <w:ind w:firstLine="470" w:firstLineChars="196"/>
              <w:rPr>
                <w:rFonts w:ascii="Times New Roman" w:hAnsi="Times New Roman" w:cs="Times New Roman"/>
                <w:b/>
                <w:bCs/>
              </w:rPr>
            </w:pPr>
            <w:r>
              <w:rPr>
                <w:rFonts w:ascii="Times New Roman" w:hAnsi="Times New Roman" w:cs="Times New Roman"/>
                <w:b/>
                <w:bCs/>
              </w:rPr>
              <w:t>（1）生活垃圾</w:t>
            </w:r>
          </w:p>
          <w:p>
            <w:pPr>
              <w:adjustRightInd w:val="0"/>
              <w:ind w:firstLine="481"/>
              <w:rPr>
                <w:rFonts w:ascii="Times New Roman" w:hAnsi="Times New Roman" w:cs="Times New Roman"/>
                <w:b/>
                <w:bCs/>
              </w:rPr>
            </w:pPr>
            <w:r>
              <w:rPr>
                <w:rFonts w:ascii="Times New Roman" w:hAnsi="Times New Roman" w:cs="Times New Roman"/>
              </w:rPr>
              <w:t>施工人员</w:t>
            </w:r>
            <w:r>
              <w:rPr>
                <w:rFonts w:ascii="Times New Roman" w:hAnsi="Times New Roman" w:cs="Times New Roman" w:hint="eastAsia"/>
                <w:lang w:val="en-US" w:eastAsia="zh-CN"/>
              </w:rPr>
              <w:t>投放于沿线垃圾桶内，</w:t>
            </w:r>
            <w:r>
              <w:rPr>
                <w:rFonts w:ascii="Times New Roman" w:hAnsi="Times New Roman" w:cs="Times New Roman"/>
              </w:rPr>
              <w:t>由环卫部门</w:t>
            </w:r>
            <w:r>
              <w:rPr>
                <w:rFonts w:ascii="Times New Roman" w:hAnsi="Times New Roman" w:cs="Times New Roman" w:hint="eastAsia"/>
                <w:lang w:val="en-US" w:eastAsia="zh-CN"/>
              </w:rPr>
              <w:t>统一清运</w:t>
            </w:r>
            <w:r>
              <w:rPr>
                <w:rFonts w:ascii="Times New Roman" w:hAnsi="Times New Roman" w:cs="Times New Roman"/>
              </w:rPr>
              <w:t>处理。</w:t>
            </w:r>
          </w:p>
          <w:p>
            <w:pPr>
              <w:adjustRightInd w:val="0"/>
              <w:ind w:firstLine="483"/>
              <w:rPr>
                <w:rFonts w:ascii="Times New Roman" w:hAnsi="Times New Roman" w:cs="Times New Roman"/>
                <w:b/>
                <w:bCs/>
                <w:lang w:bidi="ar"/>
              </w:rPr>
            </w:pPr>
            <w:r>
              <w:rPr>
                <w:rFonts w:ascii="Times New Roman" w:hAnsi="Times New Roman" w:cs="Times New Roman"/>
                <w:b/>
                <w:bCs/>
              </w:rPr>
              <w:t>（2）建筑垃圾</w:t>
            </w:r>
          </w:p>
          <w:p>
            <w:pPr>
              <w:adjustRightInd w:val="0"/>
              <w:ind w:firstLine="481"/>
              <w:rPr>
                <w:rFonts w:ascii="Times New Roman" w:hAnsi="Times New Roman" w:cs="Times New Roman"/>
                <w:i/>
                <w:iCs/>
              </w:rPr>
            </w:pPr>
            <w:r>
              <w:rPr>
                <w:rFonts w:ascii="Times New Roman" w:hAnsi="Times New Roman" w:cs="Times New Roman"/>
              </w:rPr>
              <w:t>本项目建设过程中将有一定量的废弃材料和建筑垃圾，通过类比同类型施工场地，道路工程每建设1m将产生10kg建筑垃圾，道路总长483m，则预计施工期产生的建筑垃圾为4.83t。</w:t>
            </w:r>
          </w:p>
          <w:p>
            <w:pPr>
              <w:adjustRightInd w:val="0"/>
              <w:ind w:firstLine="483"/>
              <w:rPr>
                <w:rFonts w:ascii="Times New Roman" w:hAnsi="Times New Roman" w:cs="Times New Roman"/>
                <w:b/>
                <w:bCs/>
              </w:rPr>
            </w:pPr>
            <w:r>
              <w:rPr>
                <w:rFonts w:ascii="Times New Roman" w:hAnsi="Times New Roman" w:cs="Times New Roman"/>
                <w:b/>
                <w:bCs/>
              </w:rPr>
              <w:t>（3）土石方</w:t>
            </w:r>
          </w:p>
          <w:p>
            <w:pPr>
              <w:adjustRightInd w:val="0"/>
              <w:ind w:firstLine="481"/>
              <w:rPr>
                <w:rFonts w:ascii="Times New Roman" w:hAnsi="Times New Roman" w:cs="Times New Roman"/>
                <w:b/>
                <w:bCs/>
              </w:rPr>
            </w:pPr>
            <w:r>
              <w:rPr>
                <w:rFonts w:ascii="Times New Roman" w:hAnsi="Times New Roman" w:cs="Times New Roman"/>
                <w:lang w:bidi="ar"/>
              </w:rPr>
              <w:t>新建道路建设场地整体起伏不大，地形较为平顺，根据《三亚市育春路西侧市政道路A段工程初步设计方案》提供土方量，新建道路沿线路基工程土石方挖方量为4200.984m</w:t>
            </w:r>
            <w:r>
              <w:rPr>
                <w:rFonts w:ascii="Times New Roman" w:hAnsi="Times New Roman" w:cs="Times New Roman"/>
                <w:vertAlign w:val="superscript"/>
                <w:lang w:bidi="ar"/>
              </w:rPr>
              <w:t>3</w:t>
            </w:r>
            <w:r>
              <w:rPr>
                <w:rFonts w:ascii="Times New Roman" w:hAnsi="Times New Roman" w:cs="Times New Roman"/>
                <w:lang w:bidi="ar"/>
              </w:rPr>
              <w:t>，总填方量为796.826m</w:t>
            </w:r>
            <w:r>
              <w:rPr>
                <w:rFonts w:ascii="Times New Roman" w:hAnsi="Times New Roman" w:cs="Times New Roman"/>
                <w:vertAlign w:val="superscript"/>
                <w:lang w:bidi="ar"/>
              </w:rPr>
              <w:t>3</w:t>
            </w:r>
            <w:r>
              <w:rPr>
                <w:rFonts w:ascii="Times New Roman" w:hAnsi="Times New Roman" w:cs="Times New Roman"/>
                <w:lang w:bidi="ar"/>
              </w:rPr>
              <w:t>，弃方量为4200.984m</w:t>
            </w:r>
            <w:r>
              <w:rPr>
                <w:rFonts w:ascii="Times New Roman" w:hAnsi="Times New Roman" w:cs="Times New Roman"/>
                <w:vertAlign w:val="superscript"/>
                <w:lang w:bidi="ar"/>
              </w:rPr>
              <w:t>3</w:t>
            </w:r>
            <w:r>
              <w:rPr>
                <w:rFonts w:ascii="Times New Roman" w:hAnsi="Times New Roman" w:cs="Times New Roman"/>
                <w:lang w:bidi="ar"/>
              </w:rPr>
              <w:t>，需外借土方796.826m</w:t>
            </w:r>
            <w:r>
              <w:rPr>
                <w:rFonts w:ascii="Times New Roman" w:hAnsi="Times New Roman" w:cs="Times New Roman"/>
                <w:vertAlign w:val="superscript"/>
                <w:lang w:bidi="ar"/>
              </w:rPr>
              <w:t>3</w:t>
            </w:r>
            <w:r>
              <w:rPr>
                <w:rFonts w:ascii="Times New Roman" w:hAnsi="Times New Roman" w:cs="Times New Roman"/>
                <w:lang w:bidi="ar"/>
              </w:rPr>
              <w:t>。新建道路土石方平衡及流向表见表2</w:t>
            </w:r>
            <w:r>
              <w:rPr>
                <w:rFonts w:ascii="Times New Roman" w:hAnsi="Times New Roman" w:cs="Times New Roman" w:hint="eastAsia"/>
                <w:lang w:bidi="ar"/>
              </w:rPr>
              <w:t>1</w:t>
            </w:r>
            <w:r>
              <w:rPr>
                <w:rFonts w:ascii="Times New Roman" w:hAnsi="Times New Roman" w:cs="Times New Roman"/>
                <w:lang w:bidi="ar"/>
              </w:rPr>
              <w:t>，土石方平衡及流向框图详见图</w:t>
            </w:r>
            <w:r>
              <w:rPr>
                <w:rFonts w:ascii="Times New Roman" w:hAnsi="Times New Roman" w:cs="Times New Roman" w:hint="eastAsia"/>
                <w:lang w:bidi="ar"/>
              </w:rPr>
              <w:t>7</w:t>
            </w:r>
            <w:r>
              <w:rPr>
                <w:rFonts w:ascii="Times New Roman" w:hAnsi="Times New Roman" w:cs="Times New Roman"/>
                <w:lang w:bidi="ar"/>
              </w:rPr>
              <w:t>。</w:t>
            </w:r>
          </w:p>
        </w:tc>
      </w:tr>
    </w:tbl>
    <w:p>
      <w:pPr>
        <w:sectPr>
          <w:headerReference w:type="default" r:id="rId82"/>
          <w:footerReference w:type="even" r:id="rId83"/>
          <w:footerReference w:type="default" r:id="rId84"/>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4"/>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spacing w:line="240" w:lineRule="auto"/>
              <w:ind w:firstLine="0" w:firstLineChars="0"/>
              <w:jc w:val="center"/>
              <w:rPr>
                <w:rFonts w:ascii="Times New Roman" w:hAnsi="Times New Roman" w:cs="Times New Roman"/>
                <w:b/>
                <w:bCs/>
              </w:rPr>
            </w:pPr>
          </w:p>
          <w:p>
            <w:pPr>
              <w:spacing w:line="240" w:lineRule="auto"/>
              <w:ind w:firstLine="0" w:firstLineChars="0"/>
              <w:jc w:val="center"/>
              <w:rPr>
                <w:rFonts w:ascii="Times New Roman" w:hAnsi="Times New Roman" w:cs="Times New Roman"/>
                <w:b/>
                <w:bCs/>
              </w:rPr>
            </w:pPr>
            <w:r>
              <w:rPr>
                <w:rFonts w:ascii="Times New Roman" w:hAnsi="Times New Roman" w:cs="Times New Roman"/>
                <w:b/>
                <w:bCs/>
              </w:rPr>
              <w:t xml:space="preserve">                      表2</w:t>
            </w:r>
            <w:r>
              <w:rPr>
                <w:rFonts w:ascii="Times New Roman" w:hAnsi="Times New Roman" w:cs="Times New Roman" w:hint="eastAsia"/>
                <w:b/>
                <w:bCs/>
              </w:rPr>
              <w:t>1</w:t>
            </w:r>
            <w:r>
              <w:rPr>
                <w:rFonts w:ascii="Times New Roman" w:hAnsi="Times New Roman" w:cs="Times New Roman"/>
                <w:b/>
                <w:bCs/>
              </w:rPr>
              <w:t xml:space="preserve">  项目土石方平衡表              单位：m</w:t>
            </w:r>
            <w:r>
              <w:rPr>
                <w:rFonts w:ascii="Times New Roman" w:hAnsi="Times New Roman" w:cs="Times New Roman"/>
                <w:b/>
                <w:bCs/>
                <w:vertAlign w:val="superscript"/>
              </w:rPr>
              <w:t>3</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2147"/>
              <w:gridCol w:w="2272"/>
              <w:gridCol w:w="2416"/>
              <w:gridCol w:w="2236"/>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262"/>
                <w:jc w:val="center"/>
              </w:trPr>
              <w:tc>
                <w:tcPr>
                  <w:tcW w:w="2147" w:type="dxa"/>
                  <w:noWrap w:val="0"/>
                  <w:vAlign w:val="center"/>
                </w:tcPr>
                <w:p>
                  <w:pPr>
                    <w:pStyle w:val="1"/>
                    <w:ind w:firstLine="422"/>
                    <w:jc w:val="both"/>
                    <w:rPr>
                      <w:rFonts w:ascii="Times New Roman" w:hAnsi="Times New Roman" w:cs="Times New Roman"/>
                      <w:sz w:val="21"/>
                      <w:szCs w:val="21"/>
                    </w:rPr>
                  </w:pPr>
                  <w:r>
                    <w:rPr>
                      <w:rFonts w:ascii="Times New Roman" w:hAnsi="Times New Roman" w:cs="Times New Roman"/>
                      <w:sz w:val="21"/>
                      <w:szCs w:val="21"/>
                    </w:rPr>
                    <w:t>土石方挖方</w:t>
                  </w:r>
                </w:p>
              </w:tc>
              <w:tc>
                <w:tcPr>
                  <w:tcW w:w="2272" w:type="dxa"/>
                  <w:noWrap w:val="0"/>
                  <w:vAlign w:val="center"/>
                </w:tcPr>
                <w:p>
                  <w:pPr>
                    <w:pStyle w:val="1"/>
                    <w:ind w:firstLine="422"/>
                    <w:jc w:val="both"/>
                    <w:rPr>
                      <w:rFonts w:ascii="Times New Roman" w:hAnsi="Times New Roman" w:cs="Times New Roman"/>
                      <w:sz w:val="21"/>
                      <w:szCs w:val="21"/>
                    </w:rPr>
                  </w:pPr>
                  <w:r>
                    <w:rPr>
                      <w:rFonts w:ascii="Times New Roman" w:hAnsi="Times New Roman" w:cs="Times New Roman"/>
                      <w:sz w:val="21"/>
                      <w:szCs w:val="21"/>
                    </w:rPr>
                    <w:t>总回填量</w:t>
                  </w:r>
                </w:p>
              </w:tc>
              <w:tc>
                <w:tcPr>
                  <w:tcW w:w="2416" w:type="dxa"/>
                  <w:noWrap w:val="0"/>
                  <w:vAlign w:val="center"/>
                </w:tcPr>
                <w:p>
                  <w:pPr>
                    <w:pStyle w:val="1"/>
                    <w:ind w:firstLine="422"/>
                    <w:jc w:val="both"/>
                    <w:rPr>
                      <w:rFonts w:ascii="Times New Roman" w:hAnsi="Times New Roman" w:cs="Times New Roman"/>
                      <w:sz w:val="21"/>
                      <w:szCs w:val="21"/>
                    </w:rPr>
                  </w:pPr>
                  <w:r>
                    <w:rPr>
                      <w:rFonts w:ascii="Times New Roman" w:hAnsi="Times New Roman" w:cs="Times New Roman"/>
                      <w:sz w:val="21"/>
                      <w:szCs w:val="21"/>
                    </w:rPr>
                    <w:t>外借土方</w:t>
                  </w:r>
                </w:p>
              </w:tc>
              <w:tc>
                <w:tcPr>
                  <w:tcW w:w="2236" w:type="dxa"/>
                  <w:noWrap w:val="0"/>
                  <w:vAlign w:val="center"/>
                </w:tcPr>
                <w:p>
                  <w:pPr>
                    <w:pStyle w:val="1"/>
                    <w:ind w:firstLine="0" w:firstLineChars="0"/>
                    <w:jc w:val="both"/>
                    <w:rPr>
                      <w:rFonts w:ascii="Times New Roman" w:hAnsi="Times New Roman" w:cs="Times New Roman"/>
                      <w:sz w:val="21"/>
                      <w:szCs w:val="21"/>
                    </w:rPr>
                  </w:pPr>
                  <w:r>
                    <w:rPr>
                      <w:rFonts w:ascii="Times New Roman" w:hAnsi="Times New Roman" w:cs="Times New Roman"/>
                      <w:sz w:val="21"/>
                      <w:szCs w:val="21"/>
                    </w:rPr>
                    <w:t>废弃土石方量</w:t>
                  </w:r>
                </w:p>
              </w:tc>
            </w:tr>
            <w:tr>
              <w:tblPrEx>
                <w:tblW w:w="0" w:type="auto"/>
                <w:jc w:val="center"/>
                <w:tblLayout w:type="fixed"/>
                <w:tblCellMar>
                  <w:top w:w="0" w:type="dxa"/>
                  <w:left w:w="108" w:type="dxa"/>
                  <w:bottom w:w="0" w:type="dxa"/>
                  <w:right w:w="108" w:type="dxa"/>
                </w:tblCellMar>
              </w:tblPrEx>
              <w:trPr>
                <w:trHeight w:val="256"/>
                <w:jc w:val="center"/>
              </w:trPr>
              <w:tc>
                <w:tcPr>
                  <w:tcW w:w="2147" w:type="dxa"/>
                  <w:noWrap w:val="0"/>
                  <w:vAlign w:val="center"/>
                </w:tcPr>
                <w:p>
                  <w:pPr>
                    <w:pStyle w:val="1"/>
                    <w:ind w:firstLine="421"/>
                    <w:jc w:val="both"/>
                    <w:rPr>
                      <w:rFonts w:ascii="Times New Roman" w:hAnsi="Times New Roman" w:cs="Times New Roman"/>
                      <w:b w:val="0"/>
                      <w:bCs w:val="0"/>
                      <w:sz w:val="21"/>
                      <w:szCs w:val="21"/>
                    </w:rPr>
                  </w:pPr>
                  <w:r>
                    <w:rPr>
                      <w:rFonts w:ascii="Times New Roman" w:hAnsi="Times New Roman" w:cs="Times New Roman"/>
                      <w:b w:val="0"/>
                      <w:bCs w:val="0"/>
                      <w:sz w:val="21"/>
                      <w:szCs w:val="21"/>
                      <w:lang w:bidi="ar"/>
                    </w:rPr>
                    <w:t>4200.984</w:t>
                  </w:r>
                </w:p>
              </w:tc>
              <w:tc>
                <w:tcPr>
                  <w:tcW w:w="2272" w:type="dxa"/>
                  <w:noWrap w:val="0"/>
                  <w:vAlign w:val="center"/>
                </w:tcPr>
                <w:p>
                  <w:pPr>
                    <w:pStyle w:val="1"/>
                    <w:ind w:firstLine="421"/>
                    <w:jc w:val="both"/>
                    <w:rPr>
                      <w:rFonts w:ascii="Times New Roman" w:hAnsi="Times New Roman" w:cs="Times New Roman"/>
                      <w:b w:val="0"/>
                      <w:bCs w:val="0"/>
                      <w:sz w:val="21"/>
                      <w:szCs w:val="21"/>
                    </w:rPr>
                  </w:pPr>
                  <w:r>
                    <w:rPr>
                      <w:rFonts w:ascii="Times New Roman" w:hAnsi="Times New Roman" w:cs="Times New Roman"/>
                      <w:b w:val="0"/>
                      <w:bCs w:val="0"/>
                      <w:sz w:val="21"/>
                      <w:szCs w:val="21"/>
                      <w:lang w:bidi="ar"/>
                    </w:rPr>
                    <w:t>796.826</w:t>
                  </w:r>
                </w:p>
              </w:tc>
              <w:tc>
                <w:tcPr>
                  <w:tcW w:w="2416" w:type="dxa"/>
                  <w:noWrap w:val="0"/>
                  <w:vAlign w:val="center"/>
                </w:tcPr>
                <w:p>
                  <w:pPr>
                    <w:pStyle w:val="1"/>
                    <w:ind w:firstLine="421"/>
                    <w:jc w:val="both"/>
                    <w:rPr>
                      <w:rFonts w:ascii="Times New Roman" w:hAnsi="Times New Roman" w:cs="Times New Roman"/>
                      <w:b w:val="0"/>
                      <w:bCs w:val="0"/>
                      <w:sz w:val="21"/>
                      <w:szCs w:val="21"/>
                      <w:lang w:bidi="ar"/>
                    </w:rPr>
                  </w:pPr>
                  <w:r>
                    <w:rPr>
                      <w:rFonts w:ascii="Times New Roman" w:hAnsi="Times New Roman" w:cs="Times New Roman"/>
                      <w:b w:val="0"/>
                      <w:bCs w:val="0"/>
                      <w:sz w:val="21"/>
                      <w:szCs w:val="21"/>
                      <w:lang w:bidi="ar"/>
                    </w:rPr>
                    <w:t>796.826</w:t>
                  </w:r>
                </w:p>
              </w:tc>
              <w:tc>
                <w:tcPr>
                  <w:tcW w:w="2236" w:type="dxa"/>
                  <w:noWrap w:val="0"/>
                  <w:vAlign w:val="center"/>
                </w:tcPr>
                <w:p>
                  <w:pPr>
                    <w:pStyle w:val="1"/>
                    <w:ind w:firstLine="210" w:firstLineChars="100"/>
                    <w:jc w:val="both"/>
                    <w:rPr>
                      <w:rFonts w:ascii="Times New Roman" w:hAnsi="Times New Roman" w:cs="Times New Roman"/>
                      <w:b w:val="0"/>
                      <w:bCs w:val="0"/>
                      <w:sz w:val="21"/>
                      <w:szCs w:val="21"/>
                    </w:rPr>
                  </w:pPr>
                  <w:r>
                    <w:rPr>
                      <w:rFonts w:ascii="Times New Roman" w:hAnsi="Times New Roman" w:cs="Times New Roman"/>
                      <w:b w:val="0"/>
                      <w:bCs w:val="0"/>
                      <w:sz w:val="21"/>
                      <w:szCs w:val="21"/>
                    </w:rPr>
                    <w:t>4200.984</w:t>
                  </w:r>
                </w:p>
              </w:tc>
            </w:tr>
          </w:tbl>
          <w:p>
            <w:pPr>
              <w:pStyle w:val="Default"/>
              <w:rPr>
                <w:rFonts w:ascii="Times New Roman"/>
                <w:color w:val="auto"/>
              </w:rPr>
            </w:pPr>
          </w:p>
          <w:p>
            <w:pPr>
              <w:pStyle w:val="Default"/>
              <w:rPr>
                <w:rFonts w:ascii="Times New Roman"/>
                <w:color w:val="auto"/>
              </w:rPr>
            </w:pPr>
            <w:r>
              <w:rPr>
                <w:rFonts w:ascii="Times New Roman"/>
                <w:b/>
                <w:bCs/>
                <w:color w:val="auto"/>
              </w:rPr>
              <mc:AlternateContent>
                <mc:Choice Requires="wps">
                  <w:drawing>
                    <wp:anchor distT="0" distB="0" distL="114300" distR="114300" simplePos="0" relativeHeight="251683840" behindDoc="0" locked="0" layoutInCell="1" allowOverlap="1">
                      <wp:simplePos x="0" y="0"/>
                      <wp:positionH relativeFrom="column">
                        <wp:posOffset>5143500</wp:posOffset>
                      </wp:positionH>
                      <wp:positionV relativeFrom="paragraph">
                        <wp:posOffset>149225</wp:posOffset>
                      </wp:positionV>
                      <wp:extent cx="861060" cy="300990"/>
                      <wp:effectExtent l="5080" t="5080" r="10160" b="17780"/>
                      <wp:wrapNone/>
                      <wp:docPr id="60" name="文本框 182"/>
                      <wp:cNvGraphicFramePr/>
                      <a:graphic xmlns:a="http://schemas.openxmlformats.org/drawingml/2006/main">
                        <a:graphicData uri="http://schemas.microsoft.com/office/word/2010/wordprocessingShape">
                          <wps:wsp xmlns:wps="http://schemas.microsoft.com/office/word/2010/wordprocessingShape">
                            <wps:cNvSpPr txBox="1"/>
                            <wps:spPr>
                              <a:xfrm>
                                <a:off x="0" y="0"/>
                                <a:ext cx="861060" cy="300990"/>
                              </a:xfrm>
                              <a:prstGeom prst="rect">
                                <a:avLst/>
                              </a:prstGeom>
                              <a:gradFill rotWithShape="0">
                                <a:gsLst>
                                  <a:gs pos="0">
                                    <a:srgbClr val="FFFFFF"/>
                                  </a:gs>
                                  <a:gs pos="100000">
                                    <a:srgbClr val="FFFFFF"/>
                                  </a:gs>
                                </a:gsLst>
                                <a:lin ang="0" scaled="0"/>
                              </a:gradFill>
                              <a:ln w="0">
                                <a:solidFill>
                                  <a:srgbClr val="000000"/>
                                </a:solidFill>
                                <a:prstDash val="solid"/>
                                <a:miter lim="0"/>
                                <a:headEnd/>
                                <a:tailEnd/>
                              </a:ln>
                            </wps:spPr>
                            <wps:txbx>
                              <w:txbxContent>
                                <w:p>
                                  <w:pPr>
                                    <w:pStyle w:val="Default"/>
                                    <w:jc w:val="center"/>
                                    <w:rPr>
                                      <w:rFonts w:ascii="Times New Roman" w:hint="eastAsia"/>
                                      <w:sz w:val="21"/>
                                      <w:szCs w:val="21"/>
                                    </w:rPr>
                                  </w:pPr>
                                  <w:r>
                                    <w:rPr>
                                      <w:rFonts w:ascii="Times New Roman" w:hint="eastAsia"/>
                                      <w:sz w:val="21"/>
                                      <w:szCs w:val="21"/>
                                    </w:rPr>
                                    <w:t>弃渣场</w:t>
                                  </w:r>
                                </w:p>
                              </w:txbxContent>
                            </wps:txbx>
                            <wps:bodyPr wrap="square" upright="1"/>
                          </wps:wsp>
                        </a:graphicData>
                      </a:graphic>
                    </wp:anchor>
                  </w:drawing>
                </mc:Choice>
                <mc:Fallback>
                  <w:pict>
                    <v:shape id="文本框 182" o:spid="_x0000_s1029" type="#_x0000_t202" style="width:67.8pt;height:23.7pt;margin-top:11.75pt;margin-left:405pt;mso-wrap-distance-bottom:0;mso-wrap-distance-left:9pt;mso-wrap-distance-right:9pt;mso-wrap-distance-top:0;position:absolute;v-text-anchor:top;z-index:251682816" fillcolor="white" stroked="t" strokecolor="black" strokeweight="0.14pt">
                      <v:fill angle="90" colors="0 white;1 white" focus="100%" type="gradient">
                        <o:fill v:ext="view" type="gradientUnscaled"/>
                      </v:fill>
                      <v:stroke joinstyle="miter"/>
                      <v:textbox>
                        <w:txbxContent>
                          <w:p>
                            <w:pPr>
                              <w:pStyle w:val="Default"/>
                              <w:jc w:val="center"/>
                              <w:rPr>
                                <w:rFonts w:ascii="Times New Roman" w:hint="eastAsia"/>
                                <w:sz w:val="21"/>
                                <w:szCs w:val="21"/>
                              </w:rPr>
                            </w:pPr>
                            <w:r>
                              <w:rPr>
                                <w:rFonts w:ascii="Times New Roman" w:hint="eastAsia"/>
                                <w:sz w:val="21"/>
                                <w:szCs w:val="21"/>
                              </w:rPr>
                              <w:t>弃渣场</w:t>
                            </w:r>
                          </w:p>
                        </w:txbxContent>
                      </v:textbox>
                    </v:shape>
                  </w:pict>
                </mc:Fallback>
              </mc:AlternateContent>
            </w:r>
            <w:r>
              <w:rPr>
                <w:rFonts w:ascii="Times New Roman"/>
                <w:b/>
                <w:bCs/>
                <w:color w:val="auto"/>
              </w:rPr>
              <mc:AlternateContent>
                <mc:Choice Requires="wps">
                  <w:drawing>
                    <wp:anchor distT="0" distB="0" distL="114300" distR="114300" simplePos="0" relativeHeight="251679744" behindDoc="0" locked="0" layoutInCell="1" allowOverlap="1">
                      <wp:simplePos x="0" y="0"/>
                      <wp:positionH relativeFrom="column">
                        <wp:posOffset>3582035</wp:posOffset>
                      </wp:positionH>
                      <wp:positionV relativeFrom="paragraph">
                        <wp:posOffset>44450</wp:posOffset>
                      </wp:positionV>
                      <wp:extent cx="1012825" cy="443865"/>
                      <wp:effectExtent l="5080" t="5080" r="10795" b="8255"/>
                      <wp:wrapNone/>
                      <wp:docPr id="58" name="文本框 1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12825" cy="443865"/>
                              </a:xfrm>
                              <a:prstGeom prst="rect">
                                <a:avLst/>
                              </a:prstGeom>
                              <a:gradFill rotWithShape="0">
                                <a:gsLst>
                                  <a:gs pos="0">
                                    <a:srgbClr val="FFFFFF"/>
                                  </a:gs>
                                  <a:gs pos="100000">
                                    <a:srgbClr val="FFFFFF"/>
                                  </a:gs>
                                </a:gsLst>
                                <a:lin ang="0" scaled="0"/>
                              </a:gradFill>
                              <a:ln w="0">
                                <a:solidFill>
                                  <a:srgbClr val="000000"/>
                                </a:solidFill>
                                <a:prstDash val="solid"/>
                                <a:miter lim="0"/>
                                <a:headEnd/>
                                <a:tailEnd/>
                              </a:ln>
                            </wps:spPr>
                            <wps:txbx>
                              <w:txbxContent>
                                <w:p>
                                  <w:pPr>
                                    <w:pStyle w:val="Default"/>
                                    <w:jc w:val="center"/>
                                    <w:rPr>
                                      <w:rFonts w:ascii="Times New Roman" w:hint="eastAsia"/>
                                      <w:sz w:val="21"/>
                                      <w:szCs w:val="21"/>
                                    </w:rPr>
                                  </w:pPr>
                                  <w:r>
                                    <w:rPr>
                                      <w:rFonts w:ascii="Times New Roman" w:hint="eastAsia"/>
                                      <w:sz w:val="21"/>
                                      <w:szCs w:val="21"/>
                                    </w:rPr>
                                    <w:t>弃方</w:t>
                                  </w:r>
                                </w:p>
                                <w:p>
                                  <w:pPr>
                                    <w:pStyle w:val="Default"/>
                                    <w:jc w:val="center"/>
                                    <w:rPr>
                                      <w:rFonts w:ascii="Times New Roman"/>
                                      <w:sz w:val="21"/>
                                      <w:szCs w:val="21"/>
                                    </w:rPr>
                                  </w:pPr>
                                  <w:r>
                                    <w:rPr>
                                      <w:rFonts w:ascii="Times New Roman"/>
                                      <w:sz w:val="21"/>
                                      <w:szCs w:val="21"/>
                                    </w:rPr>
                                    <w:t>（</w:t>
                                  </w:r>
                                  <w:r>
                                    <w:rPr>
                                      <w:rFonts w:ascii="Times New Roman" w:hint="eastAsia"/>
                                      <w:sz w:val="21"/>
                                      <w:szCs w:val="21"/>
                                    </w:rPr>
                                    <w:t>4200.984</w:t>
                                  </w:r>
                                  <w:r>
                                    <w:rPr>
                                      <w:rFonts w:ascii="Times New Roman"/>
                                      <w:sz w:val="21"/>
                                      <w:szCs w:val="21"/>
                                    </w:rPr>
                                    <w:t>）</w:t>
                                  </w:r>
                                </w:p>
                              </w:txbxContent>
                            </wps:txbx>
                            <wps:bodyPr wrap="square" upright="1"/>
                          </wps:wsp>
                        </a:graphicData>
                      </a:graphic>
                    </wp:anchor>
                  </w:drawing>
                </mc:Choice>
                <mc:Fallback>
                  <w:pict>
                    <v:shape id="文本框 182" o:spid="_x0000_s1030" type="#_x0000_t202" style="width:79.75pt;height:34.95pt;margin-top:3.5pt;margin-left:282.05pt;mso-wrap-distance-bottom:0;mso-wrap-distance-left:9pt;mso-wrap-distance-right:9pt;mso-wrap-distance-top:0;position:absolute;v-text-anchor:top;z-index:251678720" fillcolor="white" stroked="t" strokecolor="black" strokeweight="0.14pt">
                      <v:fill angle="90" colors="0 white;1 white" focus="100%" type="gradient">
                        <o:fill v:ext="view" type="gradientUnscaled"/>
                      </v:fill>
                      <v:stroke joinstyle="miter"/>
                      <v:textbox>
                        <w:txbxContent>
                          <w:p>
                            <w:pPr>
                              <w:pStyle w:val="Default"/>
                              <w:jc w:val="center"/>
                              <w:rPr>
                                <w:rFonts w:ascii="Times New Roman" w:hint="eastAsia"/>
                                <w:sz w:val="21"/>
                                <w:szCs w:val="21"/>
                              </w:rPr>
                            </w:pPr>
                            <w:r>
                              <w:rPr>
                                <w:rFonts w:ascii="Times New Roman" w:hint="eastAsia"/>
                                <w:sz w:val="21"/>
                                <w:szCs w:val="21"/>
                              </w:rPr>
                              <w:t>弃方</w:t>
                            </w:r>
                          </w:p>
                          <w:p>
                            <w:pPr>
                              <w:pStyle w:val="Default"/>
                              <w:jc w:val="center"/>
                              <w:rPr>
                                <w:rFonts w:ascii="Times New Roman"/>
                                <w:sz w:val="21"/>
                                <w:szCs w:val="21"/>
                              </w:rPr>
                            </w:pPr>
                            <w:r>
                              <w:rPr>
                                <w:rFonts w:ascii="Times New Roman"/>
                                <w:sz w:val="21"/>
                                <w:szCs w:val="21"/>
                              </w:rPr>
                              <w:t>（</w:t>
                            </w:r>
                            <w:r>
                              <w:rPr>
                                <w:rFonts w:ascii="Times New Roman" w:hint="eastAsia"/>
                                <w:sz w:val="21"/>
                                <w:szCs w:val="21"/>
                              </w:rPr>
                              <w:t>4200.984</w:t>
                            </w:r>
                            <w:r>
                              <w:rPr>
                                <w:rFonts w:ascii="Times New Roman"/>
                                <w:sz w:val="21"/>
                                <w:szCs w:val="21"/>
                              </w:rPr>
                              <w:t>）</w:t>
                            </w:r>
                          </w:p>
                        </w:txbxContent>
                      </v:textbox>
                    </v:shape>
                  </w:pict>
                </mc:Fallback>
              </mc:AlternateContent>
            </w:r>
            <w:r>
              <w:rPr>
                <w:rFonts w:ascii="Times New Roman"/>
                <w:color w:val="auto"/>
                <w:sz w:val="21"/>
              </w:rPr>
              <mc:AlternateContent>
                <mc:Choice Requires="wps">
                  <w:drawing>
                    <wp:anchor distT="0" distB="0" distL="114300" distR="114300" simplePos="0" relativeHeight="251673600" behindDoc="0" locked="0" layoutInCell="1" allowOverlap="1">
                      <wp:simplePos x="0" y="0"/>
                      <wp:positionH relativeFrom="column">
                        <wp:posOffset>2005330</wp:posOffset>
                      </wp:positionH>
                      <wp:positionV relativeFrom="paragraph">
                        <wp:posOffset>9525</wp:posOffset>
                      </wp:positionV>
                      <wp:extent cx="934720" cy="475615"/>
                      <wp:effectExtent l="4445" t="4445" r="13335" b="15240"/>
                      <wp:wrapNone/>
                      <wp:docPr id="55" name="文本框 121"/>
                      <wp:cNvGraphicFramePr/>
                      <a:graphic xmlns:a="http://schemas.openxmlformats.org/drawingml/2006/main">
                        <a:graphicData uri="http://schemas.microsoft.com/office/word/2010/wordprocessingShape">
                          <wps:wsp xmlns:wps="http://schemas.microsoft.com/office/word/2010/wordprocessingShape">
                            <wps:cNvSpPr txBox="1"/>
                            <wps:spPr>
                              <a:xfrm>
                                <a:off x="0" y="0"/>
                                <a:ext cx="934720" cy="475615"/>
                              </a:xfrm>
                              <a:prstGeom prst="rect">
                                <a:avLst/>
                              </a:prstGeom>
                              <a:gradFill rotWithShape="0">
                                <a:gsLst>
                                  <a:gs pos="0">
                                    <a:srgbClr val="FFFFFF"/>
                                  </a:gs>
                                  <a:gs pos="100000">
                                    <a:srgbClr val="FFFFFF"/>
                                  </a:gs>
                                </a:gsLst>
                                <a:lin ang="0" scaled="0"/>
                              </a:gradFill>
                              <a:ln w="0">
                                <a:solidFill>
                                  <a:srgbClr val="000000"/>
                                </a:solidFill>
                                <a:prstDash val="solid"/>
                                <a:miter lim="0"/>
                                <a:headEnd/>
                                <a:tailEnd/>
                              </a:ln>
                            </wps:spPr>
                            <wps:txbx>
                              <w:txbxContent>
                                <w:p>
                                  <w:pPr>
                                    <w:pStyle w:val="Default"/>
                                    <w:jc w:val="center"/>
                                    <w:rPr>
                                      <w:rFonts w:ascii="Times New Roman" w:hint="eastAsia"/>
                                      <w:sz w:val="21"/>
                                      <w:szCs w:val="21"/>
                                    </w:rPr>
                                  </w:pPr>
                                  <w:r>
                                    <w:rPr>
                                      <w:rFonts w:ascii="Times New Roman" w:hint="eastAsia"/>
                                      <w:sz w:val="21"/>
                                      <w:szCs w:val="21"/>
                                    </w:rPr>
                                    <w:t>土方回填</w:t>
                                  </w:r>
                                </w:p>
                                <w:p>
                                  <w:pPr>
                                    <w:pStyle w:val="Default"/>
                                    <w:jc w:val="center"/>
                                    <w:rPr>
                                      <w:rFonts w:ascii="Times New Roman"/>
                                      <w:sz w:val="21"/>
                                      <w:szCs w:val="21"/>
                                    </w:rPr>
                                  </w:pPr>
                                  <w:r>
                                    <w:rPr>
                                      <w:rFonts w:ascii="Times New Roman"/>
                                      <w:sz w:val="21"/>
                                      <w:szCs w:val="21"/>
                                    </w:rPr>
                                    <w:t>（</w:t>
                                  </w:r>
                                  <w:r>
                                    <w:rPr>
                                      <w:rFonts w:ascii="Times New Roman" w:hint="eastAsia"/>
                                      <w:sz w:val="21"/>
                                      <w:szCs w:val="21"/>
                                    </w:rPr>
                                    <w:t>796.826</w:t>
                                  </w:r>
                                  <w:r>
                                    <w:rPr>
                                      <w:rFonts w:ascii="Times New Roman"/>
                                      <w:sz w:val="21"/>
                                      <w:szCs w:val="21"/>
                                    </w:rPr>
                                    <w:t>）</w:t>
                                  </w:r>
                                </w:p>
                              </w:txbxContent>
                            </wps:txbx>
                            <wps:bodyPr wrap="square" upright="1"/>
                          </wps:wsp>
                        </a:graphicData>
                      </a:graphic>
                    </wp:anchor>
                  </w:drawing>
                </mc:Choice>
                <mc:Fallback>
                  <w:pict>
                    <v:shape id="文本框 121" o:spid="_x0000_s1031" type="#_x0000_t202" style="width:73.6pt;height:37.45pt;margin-top:0.75pt;margin-left:157.9pt;mso-wrap-distance-bottom:0;mso-wrap-distance-left:9pt;mso-wrap-distance-right:9pt;mso-wrap-distance-top:0;position:absolute;v-text-anchor:top;z-index:251672576" fillcolor="white" stroked="t" strokecolor="black" strokeweight="0.14pt">
                      <v:fill angle="90" colors="0 white;1 white" focus="100%" type="gradient">
                        <o:fill v:ext="view" type="gradientUnscaled"/>
                      </v:fill>
                      <v:stroke joinstyle="miter"/>
                      <v:textbox>
                        <w:txbxContent>
                          <w:p>
                            <w:pPr>
                              <w:pStyle w:val="Default"/>
                              <w:jc w:val="center"/>
                              <w:rPr>
                                <w:rFonts w:ascii="Times New Roman" w:hint="eastAsia"/>
                                <w:sz w:val="21"/>
                                <w:szCs w:val="21"/>
                              </w:rPr>
                            </w:pPr>
                            <w:r>
                              <w:rPr>
                                <w:rFonts w:ascii="Times New Roman" w:hint="eastAsia"/>
                                <w:sz w:val="21"/>
                                <w:szCs w:val="21"/>
                              </w:rPr>
                              <w:t>土方回填</w:t>
                            </w:r>
                          </w:p>
                          <w:p>
                            <w:pPr>
                              <w:pStyle w:val="Default"/>
                              <w:jc w:val="center"/>
                              <w:rPr>
                                <w:rFonts w:ascii="Times New Roman"/>
                                <w:sz w:val="21"/>
                                <w:szCs w:val="21"/>
                              </w:rPr>
                            </w:pPr>
                            <w:r>
                              <w:rPr>
                                <w:rFonts w:ascii="Times New Roman"/>
                                <w:sz w:val="21"/>
                                <w:szCs w:val="21"/>
                              </w:rPr>
                              <w:t>（</w:t>
                            </w:r>
                            <w:r>
                              <w:rPr>
                                <w:rFonts w:ascii="Times New Roman" w:hint="eastAsia"/>
                                <w:sz w:val="21"/>
                                <w:szCs w:val="21"/>
                              </w:rPr>
                              <w:t>796.826</w:t>
                            </w:r>
                            <w:r>
                              <w:rPr>
                                <w:rFonts w:ascii="Times New Roman"/>
                                <w:sz w:val="21"/>
                                <w:szCs w:val="21"/>
                              </w:rPr>
                              <w:t>）</w:t>
                            </w:r>
                          </w:p>
                        </w:txbxContent>
                      </v:textbox>
                    </v:shape>
                  </w:pict>
                </mc:Fallback>
              </mc:AlternateContent>
            </w:r>
            <w:r>
              <w:rPr>
                <w:rFonts w:ascii="Times New Roman"/>
                <w:color w:val="auto"/>
                <w:sz w:val="21"/>
              </w:rPr>
              <mc:AlternateContent>
                <mc:Choice Requires="wps">
                  <w:drawing>
                    <wp:anchor distT="0" distB="0" distL="114300" distR="114300" simplePos="0" relativeHeight="251669504" behindDoc="0" locked="0" layoutInCell="1" allowOverlap="1">
                      <wp:simplePos x="0" y="0"/>
                      <wp:positionH relativeFrom="column">
                        <wp:posOffset>65405</wp:posOffset>
                      </wp:positionH>
                      <wp:positionV relativeFrom="paragraph">
                        <wp:posOffset>3175</wp:posOffset>
                      </wp:positionV>
                      <wp:extent cx="1143000" cy="560705"/>
                      <wp:effectExtent l="4445" t="5080" r="14605" b="5715"/>
                      <wp:wrapNone/>
                      <wp:docPr id="53"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3000" cy="560705"/>
                              </a:xfrm>
                              <a:prstGeom prst="rect">
                                <a:avLst/>
                              </a:prstGeom>
                              <a:gradFill rotWithShape="0">
                                <a:gsLst>
                                  <a:gs pos="0">
                                    <a:srgbClr val="FFFFFF"/>
                                  </a:gs>
                                  <a:gs pos="100000">
                                    <a:srgbClr val="FFFFFF"/>
                                  </a:gs>
                                </a:gsLst>
                                <a:lin ang="0" scaled="0"/>
                              </a:gradFill>
                              <a:ln w="0">
                                <a:solidFill>
                                  <a:srgbClr val="000000"/>
                                </a:solidFill>
                                <a:prstDash val="solid"/>
                                <a:miter lim="0"/>
                                <a:headEnd/>
                                <a:tailEnd/>
                              </a:ln>
                            </wps:spPr>
                            <wps:txbx>
                              <w:txbxContent>
                                <w:p>
                                  <w:pPr>
                                    <w:ind w:firstLine="0" w:firstLineChars="0"/>
                                  </w:pPr>
                                  <w:r>
                                    <w:rPr>
                                      <w:sz w:val="21"/>
                                    </w:rPr>
                                    <w:t>土</w:t>
                                  </w:r>
                                  <w:r>
                                    <w:rPr>
                                      <w:rFonts w:hint="eastAsia"/>
                                      <w:sz w:val="21"/>
                                    </w:rPr>
                                    <w:t>石</w:t>
                                  </w:r>
                                  <w:r>
                                    <w:rPr>
                                      <w:sz w:val="21"/>
                                    </w:rPr>
                                    <w:t>方总挖方量</w:t>
                                  </w:r>
                                </w:p>
                                <w:p>
                                  <w:pPr>
                                    <w:pStyle w:val="Default"/>
                                    <w:jc w:val="center"/>
                                    <w:rPr>
                                      <w:rFonts w:ascii="Times New Roman"/>
                                      <w:sz w:val="21"/>
                                      <w:szCs w:val="21"/>
                                    </w:rPr>
                                  </w:pPr>
                                  <w:r>
                                    <w:rPr>
                                      <w:rFonts w:ascii="Times New Roman"/>
                                      <w:sz w:val="21"/>
                                      <w:szCs w:val="21"/>
                                    </w:rPr>
                                    <w:t>（</w:t>
                                  </w:r>
                                  <w:r>
                                    <w:rPr>
                                      <w:rFonts w:ascii="Times New Roman" w:hint="eastAsia"/>
                                      <w:sz w:val="21"/>
                                      <w:szCs w:val="21"/>
                                    </w:rPr>
                                    <w:t>4200.984</w:t>
                                  </w:r>
                                  <w:r>
                                    <w:rPr>
                                      <w:rFonts w:ascii="Times New Roman"/>
                                      <w:sz w:val="21"/>
                                      <w:szCs w:val="21"/>
                                    </w:rPr>
                                    <w:t>）</w:t>
                                  </w:r>
                                </w:p>
                              </w:txbxContent>
                            </wps:txbx>
                            <wps:bodyPr wrap="square" upright="1"/>
                          </wps:wsp>
                        </a:graphicData>
                      </a:graphic>
                    </wp:anchor>
                  </w:drawing>
                </mc:Choice>
                <mc:Fallback>
                  <w:pict>
                    <v:shape id="文本框 117" o:spid="_x0000_s1032" type="#_x0000_t202" style="width:90pt;height:44.15pt;margin-top:0.25pt;margin-left:5.15pt;mso-wrap-distance-bottom:0;mso-wrap-distance-left:9pt;mso-wrap-distance-right:9pt;mso-wrap-distance-top:0;position:absolute;v-text-anchor:top;z-index:251668480" fillcolor="white" stroked="t" strokecolor="black" strokeweight="0.14pt">
                      <v:fill angle="90" colors="0 white;1 white" focus="100%" type="gradient">
                        <o:fill v:ext="view" type="gradientUnscaled"/>
                      </v:fill>
                      <v:stroke joinstyle="miter"/>
                      <v:textbox>
                        <w:txbxContent>
                          <w:p>
                            <w:pPr>
                              <w:ind w:firstLine="0" w:firstLineChars="0"/>
                            </w:pPr>
                            <w:r>
                              <w:rPr>
                                <w:sz w:val="21"/>
                              </w:rPr>
                              <w:t>土</w:t>
                            </w:r>
                            <w:r>
                              <w:rPr>
                                <w:rFonts w:hint="eastAsia"/>
                                <w:sz w:val="21"/>
                              </w:rPr>
                              <w:t>石</w:t>
                            </w:r>
                            <w:r>
                              <w:rPr>
                                <w:sz w:val="21"/>
                              </w:rPr>
                              <w:t>方总挖方量</w:t>
                            </w:r>
                          </w:p>
                          <w:p>
                            <w:pPr>
                              <w:pStyle w:val="Default"/>
                              <w:jc w:val="center"/>
                              <w:rPr>
                                <w:rFonts w:ascii="Times New Roman"/>
                                <w:sz w:val="21"/>
                                <w:szCs w:val="21"/>
                              </w:rPr>
                            </w:pPr>
                            <w:r>
                              <w:rPr>
                                <w:rFonts w:ascii="Times New Roman"/>
                                <w:sz w:val="21"/>
                                <w:szCs w:val="21"/>
                              </w:rPr>
                              <w:t>（</w:t>
                            </w:r>
                            <w:r>
                              <w:rPr>
                                <w:rFonts w:ascii="Times New Roman" w:hint="eastAsia"/>
                                <w:sz w:val="21"/>
                                <w:szCs w:val="21"/>
                              </w:rPr>
                              <w:t>4200.984</w:t>
                            </w:r>
                            <w:r>
                              <w:rPr>
                                <w:rFonts w:ascii="Times New Roman"/>
                                <w:sz w:val="21"/>
                                <w:szCs w:val="21"/>
                              </w:rPr>
                              <w:t>）</w:t>
                            </w:r>
                          </w:p>
                        </w:txbxContent>
                      </v:textbox>
                    </v:shape>
                  </w:pict>
                </mc:Fallback>
              </mc:AlternateContent>
            </w:r>
          </w:p>
          <w:p>
            <w:pPr>
              <w:pStyle w:val="1"/>
              <w:ind w:firstLine="483"/>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81792" behindDoc="0" locked="0" layoutInCell="1" allowOverlap="1">
                      <wp:simplePos x="0" y="0"/>
                      <wp:positionH relativeFrom="column">
                        <wp:posOffset>4601845</wp:posOffset>
                      </wp:positionH>
                      <wp:positionV relativeFrom="paragraph">
                        <wp:posOffset>95885</wp:posOffset>
                      </wp:positionV>
                      <wp:extent cx="525145" cy="3175"/>
                      <wp:effectExtent l="0" t="37465" r="8255" b="35560"/>
                      <wp:wrapNone/>
                      <wp:docPr id="59" name="直线 181"/>
                      <wp:cNvGraphicFramePr/>
                      <a:graphic xmlns:a="http://schemas.openxmlformats.org/drawingml/2006/main">
                        <a:graphicData uri="http://schemas.microsoft.com/office/word/2010/wordprocessingShape">
                          <wps:wsp xmlns:wps="http://schemas.microsoft.com/office/word/2010/wordprocessingShape">
                            <wps:cNvCnPr/>
                            <wps:spPr>
                              <a:xfrm flipV="1">
                                <a:off x="0" y="0"/>
                                <a:ext cx="525145" cy="3175"/>
                              </a:xfrm>
                              <a:prstGeom prst="line">
                                <a:avLst/>
                              </a:prstGeom>
                              <a:ln w="15875">
                                <a:solidFill>
                                  <a:srgbClr val="000000"/>
                                </a:solidFill>
                                <a:prstDash val="solid"/>
                                <a:headEnd/>
                                <a:tailEnd type="triangle"/>
                              </a:ln>
                            </wps:spPr>
                            <wps:bodyPr upright="1"/>
                          </wps:wsp>
                        </a:graphicData>
                      </a:graphic>
                    </wp:anchor>
                  </w:drawing>
                </mc:Choice>
                <mc:Fallback>
                  <w:pict>
                    <v:line id="直线 181" o:spid="_x0000_s1033" style="flip:y;mso-wrap-distance-bottom:0;mso-wrap-distance-left:9pt;mso-wrap-distance-right:9pt;mso-wrap-distance-top:0;position:absolute;v-text-anchor:top;z-index:251680768" from="362.35pt,7.55pt" to="403.7pt,7.8pt" fillcolor="this" stroked="t" strokecolor="black" strokeweight="1.25pt">
                      <v:stroke endarrow="block"/>
                    </v:line>
                  </w:pict>
                </mc:Fallback>
              </mc:AlternateContent>
            </w:r>
            <w:r>
              <w:rPr>
                <w:rFonts w:ascii="Times New Roman" w:hAnsi="Times New Roman" w:cs="Times New Roman"/>
              </w:rPr>
              <mc:AlternateContent>
                <mc:Choice Requires="wps">
                  <w:drawing>
                    <wp:anchor distT="0" distB="0" distL="114300" distR="114300" simplePos="0" relativeHeight="251671552" behindDoc="0" locked="0" layoutInCell="1" allowOverlap="1">
                      <wp:simplePos x="0" y="0"/>
                      <wp:positionH relativeFrom="column">
                        <wp:posOffset>1275715</wp:posOffset>
                      </wp:positionH>
                      <wp:positionV relativeFrom="paragraph">
                        <wp:posOffset>53340</wp:posOffset>
                      </wp:positionV>
                      <wp:extent cx="704215" cy="8890"/>
                      <wp:effectExtent l="0" t="36830" r="635" b="30480"/>
                      <wp:wrapNone/>
                      <wp:docPr id="54" name="直线 120"/>
                      <wp:cNvGraphicFramePr/>
                      <a:graphic xmlns:a="http://schemas.openxmlformats.org/drawingml/2006/main">
                        <a:graphicData uri="http://schemas.microsoft.com/office/word/2010/wordprocessingShape">
                          <wps:wsp xmlns:wps="http://schemas.microsoft.com/office/word/2010/wordprocessingShape">
                            <wps:cNvCnPr/>
                            <wps:spPr>
                              <a:xfrm flipV="1">
                                <a:off x="0" y="0"/>
                                <a:ext cx="704215" cy="8890"/>
                              </a:xfrm>
                              <a:prstGeom prst="line">
                                <a:avLst/>
                              </a:prstGeom>
                              <a:ln w="15875">
                                <a:solidFill>
                                  <a:srgbClr val="000000"/>
                                </a:solidFill>
                                <a:prstDash val="solid"/>
                                <a:headEnd/>
                                <a:tailEnd type="triangle"/>
                              </a:ln>
                            </wps:spPr>
                            <wps:bodyPr upright="1"/>
                          </wps:wsp>
                        </a:graphicData>
                      </a:graphic>
                    </wp:anchor>
                  </w:drawing>
                </mc:Choice>
                <mc:Fallback>
                  <w:pict>
                    <v:line id="直线 120" o:spid="_x0000_s1034" style="flip:y;mso-wrap-distance-bottom:0;mso-wrap-distance-left:9pt;mso-wrap-distance-right:9pt;mso-wrap-distance-top:0;position:absolute;v-text-anchor:top;z-index:251670528" from="100.45pt,4.2pt" to="155.9pt,4.9pt" fillcolor="this" stroked="t" strokecolor="black" strokeweight="1.25pt">
                      <v:stroke endarrow="block"/>
                    </v:line>
                  </w:pict>
                </mc:Fallback>
              </mc:AlternateContent>
            </w:r>
            <w:r>
              <w:rPr>
                <w:rFonts w:ascii="Times New Roman" w:hAnsi="Times New Roman" w:cs="Times New Roman"/>
              </w:rPr>
              <mc:AlternateContent>
                <mc:Choice Requires="wps">
                  <w:drawing>
                    <wp:anchor distT="0" distB="0" distL="114300" distR="114300" simplePos="0" relativeHeight="251677696" behindDoc="0" locked="0" layoutInCell="1" allowOverlap="1">
                      <wp:simplePos x="0" y="0"/>
                      <wp:positionH relativeFrom="column">
                        <wp:posOffset>2934970</wp:posOffset>
                      </wp:positionH>
                      <wp:positionV relativeFrom="paragraph">
                        <wp:posOffset>48260</wp:posOffset>
                      </wp:positionV>
                      <wp:extent cx="619760" cy="3175"/>
                      <wp:effectExtent l="0" t="37465" r="8890" b="35560"/>
                      <wp:wrapNone/>
                      <wp:docPr id="57" name="直线 181"/>
                      <wp:cNvGraphicFramePr/>
                      <a:graphic xmlns:a="http://schemas.openxmlformats.org/drawingml/2006/main">
                        <a:graphicData uri="http://schemas.microsoft.com/office/word/2010/wordprocessingShape">
                          <wps:wsp xmlns:wps="http://schemas.microsoft.com/office/word/2010/wordprocessingShape">
                            <wps:cNvCnPr/>
                            <wps:spPr>
                              <a:xfrm flipV="1">
                                <a:off x="0" y="0"/>
                                <a:ext cx="619760" cy="3175"/>
                              </a:xfrm>
                              <a:prstGeom prst="line">
                                <a:avLst/>
                              </a:prstGeom>
                              <a:ln w="15875">
                                <a:solidFill>
                                  <a:srgbClr val="000000"/>
                                </a:solidFill>
                                <a:prstDash val="solid"/>
                                <a:headEnd/>
                                <a:tailEnd type="triangle"/>
                              </a:ln>
                            </wps:spPr>
                            <wps:bodyPr upright="1"/>
                          </wps:wsp>
                        </a:graphicData>
                      </a:graphic>
                    </wp:anchor>
                  </w:drawing>
                </mc:Choice>
                <mc:Fallback>
                  <w:pict>
                    <v:line id="直线 181" o:spid="_x0000_s1035" style="flip:y;mso-wrap-distance-bottom:0;mso-wrap-distance-left:9pt;mso-wrap-distance-right:9pt;mso-wrap-distance-top:0;position:absolute;v-text-anchor:top;z-index:251676672" from="231.1pt,3.8pt" to="279.9pt,4.05pt" fillcolor="this" stroked="t" strokecolor="black" strokeweight="1.25pt">
                      <v:stroke endarrow="block"/>
                    </v:line>
                  </w:pict>
                </mc:Fallback>
              </mc:AlternateContent>
            </w:r>
          </w:p>
          <w:p>
            <w:pPr>
              <w:ind w:firstLine="481"/>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85888" behindDoc="0" locked="0" layoutInCell="1" allowOverlap="1">
                      <wp:simplePos x="0" y="0"/>
                      <wp:positionH relativeFrom="column">
                        <wp:posOffset>2458085</wp:posOffset>
                      </wp:positionH>
                      <wp:positionV relativeFrom="paragraph">
                        <wp:posOffset>52705</wp:posOffset>
                      </wp:positionV>
                      <wp:extent cx="1905" cy="402590"/>
                      <wp:effectExtent l="36830" t="0" r="37465" b="16510"/>
                      <wp:wrapNone/>
                      <wp:docPr id="61" name="直线 181"/>
                      <wp:cNvGraphicFramePr/>
                      <a:graphic xmlns:a="http://schemas.openxmlformats.org/drawingml/2006/main">
                        <a:graphicData uri="http://schemas.microsoft.com/office/word/2010/wordprocessingShape">
                          <wps:wsp xmlns:wps="http://schemas.microsoft.com/office/word/2010/wordprocessingShape">
                            <wps:cNvCnPr/>
                            <wps:spPr>
                              <a:xfrm flipV="1">
                                <a:off x="0" y="0"/>
                                <a:ext cx="1905" cy="402590"/>
                              </a:xfrm>
                              <a:prstGeom prst="line">
                                <a:avLst/>
                              </a:prstGeom>
                              <a:ln w="15875">
                                <a:solidFill>
                                  <a:srgbClr val="000000"/>
                                </a:solidFill>
                                <a:prstDash val="solid"/>
                                <a:headEnd/>
                                <a:tailEnd type="triangle"/>
                              </a:ln>
                            </wps:spPr>
                            <wps:bodyPr upright="1"/>
                          </wps:wsp>
                        </a:graphicData>
                      </a:graphic>
                    </wp:anchor>
                  </w:drawing>
                </mc:Choice>
                <mc:Fallback>
                  <w:pict>
                    <v:line id="直线 181" o:spid="_x0000_s1036" style="flip:y;mso-wrap-distance-bottom:0;mso-wrap-distance-left:9pt;mso-wrap-distance-right:9pt;mso-wrap-distance-top:0;position:absolute;v-text-anchor:top;z-index:251684864" from="193.55pt,4.15pt" to="193.7pt,35.85pt" fillcolor="this" stroked="t" strokecolor="black" strokeweight="1.25pt">
                      <v:stroke endarrow="block"/>
                    </v:line>
                  </w:pict>
                </mc:Fallback>
              </mc:AlternateContent>
            </w:r>
          </w:p>
          <w:p>
            <w:pPr>
              <w:pStyle w:val="Default"/>
              <w:rPr>
                <w:rFonts w:ascii="Times New Roman"/>
                <w:color w:val="auto"/>
              </w:rPr>
            </w:pPr>
          </w:p>
          <w:p>
            <w:pPr>
              <w:pStyle w:val="1"/>
              <w:ind w:firstLine="483"/>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75648" behindDoc="0" locked="0" layoutInCell="1" allowOverlap="1">
                      <wp:simplePos x="0" y="0"/>
                      <wp:positionH relativeFrom="column">
                        <wp:posOffset>1913255</wp:posOffset>
                      </wp:positionH>
                      <wp:positionV relativeFrom="paragraph">
                        <wp:posOffset>31750</wp:posOffset>
                      </wp:positionV>
                      <wp:extent cx="1098550" cy="443865"/>
                      <wp:effectExtent l="5080" t="5080" r="20320" b="8255"/>
                      <wp:wrapNone/>
                      <wp:docPr id="56" name="文本框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98550" cy="443865"/>
                              </a:xfrm>
                              <a:prstGeom prst="rect">
                                <a:avLst/>
                              </a:prstGeom>
                              <a:gradFill rotWithShape="0">
                                <a:gsLst>
                                  <a:gs pos="0">
                                    <a:srgbClr val="FFFFFF"/>
                                  </a:gs>
                                  <a:gs pos="100000">
                                    <a:srgbClr val="FFFFFF"/>
                                  </a:gs>
                                </a:gsLst>
                                <a:lin ang="0" scaled="0"/>
                              </a:gradFill>
                              <a:ln w="0">
                                <a:solidFill>
                                  <a:srgbClr val="000000"/>
                                </a:solidFill>
                                <a:prstDash val="solid"/>
                                <a:miter lim="0"/>
                                <a:headEnd/>
                                <a:tailEnd/>
                              </a:ln>
                            </wps:spPr>
                            <wps:txbx>
                              <w:txbxContent>
                                <w:p>
                                  <w:pPr>
                                    <w:pStyle w:val="Default"/>
                                    <w:jc w:val="center"/>
                                    <w:rPr>
                                      <w:rFonts w:ascii="Times New Roman" w:hint="eastAsia"/>
                                      <w:sz w:val="21"/>
                                      <w:szCs w:val="21"/>
                                    </w:rPr>
                                  </w:pPr>
                                  <w:r>
                                    <w:rPr>
                                      <w:rFonts w:ascii="Times New Roman" w:hint="eastAsia"/>
                                      <w:sz w:val="21"/>
                                      <w:szCs w:val="21"/>
                                    </w:rPr>
                                    <w:t>土方回填借方</w:t>
                                  </w:r>
                                </w:p>
                                <w:p>
                                  <w:pPr>
                                    <w:pStyle w:val="Default"/>
                                    <w:jc w:val="center"/>
                                    <w:rPr>
                                      <w:rFonts w:ascii="Times New Roman"/>
                                      <w:sz w:val="21"/>
                                      <w:szCs w:val="21"/>
                                    </w:rPr>
                                  </w:pPr>
                                  <w:r>
                                    <w:rPr>
                                      <w:rFonts w:ascii="Times New Roman"/>
                                      <w:sz w:val="21"/>
                                      <w:szCs w:val="21"/>
                                    </w:rPr>
                                    <w:t>（</w:t>
                                  </w:r>
                                  <w:r>
                                    <w:rPr>
                                      <w:rFonts w:ascii="Times New Roman" w:hint="eastAsia"/>
                                      <w:sz w:val="21"/>
                                      <w:szCs w:val="21"/>
                                    </w:rPr>
                                    <w:t>796.826</w:t>
                                  </w:r>
                                  <w:r>
                                    <w:rPr>
                                      <w:rFonts w:ascii="Times New Roman"/>
                                      <w:sz w:val="21"/>
                                      <w:szCs w:val="21"/>
                                    </w:rPr>
                                    <w:t>）</w:t>
                                  </w:r>
                                </w:p>
                              </w:txbxContent>
                            </wps:txbx>
                            <wps:bodyPr wrap="square" upright="1"/>
                          </wps:wsp>
                        </a:graphicData>
                      </a:graphic>
                    </wp:anchor>
                  </w:drawing>
                </mc:Choice>
                <mc:Fallback>
                  <w:pict>
                    <v:shape id="文本框 124" o:spid="_x0000_s1037" type="#_x0000_t202" style="width:86.5pt;height:34.95pt;margin-top:2.5pt;margin-left:150.65pt;mso-wrap-distance-bottom:0;mso-wrap-distance-left:9pt;mso-wrap-distance-right:9pt;mso-wrap-distance-top:0;position:absolute;v-text-anchor:top;z-index:251674624" fillcolor="white" stroked="t" strokecolor="black" strokeweight="0.14pt">
                      <v:fill angle="90" colors="0 white;1 white" focus="100%" type="gradient">
                        <o:fill v:ext="view" type="gradientUnscaled"/>
                      </v:fill>
                      <v:stroke joinstyle="miter"/>
                      <v:textbox>
                        <w:txbxContent>
                          <w:p>
                            <w:pPr>
                              <w:pStyle w:val="Default"/>
                              <w:jc w:val="center"/>
                              <w:rPr>
                                <w:rFonts w:ascii="Times New Roman" w:hint="eastAsia"/>
                                <w:sz w:val="21"/>
                                <w:szCs w:val="21"/>
                              </w:rPr>
                            </w:pPr>
                            <w:r>
                              <w:rPr>
                                <w:rFonts w:ascii="Times New Roman" w:hint="eastAsia"/>
                                <w:sz w:val="21"/>
                                <w:szCs w:val="21"/>
                              </w:rPr>
                              <w:t>土方回填借方</w:t>
                            </w:r>
                          </w:p>
                          <w:p>
                            <w:pPr>
                              <w:pStyle w:val="Default"/>
                              <w:jc w:val="center"/>
                              <w:rPr>
                                <w:rFonts w:ascii="Times New Roman"/>
                                <w:sz w:val="21"/>
                                <w:szCs w:val="21"/>
                              </w:rPr>
                            </w:pPr>
                            <w:r>
                              <w:rPr>
                                <w:rFonts w:ascii="Times New Roman"/>
                                <w:sz w:val="21"/>
                                <w:szCs w:val="21"/>
                              </w:rPr>
                              <w:t>（</w:t>
                            </w:r>
                            <w:r>
                              <w:rPr>
                                <w:rFonts w:ascii="Times New Roman" w:hint="eastAsia"/>
                                <w:sz w:val="21"/>
                                <w:szCs w:val="21"/>
                              </w:rPr>
                              <w:t>796.826</w:t>
                            </w:r>
                            <w:r>
                              <w:rPr>
                                <w:rFonts w:ascii="Times New Roman"/>
                                <w:sz w:val="21"/>
                                <w:szCs w:val="21"/>
                              </w:rPr>
                              <w:t>）</w:t>
                            </w:r>
                          </w:p>
                        </w:txbxContent>
                      </v:textbox>
                    </v:shape>
                  </w:pict>
                </mc:Fallback>
              </mc:AlternateContent>
            </w:r>
          </w:p>
          <w:p>
            <w:pPr>
              <w:ind w:firstLine="481"/>
              <w:rPr>
                <w:rFonts w:ascii="Times New Roman" w:hAnsi="Times New Roman" w:cs="Times New Roman"/>
              </w:rPr>
            </w:pPr>
          </w:p>
          <w:p>
            <w:pPr>
              <w:pStyle w:val="1"/>
              <w:ind w:firstLine="2160" w:firstLineChars="900"/>
              <w:jc w:val="both"/>
              <w:rPr>
                <w:rFonts w:ascii="Times New Roman" w:hAnsi="Times New Roman" w:cs="Times New Roman"/>
                <w:szCs w:val="24"/>
              </w:rPr>
            </w:pPr>
            <w:r>
              <w:rPr>
                <w:rFonts w:ascii="Times New Roman" w:hAnsi="Times New Roman" w:cs="Times New Roman"/>
                <w:szCs w:val="24"/>
              </w:rPr>
              <w:t>图7 新建道路土石方平衡图 （单位：m</w:t>
            </w:r>
            <w:r>
              <w:rPr>
                <w:rFonts w:ascii="Times New Roman" w:hAnsi="Times New Roman" w:cs="Times New Roman"/>
                <w:szCs w:val="24"/>
                <w:vertAlign w:val="superscript"/>
              </w:rPr>
              <w:t>3</w:t>
            </w:r>
            <w:r>
              <w:rPr>
                <w:rFonts w:ascii="Times New Roman" w:hAnsi="Times New Roman" w:cs="Times New Roman"/>
                <w:szCs w:val="24"/>
              </w:rPr>
              <w:t>）</w:t>
            </w:r>
          </w:p>
          <w:p>
            <w:pPr>
              <w:tabs>
                <w:tab w:val="left" w:pos="645"/>
                <w:tab w:val="left" w:pos="850"/>
                <w:tab w:val="left" w:pos="1275"/>
                <w:tab w:val="left" w:pos="2235"/>
              </w:tabs>
              <w:spacing w:line="336" w:lineRule="auto"/>
              <w:ind w:firstLine="481"/>
              <w:rPr>
                <w:rFonts w:ascii="Times New Roman" w:hAnsi="Times New Roman" w:cs="Times New Roman"/>
                <w:b/>
                <w:bCs/>
                <w:szCs w:val="24"/>
              </w:rPr>
            </w:pPr>
            <w:r>
              <w:rPr>
                <w:rFonts w:ascii="Times New Roman" w:hAnsi="Times New Roman" w:cs="Times New Roman"/>
              </w:rPr>
              <w:t>由表</w:t>
            </w:r>
            <w:r>
              <w:rPr>
                <w:rFonts w:ascii="Times New Roman" w:hAnsi="Times New Roman" w:cs="Times New Roman" w:hint="eastAsia"/>
              </w:rPr>
              <w:t>21</w:t>
            </w:r>
            <w:r>
              <w:rPr>
                <w:rFonts w:ascii="Times New Roman" w:hAnsi="Times New Roman" w:cs="Times New Roman"/>
              </w:rPr>
              <w:t>和图</w:t>
            </w:r>
            <w:r>
              <w:rPr>
                <w:rFonts w:ascii="Times New Roman" w:hAnsi="Times New Roman" w:cs="Times New Roman" w:hint="eastAsia"/>
              </w:rPr>
              <w:t>7</w:t>
            </w:r>
            <w:r>
              <w:rPr>
                <w:rFonts w:ascii="Times New Roman" w:hAnsi="Times New Roman" w:cs="Times New Roman"/>
              </w:rPr>
              <w:t>可以看出，根据上表可知项目的土石方平衡情况为：总体挖方＞填方，需弃方约1923.654m</w:t>
            </w:r>
            <w:r>
              <w:rPr>
                <w:rFonts w:ascii="Times New Roman" w:hAnsi="Times New Roman" w:cs="Times New Roman"/>
                <w:vertAlign w:val="superscript"/>
              </w:rPr>
              <w:t>3</w:t>
            </w:r>
            <w:r>
              <w:rPr>
                <w:rFonts w:ascii="Times New Roman" w:hAnsi="Times New Roman" w:cs="Times New Roman"/>
              </w:rPr>
              <w:t>，填方796.826m</w:t>
            </w:r>
            <w:r>
              <w:rPr>
                <w:rFonts w:ascii="Times New Roman" w:hAnsi="Times New Roman" w:cs="Times New Roman"/>
                <w:vertAlign w:val="superscript"/>
              </w:rPr>
              <w:t>3</w:t>
            </w:r>
            <w:r>
              <w:rPr>
                <w:rFonts w:ascii="Times New Roman" w:hAnsi="Times New Roman" w:cs="Times New Roman"/>
              </w:rPr>
              <w:t>。项目内不设永久堆土场，但考虑各工程施工进度，挖方在转运过程中需要临时堆放，项目区内设置临时堆土场</w:t>
            </w:r>
            <w:r>
              <w:rPr>
                <w:rFonts w:ascii="Times New Roman" w:hAnsi="Times New Roman" w:cs="Times New Roman" w:hint="eastAsia"/>
              </w:rPr>
              <w:t>（详见附图1</w:t>
            </w:r>
            <w:r>
              <w:rPr>
                <w:rFonts w:ascii="Times New Roman" w:hAnsi="Times New Roman" w:cs="Times New Roman" w:hint="eastAsia"/>
                <w:lang w:val="en-US" w:eastAsia="zh-CN"/>
              </w:rPr>
              <w:t>1</w:t>
            </w:r>
            <w:r>
              <w:rPr>
                <w:rFonts w:ascii="Times New Roman" w:hAnsi="Times New Roman" w:cs="Times New Roman" w:hint="eastAsia"/>
              </w:rPr>
              <w:t>）</w:t>
            </w:r>
            <w:r>
              <w:rPr>
                <w:rFonts w:ascii="Times New Roman" w:hAnsi="Times New Roman" w:cs="Times New Roman"/>
              </w:rPr>
              <w:t>。项目施工过程中产生的弃方建设单位须及时委托专业公司负责外运，运至</w:t>
            </w:r>
            <w:r>
              <w:rPr>
                <w:rFonts w:ascii="Times New Roman" w:hAnsi="Times New Roman" w:cs="Times New Roman"/>
                <w:szCs w:val="24"/>
              </w:rPr>
              <w:t>三亚市建筑废弃物综合利用厂进行填埋处理</w:t>
            </w:r>
            <w:r>
              <w:rPr>
                <w:rFonts w:ascii="Times New Roman" w:hAnsi="Times New Roman" w:cs="Times New Roman"/>
              </w:rPr>
              <w:t>，避免土石方在施工场地内长时间堆放增加水土流失量。弃方在外运过程中采用苫布遮盖，避免沿途遗洒，污染环境。</w:t>
            </w:r>
          </w:p>
          <w:p>
            <w:pPr>
              <w:pStyle w:val="3"/>
              <w:spacing w:before="0" w:beforeAutospacing="0" w:after="0" w:afterAutospacing="0" w:line="360" w:lineRule="auto"/>
              <w:ind w:firstLine="560" w:firstLineChars="200"/>
              <w:outlineLvl w:val="9"/>
              <w:rPr>
                <w:rFonts w:ascii="Times New Roman" w:eastAsia="宋体" w:hAnsi="Times New Roman" w:cs="Times New Roman"/>
                <w:color w:val="000000"/>
                <w:sz w:val="28"/>
                <w:szCs w:val="28"/>
              </w:rPr>
            </w:pPr>
            <w:r>
              <w:rPr>
                <w:rFonts w:ascii="Times New Roman" w:eastAsia="宋体" w:hAnsi="Times New Roman" w:cs="Times New Roman"/>
                <w:color w:val="000000"/>
                <w:sz w:val="28"/>
                <w:szCs w:val="28"/>
              </w:rPr>
              <w:t>三、运营期污染源分析</w:t>
            </w:r>
          </w:p>
          <w:p>
            <w:pPr>
              <w:pStyle w:val="3"/>
              <w:spacing w:before="0" w:beforeAutospacing="0" w:after="0" w:afterAutospacing="0" w:line="360" w:lineRule="auto"/>
              <w:ind w:firstLine="480" w:firstLineChars="200"/>
              <w:outlineLvl w:val="9"/>
              <w:rPr>
                <w:rFonts w:ascii="Times New Roman" w:eastAsia="宋体" w:hAnsi="Times New Roman" w:cs="Times New Roman"/>
                <w:color w:val="000000"/>
              </w:rPr>
            </w:pPr>
            <w:r>
              <w:rPr>
                <w:rFonts w:ascii="Times New Roman" w:eastAsia="宋体" w:hAnsi="Times New Roman" w:cs="Times New Roman"/>
                <w:color w:val="000000"/>
              </w:rPr>
              <w:t>1</w:t>
            </w:r>
            <w:r>
              <w:rPr>
                <w:rFonts w:ascii="Times New Roman" w:eastAsia="宋体" w:hAnsi="Times New Roman" w:cs="Times New Roman" w:hint="eastAsia"/>
                <w:color w:val="000000"/>
              </w:rPr>
              <w:t>、</w:t>
            </w:r>
            <w:r>
              <w:rPr>
                <w:rFonts w:ascii="Times New Roman" w:eastAsia="宋体" w:hAnsi="Times New Roman" w:cs="Times New Roman"/>
                <w:color w:val="000000"/>
              </w:rPr>
              <w:t>运营期水污染源分析</w:t>
            </w:r>
          </w:p>
          <w:p>
            <w:pPr>
              <w:ind w:firstLine="481"/>
              <w:rPr>
                <w:rFonts w:ascii="Times New Roman" w:hAnsi="Times New Roman" w:cs="Times New Roman" w:hint="default"/>
              </w:rPr>
            </w:pPr>
            <w:r>
              <w:rPr>
                <w:rFonts w:ascii="Times New Roman" w:hAnsi="Times New Roman" w:cs="Times New Roman" w:hint="default"/>
                <w:lang w:val="en-US" w:eastAsia="zh-CN"/>
              </w:rPr>
              <w:t>项目运营期废水主要来源于降水及路面冲洗产生的</w:t>
            </w:r>
            <w:r>
              <w:rPr>
                <w:rFonts w:ascii="Times New Roman" w:hAnsi="Times New Roman" w:cs="Times New Roman" w:hint="default"/>
              </w:rPr>
              <w:t>路面径流，主要污染物为悬浮物</w:t>
            </w:r>
            <w:r>
              <w:rPr>
                <w:rFonts w:ascii="Times New Roman" w:hAnsi="Times New Roman" w:cs="Times New Roman" w:hint="default"/>
                <w:lang w:eastAsia="zh-CN"/>
              </w:rPr>
              <w:t>、</w:t>
            </w:r>
            <w:r>
              <w:rPr>
                <w:rFonts w:ascii="Times New Roman" w:hAnsi="Times New Roman" w:cs="Times New Roman" w:hint="default"/>
                <w:lang w:val="en-US" w:eastAsia="zh-CN"/>
              </w:rPr>
              <w:t>石油类</w:t>
            </w:r>
            <w:r>
              <w:rPr>
                <w:rFonts w:ascii="Times New Roman" w:hAnsi="Times New Roman" w:cs="Times New Roman" w:hint="default"/>
              </w:rPr>
              <w:t>。</w:t>
            </w:r>
          </w:p>
          <w:p>
            <w:pPr>
              <w:ind w:firstLine="481"/>
              <w:rPr>
                <w:rFonts w:ascii="Times New Roman" w:hAnsi="Times New Roman" w:cs="Times New Roman" w:hint="default"/>
              </w:rPr>
            </w:pPr>
            <w:r>
              <w:rPr>
                <w:rFonts w:ascii="Times New Roman" w:hAnsi="Times New Roman" w:cs="Times New Roman" w:hint="default"/>
              </w:rPr>
              <w:t>影响路面径流污染物浓度的因素众多，包括降雨量、降雨时间、与车流量有关的路面及空气污染程度、两场降雨之间的间隔时间、路面宽度等，由于各种因素的随机性强、偶然性大，所以典型的路面雨水污染物浓度较难确定。根据环保部华南环科所对南方地区路面径流污染情况的试验，路面径流在降雨开始到形成径流的30分钟内雨水中的悬浮物和油类物质比较多，30分钟后随着降雨时间的延长，污染物浓度下降较快。</w:t>
            </w:r>
          </w:p>
          <w:p>
            <w:pPr>
              <w:ind w:firstLine="481"/>
              <w:rPr>
                <w:rFonts w:ascii="Times New Roman" w:hAnsi="Times New Roman" w:cs="Times New Roman" w:hint="default"/>
              </w:rPr>
            </w:pPr>
            <w:r>
              <w:rPr>
                <w:rFonts w:ascii="Times New Roman" w:hAnsi="Times New Roman" w:cs="Times New Roman" w:hint="default"/>
              </w:rPr>
              <w:t>根据以往海南类似地区的预测计算结果表明，路面径流携带污染物对水体水质的影响甚微，一般水体中污染物的增幅小于2%。项目营运期路面径流污染物主要是SS</w:t>
            </w:r>
            <w:r>
              <w:rPr>
                <w:rFonts w:ascii="Times New Roman" w:hAnsi="Times New Roman" w:cs="Times New Roman" w:hint="default"/>
                <w:lang w:eastAsia="zh-CN"/>
              </w:rPr>
              <w:t>、</w:t>
            </w:r>
            <w:r>
              <w:rPr>
                <w:rFonts w:ascii="Times New Roman" w:hAnsi="Times New Roman" w:cs="Times New Roman" w:hint="default"/>
                <w:lang w:val="en-US" w:eastAsia="zh-CN"/>
              </w:rPr>
              <w:t>石油类</w:t>
            </w:r>
            <w:r>
              <w:rPr>
                <w:rFonts w:ascii="Times New Roman" w:hAnsi="Times New Roman" w:cs="Times New Roman" w:hint="default"/>
              </w:rPr>
              <w:t>，产生量小，沉降快，对水体环境影响较小。</w:t>
            </w:r>
          </w:p>
          <w:p>
            <w:pPr>
              <w:pStyle w:val="3"/>
              <w:spacing w:before="0" w:beforeAutospacing="0" w:after="0" w:afterAutospacing="0" w:line="360" w:lineRule="auto"/>
              <w:ind w:firstLine="480" w:firstLineChars="200"/>
              <w:outlineLvl w:val="9"/>
              <w:rPr>
                <w:rFonts w:ascii="Times New Roman" w:eastAsia="宋体" w:hAnsi="Times New Roman" w:cs="Times New Roman"/>
                <w:bCs/>
                <w:color w:val="000000"/>
              </w:rPr>
            </w:pPr>
            <w:r>
              <w:rPr>
                <w:rFonts w:ascii="Times New Roman" w:eastAsia="宋体" w:hAnsi="Times New Roman" w:cs="Times New Roman"/>
                <w:bCs/>
                <w:color w:val="000000"/>
              </w:rPr>
              <w:t>2、运营期大气污染源分析</w:t>
            </w:r>
          </w:p>
          <w:p>
            <w:pPr>
              <w:ind w:firstLine="481"/>
              <w:rPr>
                <w:rFonts w:ascii="Times New Roman" w:hAnsi="Times New Roman" w:cs="Times New Roman"/>
              </w:rPr>
            </w:pPr>
            <w:r>
              <w:rPr>
                <w:rFonts w:ascii="Times New Roman" w:hAnsi="Times New Roman" w:cs="Times New Roman"/>
              </w:rPr>
              <w:t>道路工程自身不产生废气，运营期的大气污染源主要来自行驶于道路过程中产生的汽车尾气，主要污染物为CO、NOx、THC。</w:t>
            </w:r>
          </w:p>
          <w:p>
            <w:pPr>
              <w:pStyle w:val="3"/>
              <w:spacing w:before="0" w:beforeAutospacing="0" w:after="0" w:afterAutospacing="0" w:line="360" w:lineRule="auto"/>
              <w:ind w:firstLine="480" w:firstLineChars="200"/>
              <w:outlineLvl w:val="9"/>
              <w:rPr>
                <w:rFonts w:ascii="Times New Roman" w:eastAsia="宋体" w:hAnsi="Times New Roman" w:cs="Times New Roman"/>
                <w:color w:val="000000"/>
              </w:rPr>
            </w:pPr>
            <w:r>
              <w:rPr>
                <w:rFonts w:ascii="Times New Roman" w:eastAsia="宋体" w:hAnsi="Times New Roman" w:cs="Times New Roman"/>
                <w:color w:val="000000"/>
              </w:rPr>
              <w:t>3、运营期噪声污染源分析</w:t>
            </w:r>
          </w:p>
        </w:tc>
      </w:tr>
    </w:tbl>
    <w:p>
      <w:pPr>
        <w:sectPr>
          <w:headerReference w:type="default" r:id="rId85"/>
          <w:footerReference w:type="even" r:id="rId86"/>
          <w:footerReference w:type="default" r:id="rId87"/>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5"/>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481"/>
              <w:rPr>
                <w:rFonts w:ascii="Times New Roman" w:hAnsi="Times New Roman" w:cs="Times New Roman"/>
              </w:rPr>
            </w:pPr>
            <w:r>
              <w:rPr>
                <w:rFonts w:ascii="Times New Roman" w:hAnsi="Times New Roman" w:cs="Times New Roman"/>
              </w:rPr>
              <w:t>道路建成后运营期噪声源主要是道路行驶的各种车辆在行驶过程中产生的交通噪声（包括机动车发动机噪声、排气噪声、车体振动噪声、传动和制动噪声等）其中发动机噪声是主要污染源。其大小与发动机转速、车速等有关。交通噪声的大小与车速、车流量、机动车类型、道路结构、道路表面覆盖物、道路两侧建筑物、地形等多因素有关。</w:t>
            </w:r>
          </w:p>
          <w:p>
            <w:pPr>
              <w:ind w:firstLine="481"/>
              <w:rPr>
                <w:rFonts w:ascii="Times New Roman" w:hAnsi="Times New Roman" w:cs="Times New Roman"/>
              </w:rPr>
            </w:pPr>
            <w:r>
              <w:rPr>
                <w:rFonts w:ascii="Times New Roman" w:hAnsi="Times New Roman" w:cs="Times New Roman"/>
              </w:rPr>
              <w:t>①车速</w:t>
            </w:r>
          </w:p>
          <w:p>
            <w:pPr>
              <w:ind w:firstLine="481"/>
              <w:rPr>
                <w:rFonts w:ascii="Times New Roman" w:hAnsi="Times New Roman" w:cs="Times New Roman"/>
              </w:rPr>
            </w:pPr>
            <w:r>
              <w:rPr>
                <w:rFonts w:ascii="Times New Roman" w:hAnsi="Times New Roman" w:cs="Times New Roman"/>
              </w:rPr>
              <w:t>车速预测参照《公路建设项目环境影响评价规范》（</w:t>
            </w:r>
            <w:r>
              <w:rPr>
                <w:rFonts w:ascii="Times New Roman" w:hAnsi="Times New Roman" w:cs="Times New Roman"/>
                <w:color w:val="000000"/>
                <w:kern w:val="0"/>
              </w:rPr>
              <w:t>JTJ005-96</w:t>
            </w:r>
            <w:r>
              <w:rPr>
                <w:rFonts w:ascii="Times New Roman" w:hAnsi="Times New Roman" w:cs="Times New Roman"/>
              </w:rPr>
              <w:t>），交通噪声排放源强预测</w:t>
            </w:r>
            <w:r>
              <w:rPr>
                <w:rFonts w:ascii="Times New Roman" w:hAnsi="Times New Roman" w:cs="Times New Roman" w:hint="eastAsia"/>
              </w:rPr>
              <w:t>计算公式</w:t>
            </w:r>
            <w:r>
              <w:rPr>
                <w:rFonts w:ascii="Times New Roman" w:hAnsi="Times New Roman" w:cs="Times New Roman"/>
              </w:rPr>
              <w:t>如下：</w:t>
            </w:r>
          </w:p>
          <w:p>
            <w:pPr>
              <w:autoSpaceDE w:val="0"/>
              <w:autoSpaceDN w:val="0"/>
              <w:ind w:firstLine="481"/>
              <w:rPr>
                <w:rFonts w:ascii="Times New Roman" w:hAnsi="Times New Roman" w:cs="Times New Roman"/>
                <w:color w:val="000000"/>
                <w:kern w:val="0"/>
              </w:rPr>
            </w:pPr>
            <w:r>
              <w:rPr>
                <w:rFonts w:ascii="Times New Roman" w:hAnsi="Times New Roman" w:cs="Times New Roman"/>
                <w:color w:val="000000"/>
                <w:kern w:val="0"/>
              </w:rPr>
              <w:t>小型车：V=237×N</w:t>
            </w:r>
            <w:r>
              <w:rPr>
                <w:rFonts w:ascii="Times New Roman" w:hAnsi="Times New Roman" w:cs="Times New Roman"/>
                <w:color w:val="000000"/>
                <w:kern w:val="0"/>
                <w:vertAlign w:val="superscript"/>
              </w:rPr>
              <w:t>-0.1602</w:t>
            </w:r>
          </w:p>
          <w:p>
            <w:pPr>
              <w:autoSpaceDE w:val="0"/>
              <w:autoSpaceDN w:val="0"/>
              <w:ind w:firstLine="481"/>
              <w:rPr>
                <w:rFonts w:ascii="Times New Roman" w:hAnsi="Times New Roman" w:cs="Times New Roman"/>
                <w:color w:val="000000"/>
                <w:kern w:val="0"/>
              </w:rPr>
            </w:pPr>
            <w:r>
              <w:rPr>
                <w:rFonts w:ascii="Times New Roman" w:hAnsi="Times New Roman" w:cs="Times New Roman"/>
                <w:color w:val="000000"/>
                <w:kern w:val="0"/>
              </w:rPr>
              <w:t>中型车：V=212×N</w:t>
            </w:r>
            <w:r>
              <w:rPr>
                <w:rFonts w:ascii="Times New Roman" w:hAnsi="Times New Roman" w:cs="Times New Roman"/>
                <w:color w:val="000000"/>
                <w:kern w:val="0"/>
                <w:vertAlign w:val="superscript"/>
              </w:rPr>
              <w:t>-0.1747</w:t>
            </w:r>
          </w:p>
          <w:p>
            <w:pPr>
              <w:autoSpaceDE w:val="0"/>
              <w:autoSpaceDN w:val="0"/>
              <w:ind w:firstLine="481"/>
              <w:rPr>
                <w:rFonts w:ascii="Times New Roman" w:hAnsi="Times New Roman" w:cs="Times New Roman"/>
                <w:color w:val="000000"/>
                <w:kern w:val="0"/>
              </w:rPr>
            </w:pPr>
            <w:r>
              <w:rPr>
                <w:rFonts w:ascii="Times New Roman" w:hAnsi="Times New Roman" w:cs="Times New Roman"/>
                <w:color w:val="000000"/>
                <w:kern w:val="0"/>
              </w:rPr>
              <w:t>大型车：V=按中型车的80%计算。</w:t>
            </w:r>
          </w:p>
          <w:p>
            <w:pPr>
              <w:autoSpaceDE w:val="0"/>
              <w:autoSpaceDN w:val="0"/>
              <w:ind w:firstLine="600" w:firstLineChars="250"/>
              <w:rPr>
                <w:rFonts w:ascii="Times New Roman" w:hAnsi="Times New Roman" w:cs="Times New Roman"/>
                <w:color w:val="000000"/>
                <w:kern w:val="0"/>
              </w:rPr>
            </w:pPr>
            <w:r>
              <w:rPr>
                <w:rFonts w:ascii="Times New Roman" w:hAnsi="Times New Roman" w:cs="Times New Roman"/>
                <w:color w:val="000000"/>
                <w:kern w:val="0"/>
              </w:rPr>
              <w:t>式中：V——车速，km/h；</w:t>
            </w:r>
          </w:p>
          <w:p>
            <w:pPr>
              <w:autoSpaceDE w:val="0"/>
              <w:autoSpaceDN w:val="0"/>
              <w:ind w:firstLine="1320" w:firstLineChars="550"/>
              <w:jc w:val="left"/>
              <w:rPr>
                <w:rFonts w:ascii="Times New Roman" w:hAnsi="Times New Roman" w:cs="Times New Roman"/>
                <w:color w:val="000000"/>
              </w:rPr>
            </w:pPr>
            <w:r>
              <w:rPr>
                <w:rFonts w:ascii="Times New Roman" w:hAnsi="Times New Roman" w:cs="Times New Roman"/>
                <w:color w:val="000000"/>
                <w:kern w:val="0"/>
              </w:rPr>
              <w:t>N——小时交通量，辆/h。</w:t>
            </w:r>
          </w:p>
          <w:p>
            <w:pPr>
              <w:ind w:firstLine="481"/>
              <w:rPr>
                <w:rFonts w:ascii="Times New Roman" w:hAnsi="Times New Roman" w:cs="Times New Roman"/>
              </w:rPr>
            </w:pPr>
            <w:r>
              <w:rPr>
                <w:rFonts w:ascii="Times New Roman" w:hAnsi="Times New Roman" w:cs="Times New Roman"/>
              </w:rPr>
              <w:t>本项目设计车速为40km/h。</w:t>
            </w:r>
          </w:p>
          <w:p>
            <w:pPr>
              <w:ind w:firstLine="481"/>
              <w:rPr>
                <w:rFonts w:ascii="Times New Roman" w:hAnsi="Times New Roman" w:cs="Times New Roman"/>
                <w:b/>
                <w:bCs/>
              </w:rPr>
            </w:pPr>
            <w:r>
              <w:rPr>
                <w:rFonts w:ascii="Times New Roman" w:hAnsi="Times New Roman" w:cs="Times New Roman"/>
              </w:rPr>
              <w:t>本项目交通量的预测年限为2021、2027、2035年，预测年限内的交通量见表2</w:t>
            </w:r>
            <w:r>
              <w:rPr>
                <w:rFonts w:ascii="Times New Roman" w:hAnsi="Times New Roman" w:cs="Times New Roman" w:hint="eastAsia"/>
              </w:rPr>
              <w:t>2</w:t>
            </w:r>
            <w:r>
              <w:rPr>
                <w:rFonts w:ascii="Times New Roman" w:hAnsi="Times New Roman" w:cs="Times New Roman"/>
              </w:rPr>
              <w:t>，预测年限内的车速见表2</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b/>
                <w:bCs/>
              </w:rPr>
              <w:t xml:space="preserve">                       </w:t>
            </w:r>
          </w:p>
          <w:p>
            <w:pPr>
              <w:spacing w:line="240" w:lineRule="auto"/>
              <w:ind w:firstLine="0" w:firstLineChars="0"/>
              <w:jc w:val="center"/>
              <w:rPr>
                <w:rFonts w:ascii="Times New Roman" w:hAnsi="Times New Roman" w:cs="Times New Roman"/>
                <w:b/>
                <w:bCs/>
              </w:rPr>
            </w:pPr>
            <w:r>
              <w:rPr>
                <w:rFonts w:ascii="Times New Roman" w:hAnsi="Times New Roman" w:cs="Times New Roman" w:hint="eastAsia"/>
                <w:b/>
                <w:bCs/>
                <w:lang w:val="en-US" w:eastAsia="zh-CN"/>
              </w:rPr>
              <w:t xml:space="preserve">                    </w:t>
            </w:r>
            <w:r>
              <w:rPr>
                <w:rFonts w:ascii="Times New Roman" w:hAnsi="Times New Roman" w:cs="Times New Roman"/>
                <w:b/>
                <w:bCs/>
              </w:rPr>
              <w:t>表2</w:t>
            </w:r>
            <w:r>
              <w:rPr>
                <w:rFonts w:ascii="Times New Roman" w:hAnsi="Times New Roman" w:cs="Times New Roman" w:hint="eastAsia"/>
                <w:b/>
                <w:bCs/>
              </w:rPr>
              <w:t>2</w:t>
            </w:r>
            <w:r>
              <w:rPr>
                <w:rFonts w:ascii="Times New Roman" w:hAnsi="Times New Roman" w:cs="Times New Roman"/>
                <w:b/>
                <w:bCs/>
              </w:rPr>
              <w:t xml:space="preserve"> 运营期交通量预测                单位：辆/h</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233"/>
              <w:gridCol w:w="1039"/>
              <w:gridCol w:w="1150"/>
              <w:gridCol w:w="1114"/>
              <w:gridCol w:w="1133"/>
              <w:gridCol w:w="1135"/>
              <w:gridCol w:w="1132"/>
              <w:gridCol w:w="113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5"/>
                <w:jc w:val="center"/>
              </w:trPr>
              <w:tc>
                <w:tcPr>
                  <w:tcW w:w="1233"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道路名称</w:t>
                  </w:r>
                </w:p>
              </w:tc>
              <w:tc>
                <w:tcPr>
                  <w:tcW w:w="1039"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预测年限</w:t>
                  </w:r>
                </w:p>
              </w:tc>
              <w:tc>
                <w:tcPr>
                  <w:tcW w:w="3397"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昼  间</w:t>
                  </w:r>
                </w:p>
              </w:tc>
              <w:tc>
                <w:tcPr>
                  <w:tcW w:w="3402"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夜  间</w:t>
                  </w:r>
                </w:p>
              </w:tc>
            </w:tr>
            <w:tr>
              <w:tblPrEx>
                <w:tblW w:w="0" w:type="auto"/>
                <w:jc w:val="center"/>
                <w:tblLayout w:type="fixed"/>
                <w:tblCellMar>
                  <w:top w:w="0" w:type="dxa"/>
                  <w:left w:w="108" w:type="dxa"/>
                  <w:bottom w:w="0" w:type="dxa"/>
                  <w:right w:w="108" w:type="dxa"/>
                </w:tblCellMar>
              </w:tblPrEx>
              <w:trPr>
                <w:cantSplit/>
                <w:trHeight w:val="381"/>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b/>
                      <w:bCs/>
                      <w:sz w:val="21"/>
                    </w:rPr>
                  </w:pPr>
                </w:p>
              </w:tc>
              <w:tc>
                <w:tcPr>
                  <w:tcW w:w="1039" w:type="dxa"/>
                  <w:vMerge/>
                  <w:noWrap w:val="0"/>
                  <w:vAlign w:val="center"/>
                </w:tcPr>
                <w:p>
                  <w:pPr>
                    <w:widowControl/>
                    <w:spacing w:line="240" w:lineRule="auto"/>
                    <w:ind w:firstLine="0" w:firstLineChars="0"/>
                    <w:jc w:val="center"/>
                    <w:rPr>
                      <w:rFonts w:ascii="Times New Roman" w:hAnsi="Times New Roman" w:cs="Times New Roman"/>
                      <w:b/>
                      <w:bCs/>
                      <w:sz w:val="21"/>
                    </w:rPr>
                  </w:pPr>
                </w:p>
              </w:tc>
              <w:tc>
                <w:tcPr>
                  <w:tcW w:w="1150"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14"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3"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32"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三亚市育春路西侧A段工程</w:t>
                  </w: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2021</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17</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33</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116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hint="eastAsia"/>
                      <w:color w:val="auto"/>
                      <w:sz w:val="21"/>
                    </w:rPr>
                  </w:pPr>
                  <w:r>
                    <w:rPr>
                      <w:rFonts w:ascii="Times New Roman" w:hAnsi="Times New Roman" w:cs="Times New Roman" w:hint="eastAsia"/>
                      <w:color w:val="auto"/>
                      <w:kern w:val="0"/>
                      <w:sz w:val="21"/>
                      <w:lang w:bidi="ar"/>
                    </w:rPr>
                    <w:t>4</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hint="eastAsia"/>
                      <w:color w:val="auto"/>
                      <w:sz w:val="21"/>
                    </w:rPr>
                  </w:pPr>
                  <w:r>
                    <w:rPr>
                      <w:rFonts w:ascii="Times New Roman" w:hAnsi="Times New Roman" w:cs="Times New Roman" w:hint="eastAsia"/>
                      <w:color w:val="auto"/>
                      <w:kern w:val="0"/>
                      <w:sz w:val="21"/>
                      <w:lang w:bidi="ar"/>
                    </w:rPr>
                    <w:t>8</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29</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2027</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51</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102</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356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13</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25</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89</w:t>
                  </w:r>
                </w:p>
              </w:tc>
            </w:tr>
            <w:tr>
              <w:tblPrEx>
                <w:tblW w:w="0" w:type="auto"/>
                <w:jc w:val="center"/>
                <w:tblLayout w:type="fixed"/>
                <w:tblCellMar>
                  <w:top w:w="0" w:type="dxa"/>
                  <w:left w:w="108" w:type="dxa"/>
                  <w:bottom w:w="0" w:type="dxa"/>
                  <w:right w:w="108" w:type="dxa"/>
                </w:tblCellMar>
              </w:tblPrEx>
              <w:trPr>
                <w:cantSplit/>
                <w:trHeight w:val="466"/>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2035</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52</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105</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367</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13</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26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kern w:val="0"/>
                      <w:sz w:val="21"/>
                      <w:lang w:bidi="ar"/>
                    </w:rPr>
                    <w:t>92</w:t>
                  </w:r>
                </w:p>
              </w:tc>
            </w:tr>
          </w:tbl>
          <w:p>
            <w:pPr>
              <w:spacing w:line="240" w:lineRule="auto"/>
              <w:ind w:firstLine="540" w:firstLineChars="300"/>
              <w:rPr>
                <w:rFonts w:ascii="Times New Roman" w:hAnsi="Times New Roman" w:cs="Times New Roman" w:hint="eastAsia"/>
                <w:b/>
                <w:bCs/>
              </w:rPr>
            </w:pPr>
            <w:r>
              <w:rPr>
                <w:rFonts w:ascii="Times New Roman" w:hAnsi="Times New Roman" w:cs="Times New Roman"/>
                <w:b/>
                <w:bCs/>
                <w:color w:val="auto"/>
                <w:sz w:val="18"/>
                <w:szCs w:val="18"/>
              </w:rPr>
              <w:t>昼夜间车流量按8:2计，大、中、小型车按1:2:7计。</w:t>
            </w:r>
            <w:r>
              <w:rPr>
                <w:rFonts w:ascii="Times New Roman" w:hAnsi="Times New Roman" w:cs="Times New Roman"/>
                <w:b/>
                <w:bCs/>
              </w:rPr>
              <w:t xml:space="preserve"> </w:t>
            </w:r>
            <w:r>
              <w:rPr>
                <w:rFonts w:ascii="Times New Roman" w:hAnsi="Times New Roman" w:cs="Times New Roman" w:hint="eastAsia"/>
                <w:b/>
                <w:bCs/>
              </w:rPr>
              <w:t xml:space="preserve">                       </w:t>
            </w:r>
          </w:p>
          <w:p>
            <w:pPr>
              <w:spacing w:line="240" w:lineRule="auto"/>
              <w:ind w:firstLine="0" w:firstLineChars="0"/>
              <w:jc w:val="center"/>
              <w:rPr>
                <w:rFonts w:ascii="Times New Roman" w:hAnsi="Times New Roman" w:cs="Times New Roman"/>
                <w:b/>
                <w:bCs/>
              </w:rPr>
            </w:pPr>
            <w:r>
              <w:rPr>
                <w:rFonts w:ascii="Times New Roman" w:hAnsi="Times New Roman" w:cs="Times New Roman" w:hint="eastAsia"/>
                <w:b/>
                <w:bCs/>
              </w:rPr>
              <w:t xml:space="preserve">                        </w:t>
            </w:r>
            <w:r>
              <w:rPr>
                <w:rFonts w:ascii="Times New Roman" w:hAnsi="Times New Roman" w:cs="Times New Roman"/>
                <w:b/>
                <w:bCs/>
              </w:rPr>
              <w:t>表2</w:t>
            </w:r>
            <w:r>
              <w:rPr>
                <w:rFonts w:ascii="Times New Roman" w:hAnsi="Times New Roman" w:cs="Times New Roman" w:hint="eastAsia"/>
                <w:b/>
                <w:bCs/>
              </w:rPr>
              <w:t>3</w:t>
            </w:r>
            <w:r>
              <w:rPr>
                <w:rFonts w:ascii="Times New Roman" w:hAnsi="Times New Roman" w:cs="Times New Roman"/>
                <w:b/>
                <w:bCs/>
              </w:rPr>
              <w:t xml:space="preserve"> 运营期各特征年车速              单位：km/h</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233"/>
              <w:gridCol w:w="1039"/>
              <w:gridCol w:w="1150"/>
              <w:gridCol w:w="1114"/>
              <w:gridCol w:w="1133"/>
              <w:gridCol w:w="1135"/>
              <w:gridCol w:w="1132"/>
              <w:gridCol w:w="113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5"/>
                <w:jc w:val="center"/>
              </w:trPr>
              <w:tc>
                <w:tcPr>
                  <w:tcW w:w="1233"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道路名称</w:t>
                  </w:r>
                </w:p>
              </w:tc>
              <w:tc>
                <w:tcPr>
                  <w:tcW w:w="1039"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预测年限</w:t>
                  </w:r>
                </w:p>
              </w:tc>
              <w:tc>
                <w:tcPr>
                  <w:tcW w:w="3397"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昼  间</w:t>
                  </w:r>
                </w:p>
              </w:tc>
              <w:tc>
                <w:tcPr>
                  <w:tcW w:w="3402"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夜  间</w:t>
                  </w:r>
                </w:p>
              </w:tc>
            </w:tr>
            <w:tr>
              <w:tblPrEx>
                <w:tblW w:w="0" w:type="auto"/>
                <w:jc w:val="center"/>
                <w:tblLayout w:type="fixed"/>
                <w:tblCellMar>
                  <w:top w:w="0" w:type="dxa"/>
                  <w:left w:w="108" w:type="dxa"/>
                  <w:bottom w:w="0" w:type="dxa"/>
                  <w:right w:w="108" w:type="dxa"/>
                </w:tblCellMar>
              </w:tblPrEx>
              <w:trPr>
                <w:cantSplit/>
                <w:trHeight w:val="381"/>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b/>
                      <w:bCs/>
                      <w:sz w:val="21"/>
                    </w:rPr>
                  </w:pPr>
                </w:p>
              </w:tc>
              <w:tc>
                <w:tcPr>
                  <w:tcW w:w="1039" w:type="dxa"/>
                  <w:vMerge/>
                  <w:noWrap w:val="0"/>
                  <w:vAlign w:val="center"/>
                </w:tcPr>
                <w:p>
                  <w:pPr>
                    <w:widowControl/>
                    <w:spacing w:line="240" w:lineRule="auto"/>
                    <w:ind w:firstLine="0" w:firstLineChars="0"/>
                    <w:jc w:val="center"/>
                    <w:rPr>
                      <w:rFonts w:ascii="Times New Roman" w:hAnsi="Times New Roman" w:cs="Times New Roman"/>
                      <w:b/>
                      <w:bCs/>
                      <w:sz w:val="21"/>
                    </w:rPr>
                  </w:pPr>
                </w:p>
              </w:tc>
              <w:tc>
                <w:tcPr>
                  <w:tcW w:w="1150"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14"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3"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32"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val="restart"/>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三亚市育春路西侧A段工程</w:t>
                  </w: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2021</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29</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37</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29</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35</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2027</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24</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24</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29</w:t>
                  </w:r>
                </w:p>
              </w:tc>
            </w:tr>
            <w:tr>
              <w:tblPrEx>
                <w:tblW w:w="0" w:type="auto"/>
                <w:jc w:val="center"/>
                <w:tblLayout w:type="fixed"/>
                <w:tblCellMar>
                  <w:top w:w="0" w:type="dxa"/>
                  <w:left w:w="108" w:type="dxa"/>
                  <w:bottom w:w="0" w:type="dxa"/>
                  <w:right w:w="108" w:type="dxa"/>
                </w:tblCellMar>
              </w:tblPrEx>
              <w:trPr>
                <w:cantSplit/>
                <w:trHeight w:val="466"/>
                <w:jc w:val="center"/>
              </w:trPr>
              <w:tc>
                <w:tcPr>
                  <w:tcW w:w="1233" w:type="dxa"/>
                  <w:vMerge/>
                  <w:noWrap w:val="0"/>
                  <w:vAlign w:val="center"/>
                </w:tcPr>
                <w:p>
                  <w:pPr>
                    <w:widowControl/>
                    <w:spacing w:line="240" w:lineRule="auto"/>
                    <w:ind w:firstLine="0" w:firstLineChars="0"/>
                    <w:jc w:val="center"/>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2035</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24</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24</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30</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29</w:t>
                  </w:r>
                </w:p>
              </w:tc>
            </w:tr>
          </w:tbl>
          <w:p>
            <w:pPr>
              <w:adjustRightInd w:val="0"/>
              <w:ind w:firstLine="481"/>
              <w:rPr>
                <w:rFonts w:ascii="Times New Roman" w:hAnsi="Times New Roman" w:cs="Times New Roman"/>
              </w:rPr>
            </w:pPr>
            <w:r>
              <w:rPr>
                <w:rFonts w:ascii="微软雅黑" w:eastAsia="微软雅黑" w:hAnsi="微软雅黑" w:cs="微软雅黑" w:hint="eastAsia"/>
              </w:rPr>
              <w:t>②</w:t>
            </w:r>
            <w:r>
              <w:rPr>
                <w:rFonts w:ascii="Times New Roman" w:hAnsi="Times New Roman" w:cs="Times New Roman"/>
              </w:rPr>
              <w:t>辐射声级</w:t>
            </w:r>
          </w:p>
          <w:p>
            <w:pPr>
              <w:pStyle w:val="3"/>
              <w:tabs>
                <w:tab w:val="left" w:pos="360"/>
              </w:tabs>
              <w:adjustRightInd w:val="0"/>
              <w:spacing w:before="0" w:beforeAutospacing="0" w:after="0" w:afterAutospacing="0" w:line="360" w:lineRule="auto"/>
              <w:ind w:firstLine="480" w:firstLineChars="200"/>
              <w:rPr>
                <w:rFonts w:ascii="Times New Roman" w:eastAsia="宋体" w:hAnsi="Times New Roman" w:cs="Times New Roman"/>
                <w:b w:val="0"/>
                <w:color w:val="000000"/>
                <w:kern w:val="2"/>
              </w:rPr>
            </w:pPr>
            <w:r>
              <w:rPr>
                <w:rFonts w:ascii="Times New Roman" w:eastAsia="宋体" w:hAnsi="Times New Roman" w:cs="Times New Roman"/>
                <w:b w:val="0"/>
                <w:color w:val="000000"/>
                <w:kern w:val="2"/>
              </w:rPr>
              <w:t>车辆交通噪声源强按各类车辆平均辐射声级公式计算：</w:t>
            </w:r>
          </w:p>
          <w:p>
            <w:pPr>
              <w:ind w:firstLine="481"/>
              <w:rPr>
                <w:rFonts w:ascii="Times New Roman" w:hAnsi="Times New Roman" w:cs="Times New Roman"/>
                <w:color w:val="000000"/>
              </w:rPr>
            </w:pPr>
            <w:r>
              <w:rPr>
                <w:rFonts w:ascii="Times New Roman" w:hAnsi="Times New Roman" w:cs="Times New Roman"/>
                <w:color w:val="000000"/>
              </w:rPr>
              <w:t>小型车：L</w:t>
            </w:r>
            <w:r>
              <w:rPr>
                <w:rFonts w:ascii="Times New Roman" w:hAnsi="Times New Roman" w:cs="Times New Roman"/>
                <w:color w:val="000000"/>
                <w:vertAlign w:val="subscript"/>
              </w:rPr>
              <w:t>W,S</w:t>
            </w:r>
            <w:r>
              <w:rPr>
                <w:rFonts w:ascii="Times New Roman" w:hAnsi="Times New Roman" w:cs="Times New Roman"/>
                <w:color w:val="000000"/>
              </w:rPr>
              <w:t>=59.3+0.23 V</w:t>
            </w:r>
            <w:r>
              <w:rPr>
                <w:rFonts w:ascii="Times New Roman" w:hAnsi="Times New Roman" w:cs="Times New Roman"/>
                <w:color w:val="000000"/>
                <w:vertAlign w:val="subscript"/>
              </w:rPr>
              <w:t>S</w:t>
            </w:r>
          </w:p>
          <w:p>
            <w:pPr>
              <w:ind w:firstLine="481"/>
              <w:rPr>
                <w:rFonts w:ascii="Times New Roman" w:hAnsi="Times New Roman" w:cs="Times New Roman"/>
                <w:color w:val="000000"/>
              </w:rPr>
            </w:pPr>
            <w:r>
              <w:rPr>
                <w:rFonts w:ascii="Times New Roman" w:hAnsi="Times New Roman" w:cs="Times New Roman"/>
                <w:color w:val="000000"/>
              </w:rPr>
              <w:t>中型车：L</w:t>
            </w:r>
            <w:r>
              <w:rPr>
                <w:rFonts w:ascii="Times New Roman" w:hAnsi="Times New Roman" w:cs="Times New Roman"/>
                <w:color w:val="000000"/>
                <w:vertAlign w:val="subscript"/>
              </w:rPr>
              <w:t>W,M</w:t>
            </w:r>
            <w:r>
              <w:rPr>
                <w:rFonts w:ascii="Times New Roman" w:hAnsi="Times New Roman" w:cs="Times New Roman"/>
                <w:color w:val="000000"/>
              </w:rPr>
              <w:t>=62.6+0.32 V</w:t>
            </w:r>
            <w:r>
              <w:rPr>
                <w:rFonts w:ascii="Times New Roman" w:hAnsi="Times New Roman" w:cs="Times New Roman"/>
                <w:color w:val="000000"/>
                <w:vertAlign w:val="subscript"/>
              </w:rPr>
              <w:t>M</w:t>
            </w:r>
          </w:p>
        </w:tc>
      </w:tr>
    </w:tbl>
    <w:p>
      <w:pPr>
        <w:sectPr>
          <w:headerReference w:type="default" r:id="rId88"/>
          <w:footerReference w:type="even" r:id="rId89"/>
          <w:footerReference w:type="default" r:id="rId90"/>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6"/>
          <w:cols w:num="1" w:space="720"/>
          <w:titlePg w:val="0"/>
          <w:docGrid w:type="linesAndChars" w:linePitch="286" w:charSpace="80"/>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021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3807"/>
          <w:jc w:val="center"/>
        </w:trPr>
        <w:tc>
          <w:tcPr>
            <w:tcW w:w="10219" w:type="dxa"/>
            <w:noWrap w:val="0"/>
            <w:vAlign w:val="top"/>
          </w:tcPr>
          <w:p>
            <w:pPr>
              <w:ind w:firstLine="481"/>
              <w:rPr>
                <w:rFonts w:ascii="Times New Roman" w:hAnsi="Times New Roman" w:cs="Times New Roman"/>
                <w:color w:val="000000"/>
              </w:rPr>
            </w:pPr>
            <w:r>
              <w:rPr>
                <w:rFonts w:ascii="Times New Roman" w:hAnsi="Times New Roman" w:cs="Times New Roman"/>
                <w:color w:val="000000"/>
              </w:rPr>
              <w:t>大型车：L</w:t>
            </w:r>
            <w:r>
              <w:rPr>
                <w:rFonts w:ascii="Times New Roman" w:hAnsi="Times New Roman" w:cs="Times New Roman"/>
                <w:color w:val="000000"/>
                <w:vertAlign w:val="subscript"/>
              </w:rPr>
              <w:t>W,L</w:t>
            </w:r>
            <w:r>
              <w:rPr>
                <w:rFonts w:ascii="Times New Roman" w:hAnsi="Times New Roman" w:cs="Times New Roman"/>
                <w:color w:val="000000"/>
              </w:rPr>
              <w:t>=77.2+0.18 V</w:t>
            </w:r>
            <w:r>
              <w:rPr>
                <w:rFonts w:ascii="Times New Roman" w:hAnsi="Times New Roman" w:cs="Times New Roman"/>
                <w:color w:val="000000"/>
                <w:vertAlign w:val="subscript"/>
              </w:rPr>
              <w:t>L</w:t>
            </w:r>
          </w:p>
          <w:p>
            <w:pPr>
              <w:pStyle w:val="3"/>
              <w:tabs>
                <w:tab w:val="left" w:pos="360"/>
              </w:tabs>
              <w:spacing w:before="0" w:beforeAutospacing="0" w:after="0" w:afterAutospacing="0" w:line="360" w:lineRule="auto"/>
              <w:ind w:firstLine="462"/>
              <w:rPr>
                <w:rFonts w:ascii="Times New Roman" w:eastAsia="宋体" w:hAnsi="Times New Roman" w:cs="Times New Roman"/>
                <w:b w:val="0"/>
                <w:color w:val="000000"/>
                <w:kern w:val="2"/>
              </w:rPr>
            </w:pPr>
            <w:r>
              <w:rPr>
                <w:rFonts w:ascii="Times New Roman" w:eastAsia="宋体" w:hAnsi="Times New Roman" w:cs="Times New Roman"/>
                <w:b w:val="0"/>
                <w:color w:val="000000"/>
                <w:kern w:val="2"/>
              </w:rPr>
              <w:t>式中，V——相应车型车速，km/h；</w:t>
            </w:r>
          </w:p>
          <w:p>
            <w:pPr>
              <w:ind w:firstLine="481"/>
              <w:rPr>
                <w:rFonts w:ascii="Times New Roman" w:hAnsi="Times New Roman" w:cs="Times New Roman"/>
                <w:bCs/>
              </w:rPr>
            </w:pPr>
            <w:r>
              <w:rPr>
                <w:rFonts w:ascii="Times New Roman" w:hAnsi="Times New Roman" w:cs="Times New Roman"/>
              </w:rPr>
              <w:t>在道路上行驶的辐射声级</w:t>
            </w:r>
            <w:r>
              <w:rPr>
                <w:rFonts w:ascii="Times New Roman" w:hAnsi="Times New Roman" w:cs="Times New Roman" w:hint="eastAsia"/>
              </w:rPr>
              <w:t>计算结果</w:t>
            </w:r>
            <w:r>
              <w:rPr>
                <w:rFonts w:ascii="Times New Roman" w:hAnsi="Times New Roman" w:cs="Times New Roman"/>
              </w:rPr>
              <w:t>见下表2</w:t>
            </w:r>
            <w:r>
              <w:rPr>
                <w:rFonts w:ascii="Times New Roman" w:hAnsi="Times New Roman" w:cs="Times New Roman" w:hint="eastAsia"/>
              </w:rPr>
              <w:t>4</w:t>
            </w:r>
            <w:r>
              <w:rPr>
                <w:rFonts w:ascii="Times New Roman" w:hAnsi="Times New Roman" w:cs="Times New Roman"/>
              </w:rPr>
              <w:t>。</w:t>
            </w:r>
            <w:r>
              <w:rPr>
                <w:rFonts w:ascii="Times New Roman" w:hAnsi="Times New Roman" w:cs="Times New Roman"/>
                <w:bCs/>
              </w:rPr>
              <w:t xml:space="preserve">   </w:t>
            </w:r>
          </w:p>
          <w:p>
            <w:pPr>
              <w:pStyle w:val="3"/>
              <w:spacing w:before="0" w:beforeAutospacing="0" w:after="0" w:afterAutospacing="0" w:line="240" w:lineRule="auto"/>
              <w:ind w:firstLine="0" w:firstLineChars="0"/>
              <w:jc w:val="center"/>
              <w:outlineLvl w:val="9"/>
              <w:rPr>
                <w:rFonts w:ascii="Times New Roman" w:eastAsia="宋体" w:hAnsi="Times New Roman" w:cs="Times New Roman"/>
              </w:rPr>
            </w:pPr>
            <w:r>
              <w:rPr>
                <w:rFonts w:ascii="Times New Roman" w:eastAsia="宋体" w:hAnsi="Times New Roman" w:cs="Times New Roman"/>
              </w:rPr>
              <w:t xml:space="preserve">             表2</w:t>
            </w:r>
            <w:r>
              <w:rPr>
                <w:rFonts w:ascii="Times New Roman" w:eastAsia="宋体" w:hAnsi="Times New Roman" w:cs="Times New Roman" w:hint="eastAsia"/>
              </w:rPr>
              <w:t>4</w:t>
            </w:r>
            <w:r>
              <w:rPr>
                <w:rFonts w:ascii="Times New Roman" w:eastAsia="宋体" w:hAnsi="Times New Roman" w:cs="Times New Roman"/>
              </w:rPr>
              <w:t xml:space="preserve"> 项目各特征年分车型单车交通噪声源强      单位：dB（A）</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233"/>
              <w:gridCol w:w="1039"/>
              <w:gridCol w:w="1150"/>
              <w:gridCol w:w="1114"/>
              <w:gridCol w:w="1133"/>
              <w:gridCol w:w="1135"/>
              <w:gridCol w:w="1132"/>
              <w:gridCol w:w="1135"/>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5"/>
                <w:jc w:val="center"/>
              </w:trPr>
              <w:tc>
                <w:tcPr>
                  <w:tcW w:w="1233"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道路名称</w:t>
                  </w:r>
                </w:p>
              </w:tc>
              <w:tc>
                <w:tcPr>
                  <w:tcW w:w="1039" w:type="dxa"/>
                  <w:vMerge w:val="restart"/>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预测年限</w:t>
                  </w:r>
                </w:p>
              </w:tc>
              <w:tc>
                <w:tcPr>
                  <w:tcW w:w="3397"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昼  间</w:t>
                  </w:r>
                </w:p>
              </w:tc>
              <w:tc>
                <w:tcPr>
                  <w:tcW w:w="3402" w:type="dxa"/>
                  <w:gridSpan w:val="3"/>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夜  间</w:t>
                  </w:r>
                </w:p>
              </w:tc>
            </w:tr>
            <w:tr>
              <w:tblPrEx>
                <w:tblW w:w="0" w:type="auto"/>
                <w:jc w:val="center"/>
                <w:tblLayout w:type="fixed"/>
                <w:tblCellMar>
                  <w:top w:w="0" w:type="dxa"/>
                  <w:left w:w="108" w:type="dxa"/>
                  <w:bottom w:w="0" w:type="dxa"/>
                  <w:right w:w="108" w:type="dxa"/>
                </w:tblCellMar>
              </w:tblPrEx>
              <w:trPr>
                <w:cantSplit/>
                <w:trHeight w:val="381"/>
                <w:jc w:val="center"/>
              </w:trPr>
              <w:tc>
                <w:tcPr>
                  <w:tcW w:w="1233" w:type="dxa"/>
                  <w:vMerge/>
                  <w:noWrap w:val="0"/>
                  <w:vAlign w:val="center"/>
                </w:tcPr>
                <w:p>
                  <w:pPr>
                    <w:widowControl/>
                    <w:spacing w:line="240" w:lineRule="auto"/>
                    <w:ind w:firstLine="0" w:firstLineChars="0"/>
                    <w:jc w:val="left"/>
                    <w:rPr>
                      <w:rFonts w:ascii="Times New Roman" w:hAnsi="Times New Roman" w:cs="Times New Roman"/>
                      <w:b/>
                      <w:bCs/>
                      <w:sz w:val="21"/>
                    </w:rPr>
                  </w:pPr>
                </w:p>
              </w:tc>
              <w:tc>
                <w:tcPr>
                  <w:tcW w:w="1039" w:type="dxa"/>
                  <w:vMerge/>
                  <w:noWrap w:val="0"/>
                  <w:vAlign w:val="center"/>
                </w:tcPr>
                <w:p>
                  <w:pPr>
                    <w:widowControl/>
                    <w:spacing w:line="240" w:lineRule="auto"/>
                    <w:ind w:firstLine="0" w:firstLineChars="0"/>
                    <w:jc w:val="left"/>
                    <w:rPr>
                      <w:rFonts w:ascii="Times New Roman" w:hAnsi="Times New Roman" w:cs="Times New Roman"/>
                      <w:b/>
                      <w:bCs/>
                      <w:sz w:val="21"/>
                    </w:rPr>
                  </w:pPr>
                </w:p>
              </w:tc>
              <w:tc>
                <w:tcPr>
                  <w:tcW w:w="1150"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14"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3"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大型车</w:t>
                  </w:r>
                </w:p>
              </w:tc>
              <w:tc>
                <w:tcPr>
                  <w:tcW w:w="1132"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中型车</w:t>
                  </w:r>
                </w:p>
              </w:tc>
              <w:tc>
                <w:tcPr>
                  <w:tcW w:w="1135" w:type="dxa"/>
                  <w:noWrap w:val="0"/>
                  <w:vAlign w:val="center"/>
                </w:tcPr>
                <w:p>
                  <w:pPr>
                    <w:spacing w:line="240" w:lineRule="auto"/>
                    <w:ind w:firstLine="0" w:firstLineChars="0"/>
                    <w:jc w:val="center"/>
                    <w:rPr>
                      <w:rFonts w:ascii="Times New Roman" w:hAnsi="Times New Roman" w:cs="Times New Roman"/>
                      <w:b/>
                      <w:bCs/>
                      <w:sz w:val="21"/>
                    </w:rPr>
                  </w:pPr>
                  <w:r>
                    <w:rPr>
                      <w:rFonts w:ascii="Times New Roman" w:hAnsi="Times New Roman" w:cs="Times New Roman"/>
                      <w:b/>
                      <w:bCs/>
                      <w:sz w:val="21"/>
                    </w:rPr>
                    <w:t>小型车</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val="restart"/>
                  <w:noWrap w:val="0"/>
                  <w:vAlign w:val="center"/>
                </w:tcPr>
                <w:p>
                  <w:pPr>
                    <w:spacing w:line="240" w:lineRule="auto"/>
                    <w:ind w:firstLine="0" w:firstLineChars="0"/>
                    <w:rPr>
                      <w:rFonts w:ascii="Times New Roman" w:hAnsi="Times New Roman" w:cs="Times New Roman"/>
                      <w:sz w:val="21"/>
                    </w:rPr>
                  </w:pPr>
                  <w:r>
                    <w:rPr>
                      <w:rFonts w:ascii="Times New Roman" w:hAnsi="Times New Roman" w:cs="Times New Roman"/>
                      <w:sz w:val="21"/>
                    </w:rPr>
                    <w:t>三亚市育春路西侧A段工程</w:t>
                  </w: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w:t>
                  </w:r>
                  <w:r>
                    <w:rPr>
                      <w:rFonts w:ascii="Times New Roman" w:hAnsi="Times New Roman" w:cs="Times New Roman" w:hint="eastAsia"/>
                      <w:sz w:val="21"/>
                    </w:rPr>
                    <w:t>1</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83</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74</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67</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82</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74</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67</w:t>
                  </w:r>
                </w:p>
              </w:tc>
            </w:tr>
            <w:tr>
              <w:tblPrEx>
                <w:tblW w:w="0" w:type="auto"/>
                <w:jc w:val="center"/>
                <w:tblLayout w:type="fixed"/>
                <w:tblCellMar>
                  <w:top w:w="0" w:type="dxa"/>
                  <w:left w:w="108" w:type="dxa"/>
                  <w:bottom w:w="0" w:type="dxa"/>
                  <w:right w:w="108" w:type="dxa"/>
                </w:tblCellMar>
              </w:tblPrEx>
              <w:trPr>
                <w:cantSplit/>
                <w:trHeight w:val="396"/>
                <w:jc w:val="center"/>
              </w:trPr>
              <w:tc>
                <w:tcPr>
                  <w:tcW w:w="1233" w:type="dxa"/>
                  <w:vMerge/>
                  <w:noWrap w:val="0"/>
                  <w:vAlign w:val="center"/>
                </w:tcPr>
                <w:p>
                  <w:pPr>
                    <w:widowControl/>
                    <w:spacing w:line="240" w:lineRule="auto"/>
                    <w:ind w:firstLine="0" w:firstLineChars="0"/>
                    <w:jc w:val="left"/>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202</w:t>
                  </w:r>
                  <w:r>
                    <w:rPr>
                      <w:rFonts w:ascii="Times New Roman" w:hAnsi="Times New Roman" w:cs="Times New Roman" w:hint="eastAsia"/>
                      <w:sz w:val="21"/>
                    </w:rPr>
                    <w:t>7</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82</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72</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81</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72</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66</w:t>
                  </w:r>
                </w:p>
              </w:tc>
            </w:tr>
            <w:tr>
              <w:tblPrEx>
                <w:tblW w:w="0" w:type="auto"/>
                <w:jc w:val="center"/>
                <w:tblLayout w:type="fixed"/>
                <w:tblCellMar>
                  <w:top w:w="0" w:type="dxa"/>
                  <w:left w:w="108" w:type="dxa"/>
                  <w:bottom w:w="0" w:type="dxa"/>
                  <w:right w:w="108" w:type="dxa"/>
                </w:tblCellMar>
              </w:tblPrEx>
              <w:trPr>
                <w:cantSplit/>
                <w:trHeight w:val="466"/>
                <w:jc w:val="center"/>
              </w:trPr>
              <w:tc>
                <w:tcPr>
                  <w:tcW w:w="1233" w:type="dxa"/>
                  <w:vMerge/>
                  <w:noWrap w:val="0"/>
                  <w:vAlign w:val="center"/>
                </w:tcPr>
                <w:p>
                  <w:pPr>
                    <w:widowControl/>
                    <w:spacing w:line="240" w:lineRule="auto"/>
                    <w:ind w:firstLine="0" w:firstLineChars="0"/>
                    <w:jc w:val="left"/>
                    <w:rPr>
                      <w:rFonts w:ascii="Times New Roman" w:hAnsi="Times New Roman" w:cs="Times New Roman"/>
                      <w:sz w:val="21"/>
                    </w:rPr>
                  </w:pPr>
                </w:p>
              </w:tc>
              <w:tc>
                <w:tcPr>
                  <w:tcW w:w="1039" w:type="dxa"/>
                  <w:noWrap w:val="0"/>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203</w:t>
                  </w:r>
                  <w:r>
                    <w:rPr>
                      <w:rFonts w:ascii="Times New Roman" w:hAnsi="Times New Roman" w:cs="Times New Roman" w:hint="eastAsia"/>
                      <w:sz w:val="21"/>
                    </w:rPr>
                    <w:t>5</w:t>
                  </w:r>
                </w:p>
              </w:tc>
              <w:tc>
                <w:tcPr>
                  <w:tcW w:w="1150"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82</w:t>
                  </w:r>
                </w:p>
              </w:tc>
              <w:tc>
                <w:tcPr>
                  <w:tcW w:w="1114"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72</w:t>
                  </w:r>
                </w:p>
              </w:tc>
              <w:tc>
                <w:tcPr>
                  <w:tcW w:w="1133"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66</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81</w:t>
                  </w:r>
                </w:p>
              </w:tc>
              <w:tc>
                <w:tcPr>
                  <w:tcW w:w="1132"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72</w:t>
                  </w:r>
                </w:p>
              </w:tc>
              <w:tc>
                <w:tcPr>
                  <w:tcW w:w="1135" w:type="dxa"/>
                  <w:noWrap w:val="0"/>
                  <w:vAlign w:val="center"/>
                </w:tcPr>
                <w:p>
                  <w:pPr>
                    <w:widowControl/>
                    <w:spacing w:line="240" w:lineRule="auto"/>
                    <w:ind w:firstLine="0" w:firstLineChars="0"/>
                    <w:jc w:val="center"/>
                    <w:textAlignment w:val="center"/>
                    <w:rPr>
                      <w:rFonts w:ascii="Times New Roman" w:hAnsi="Times New Roman" w:cs="Times New Roman"/>
                      <w:color w:val="auto"/>
                      <w:sz w:val="21"/>
                    </w:rPr>
                  </w:pPr>
                  <w:r>
                    <w:rPr>
                      <w:rFonts w:ascii="Times New Roman" w:hAnsi="Times New Roman" w:cs="Times New Roman" w:hint="eastAsia"/>
                      <w:color w:val="auto"/>
                      <w:sz w:val="21"/>
                    </w:rPr>
                    <w:t>66</w:t>
                  </w:r>
                </w:p>
              </w:tc>
            </w:tr>
          </w:tbl>
          <w:p>
            <w:pPr>
              <w:pStyle w:val="3"/>
              <w:spacing w:before="0" w:beforeAutospacing="0" w:after="0" w:afterAutospacing="0" w:line="360" w:lineRule="auto"/>
              <w:ind w:firstLine="480" w:firstLineChars="200"/>
              <w:outlineLvl w:val="9"/>
              <w:rPr>
                <w:rFonts w:ascii="Times New Roman" w:eastAsia="宋体" w:hAnsi="Times New Roman" w:cs="Times New Roman"/>
                <w:color w:val="000000"/>
              </w:rPr>
            </w:pPr>
            <w:r>
              <w:rPr>
                <w:rFonts w:ascii="Times New Roman" w:eastAsia="宋体" w:hAnsi="Times New Roman" w:cs="Times New Roman"/>
                <w:color w:val="000000"/>
              </w:rPr>
              <w:t>4、运营期固废污染源分析</w:t>
            </w:r>
          </w:p>
          <w:p>
            <w:pPr>
              <w:ind w:firstLine="481"/>
              <w:rPr>
                <w:rFonts w:ascii="Times New Roman" w:hAnsi="Times New Roman" w:cs="Times New Roman"/>
              </w:rPr>
            </w:pPr>
            <w:r>
              <w:rPr>
                <w:rFonts w:ascii="Times New Roman" w:hAnsi="Times New Roman" w:cs="Times New Roman"/>
              </w:rPr>
              <w:t>项目运营期的固体废弃物主要是运输车辆撒落的运载物、发生交通事故的车辆装载的货物与行人垃圾、给排水管道淤泥等。由当地环卫部门负责对道路清洁，同时也对沿线的垃圾进行收集，清扫、集中处理。</w:t>
            </w:r>
          </w:p>
          <w:p>
            <w:pPr>
              <w:pStyle w:val="3"/>
              <w:spacing w:before="0" w:beforeAutospacing="0" w:after="0" w:afterAutospacing="0" w:line="360" w:lineRule="auto"/>
              <w:ind w:firstLine="0" w:firstLineChars="0"/>
              <w:outlineLvl w:val="9"/>
              <w:rPr>
                <w:rFonts w:ascii="Times New Roman" w:eastAsia="宋体" w:hAnsi="Times New Roman" w:cs="Times New Roman"/>
                <w:b w:val="0"/>
                <w:bCs/>
                <w:color w:val="000000"/>
              </w:rPr>
            </w:pPr>
          </w:p>
        </w:tc>
      </w:tr>
    </w:tbl>
    <w:p>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1" w:history="1">
        <w:r>
          <w:rPr>
            <w:rFonts w:ascii="SimSun" w:eastAsia="SimSun" w:hAnsi="SimSun" w:cs="SimSun"/>
            <w:b/>
            <w:bCs/>
            <w:color w:val="0000EE"/>
            <w:kern w:val="0"/>
            <w:sz w:val="30"/>
            <w:szCs w:val="30"/>
            <w:u w:val="single" w:color="0000EE"/>
          </w:rPr>
          <w:t>https://d.book118.com/758032074056006047</w:t>
        </w:r>
      </w:hyperlink>
    </w:p>
    <w:p/>
    <w:sectPr>
      <w:headerReference w:type="default" r:id="rId92"/>
      <w:footerReference w:type="even" r:id="rId93"/>
      <w:footerReference w:type="default" r:id="rId94"/>
      <w:type w:val="nextPage"/>
      <w:pgSz w:w="11907" w:h="16840"/>
      <w:pgMar w:top="1418" w:right="1247" w:bottom="1247" w:left="1361" w:header="794" w:footer="907" w:gutter="0"/>
      <w:pgBorders>
        <w:top w:val="none" w:sz="0" w:space="0" w:color="auto"/>
        <w:left w:val="none" w:sz="0" w:space="0" w:color="auto"/>
        <w:bottom w:val="none" w:sz="0" w:space="0" w:color="auto"/>
        <w:right w:val="none" w:sz="0" w:space="0" w:color="auto"/>
      </w:pgBorders>
      <w:pgNumType w:start="27"/>
      <w:cols w:num="1" w:space="720"/>
      <w:titlePg w:val="0"/>
      <w:docGrid w:type="linesAndChars" w:linePitch="286" w:charSpace="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TimesNewRomanPSMT">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480"/>
      <w:rPr>
        <w:rStyle w:val="PageNumber"/>
      </w:rPr>
    </w:pPr>
  </w:p>
  <w:p>
    <w:pPr>
      <w:pStyle w:val="Footer"/>
      <w:ind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文本框 10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rPr>
                              <w:rStyle w:val="PageNumber"/>
                            </w:rPr>
                            <w:instrText xml:space="preserve"> PAGE </w:instrText>
                          </w:r>
                          <w:r>
                            <w:fldChar w:fldCharType="separate"/>
                          </w:r>
                          <w:r>
                            <w:rPr>
                              <w:rStyle w:val="PageNumber"/>
                            </w:rPr>
                            <w:t>15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ind w:firstLine="360"/>
                      <w:jc w:val="center"/>
                    </w:pPr>
                    <w:r>
                      <w:fldChar w:fldCharType="begin"/>
                    </w:r>
                    <w:r>
                      <w:rPr>
                        <w:rStyle w:val="PageNumber"/>
                      </w:rPr>
                      <w:instrText xml:space="preserve"> PAGE </w:instrText>
                    </w:r>
                    <w:r>
                      <w:fldChar w:fldCharType="separate"/>
                    </w:r>
                    <w:r>
                      <w:rPr>
                        <w:rStyle w:val="PageNumber"/>
                      </w:rPr>
                      <w:t>15</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47955"/>
              <wp:effectExtent l="0" t="0" r="0" b="0"/>
              <wp:wrapNone/>
              <wp:docPr id="10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9.05pt;height:11.65pt;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47955"/>
              <wp:effectExtent l="0" t="0" r="0" b="0"/>
              <wp:wrapNone/>
              <wp:docPr id="88130292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9.05pt;height:11.65pt;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14935" cy="147955"/>
              <wp:effectExtent l="0" t="0" r="0" b="0"/>
              <wp:wrapNone/>
              <wp:docPr id="126135788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9.05pt;height:11.65pt;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14935" cy="147955"/>
              <wp:effectExtent l="0" t="0" r="0" b="0"/>
              <wp:wrapNone/>
              <wp:docPr id="212390729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9.05pt;height:11.65pt;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14935" cy="147955"/>
              <wp:effectExtent l="0" t="0" r="0" b="0"/>
              <wp:wrapNone/>
              <wp:docPr id="44718093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9.05pt;height:11.65pt;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14935" cy="147955"/>
              <wp:effectExtent l="0" t="0" r="0" b="0"/>
              <wp:wrapNone/>
              <wp:docPr id="95376575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9.05pt;height:11.65pt;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14935" cy="147955"/>
              <wp:effectExtent l="0" t="0" r="0" b="0"/>
              <wp:wrapNone/>
              <wp:docPr id="184801379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9.05pt;height:11.65pt;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14935" cy="147955"/>
              <wp:effectExtent l="0" t="0" r="0" b="0"/>
              <wp:wrapNone/>
              <wp:docPr id="145420110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9.05pt;height:11.65pt;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14935" cy="147955"/>
              <wp:effectExtent l="0" t="0" r="0" b="0"/>
              <wp:wrapNone/>
              <wp:docPr id="7975274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9.05pt;height:11.65pt;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14935" cy="147955"/>
              <wp:effectExtent l="0" t="0" r="0" b="0"/>
              <wp:wrapNone/>
              <wp:docPr id="101121994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9.05pt;height:11.65pt;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sz w:val="21"/>
        <w:szCs w:val="21"/>
      </w:rPr>
    </w:pPr>
    <w:r>
      <w:rPr>
        <w:sz w:val="21"/>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14935" cy="147955"/>
              <wp:effectExtent l="0" t="0" r="0" b="0"/>
              <wp:wrapNone/>
              <wp:docPr id="194171581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9.05pt;height:11.65pt;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14935" cy="147955"/>
              <wp:effectExtent l="0" t="0" r="0" b="0"/>
              <wp:wrapNone/>
              <wp:docPr id="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9.05pt;height:11.65pt;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14935" cy="147955"/>
              <wp:effectExtent l="0" t="0" r="0" b="0"/>
              <wp:wrapNone/>
              <wp:docPr id="2050012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9.05pt;height:11.65pt;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14935" cy="147955"/>
              <wp:effectExtent l="0" t="0" r="0" b="0"/>
              <wp:wrapNone/>
              <wp:docPr id="895453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9.05pt;height:11.65pt;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14935" cy="147955"/>
              <wp:effectExtent l="0" t="0" r="0" b="0"/>
              <wp:wrapNone/>
              <wp:docPr id="362576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9.05pt;height:11.65pt;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14935" cy="147955"/>
              <wp:effectExtent l="0" t="0" r="0" b="0"/>
              <wp:wrapNone/>
              <wp:docPr id="1034979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9.05pt;height:11.65pt;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14935" cy="147955"/>
              <wp:effectExtent l="0" t="0" r="0" b="0"/>
              <wp:wrapNone/>
              <wp:docPr id="925200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9.05pt;height:11.65pt;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14935" cy="147955"/>
              <wp:effectExtent l="0" t="0" r="0" b="0"/>
              <wp:wrapNone/>
              <wp:docPr id="1564423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9.05pt;height:11.65pt;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14935" cy="147955"/>
              <wp:effectExtent l="0" t="0" r="0" b="0"/>
              <wp:wrapNone/>
              <wp:docPr id="1184819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9.05pt;height:11.65pt;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14935" cy="147955"/>
              <wp:effectExtent l="0" t="0" r="0" b="0"/>
              <wp:wrapNone/>
              <wp:docPr id="643757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9.05pt;height:11.65pt;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14935" cy="147955"/>
              <wp:effectExtent l="0" t="0" r="0" b="0"/>
              <wp:wrapNone/>
              <wp:docPr id="590444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9.05pt;height:11.65pt;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14935" cy="147955"/>
              <wp:effectExtent l="0" t="0" r="0" b="0"/>
              <wp:wrapNone/>
              <wp:docPr id="1779793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9.05pt;height:11.65pt;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14935" cy="147955"/>
              <wp:effectExtent l="0" t="0" r="0" b="0"/>
              <wp:wrapNone/>
              <wp:docPr id="658017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9.05pt;height:11.65pt;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14935" cy="147955"/>
              <wp:effectExtent l="0" t="0" r="0" b="0"/>
              <wp:wrapNone/>
              <wp:docPr id="1917597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9.05pt;height:11.65pt;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14935" cy="147955"/>
              <wp:effectExtent l="0" t="0" r="0" b="0"/>
              <wp:wrapNone/>
              <wp:docPr id="523695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9.05pt;height:11.65pt;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14935" cy="147955"/>
              <wp:effectExtent l="0" t="0" r="0" b="0"/>
              <wp:wrapNone/>
              <wp:docPr id="359929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9.05pt;height:11.65pt;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14935" cy="147955"/>
              <wp:effectExtent l="0" t="0" r="0" b="0"/>
              <wp:wrapNone/>
              <wp:docPr id="707455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9.05pt;height:11.65pt;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Fonts w:ascii="宋体" w:hint="eastAsia"/>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14935" cy="147955"/>
              <wp:effectExtent l="0" t="0" r="0" b="0"/>
              <wp:wrapNone/>
              <wp:docPr id="2112868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47955"/>
                      </a:xfrm>
                      <a:prstGeom prst="rect">
                        <a:avLst/>
                      </a:prstGeom>
                      <a:noFill/>
                      <a:ln>
                        <a:noFill/>
                      </a:ln>
                    </wps:spPr>
                    <wps:txbx>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9.05pt;height:11.65pt;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3993"/>
      </w:tabs>
      <w:jc w:val="left"/>
      <w:rPr>
        <w:rFonts w:ascii="宋体" w:hint="eastAsia"/>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BAA2C8"/>
    <w:multiLevelType w:val="singleLevel"/>
    <w:tmpl w:val="82BAA2C8"/>
    <w:lvl w:ilvl="0">
      <w:start w:val="4"/>
      <w:numFmt w:val="decimal"/>
      <w:suff w:val="nothing"/>
      <w:lvlText w:val="%1、"/>
      <w:lvlJc w:val="left"/>
    </w:lvl>
  </w:abstractNum>
  <w:abstractNum w:abstractNumId="1">
    <w:nsid w:val="AD474E8D"/>
    <w:multiLevelType w:val="singleLevel"/>
    <w:tmpl w:val="AD474E8D"/>
    <w:lvl w:ilvl="0">
      <w:start w:val="1"/>
      <w:numFmt w:val="decimal"/>
      <w:lvlText w:val="%1"/>
      <w:lvlJc w:val="left"/>
      <w:pPr>
        <w:tabs>
          <w:tab w:val="left" w:pos="420"/>
        </w:tabs>
        <w:ind w:left="425" w:hanging="425"/>
      </w:pPr>
      <w:rPr>
        <w:rFonts w:hint="default"/>
      </w:rPr>
    </w:lvl>
  </w:abstractNum>
  <w:abstractNum w:abstractNumId="2">
    <w:nsid w:val="B370CC66"/>
    <w:multiLevelType w:val="singleLevel"/>
    <w:tmpl w:val="B370CC66"/>
    <w:lvl w:ilvl="0">
      <w:start w:val="1"/>
      <w:numFmt w:val="decimal"/>
      <w:lvlText w:val="%1"/>
      <w:lvlJc w:val="left"/>
      <w:pPr>
        <w:tabs>
          <w:tab w:val="left" w:pos="420"/>
        </w:tabs>
        <w:ind w:left="425" w:hanging="425"/>
      </w:pPr>
      <w:rPr>
        <w:rFonts w:hint="default"/>
      </w:rPr>
    </w:lvl>
  </w:abstractNum>
  <w:abstractNum w:abstractNumId="3">
    <w:nsid w:val="BF8D7208"/>
    <w:multiLevelType w:val="singleLevel"/>
    <w:tmpl w:val="BF8D7208"/>
    <w:lvl w:ilvl="0">
      <w:start w:val="1"/>
      <w:numFmt w:val="decimal"/>
      <w:lvlText w:val="%1"/>
      <w:lvlJc w:val="left"/>
      <w:pPr>
        <w:tabs>
          <w:tab w:val="left" w:pos="420"/>
        </w:tabs>
        <w:ind w:left="425" w:hanging="425"/>
      </w:pPr>
      <w:rPr>
        <w:rFonts w:hint="default"/>
      </w:rPr>
    </w:lvl>
  </w:abstractNum>
  <w:abstractNum w:abstractNumId="4">
    <w:nsid w:val="C8B8480A"/>
    <w:multiLevelType w:val="singleLevel"/>
    <w:tmpl w:val="C8B8480A"/>
    <w:lvl w:ilvl="0">
      <w:start w:val="1"/>
      <w:numFmt w:val="decimal"/>
      <w:lvlText w:val="%1"/>
      <w:lvlJc w:val="left"/>
      <w:pPr>
        <w:tabs>
          <w:tab w:val="left" w:pos="420"/>
        </w:tabs>
        <w:ind w:left="425" w:hanging="425"/>
      </w:pPr>
      <w:rPr>
        <w:rFonts w:hint="default"/>
      </w:rPr>
    </w:lvl>
  </w:abstractNum>
  <w:abstractNum w:abstractNumId="5">
    <w:nsid w:val="DBA1F741"/>
    <w:multiLevelType w:val="singleLevel"/>
    <w:tmpl w:val="DBA1F741"/>
    <w:lvl w:ilvl="0">
      <w:start w:val="2"/>
      <w:numFmt w:val="chineseCounting"/>
      <w:suff w:val="nothing"/>
      <w:lvlText w:val="（%1）"/>
      <w:lvlJc w:val="left"/>
      <w:rPr>
        <w:rFonts w:hint="eastAsia"/>
      </w:rPr>
    </w:lvl>
  </w:abstractNum>
  <w:abstractNum w:abstractNumId="6">
    <w:nsid w:val="F27FD4E8"/>
    <w:multiLevelType w:val="singleLevel"/>
    <w:tmpl w:val="F27FD4E8"/>
    <w:lvl w:ilvl="0">
      <w:start w:val="1"/>
      <w:numFmt w:val="decimal"/>
      <w:lvlText w:val="%1."/>
      <w:lvlJc w:val="left"/>
      <w:pPr>
        <w:tabs>
          <w:tab w:val="left" w:pos="312"/>
        </w:tabs>
      </w:pPr>
    </w:lvl>
  </w:abstractNum>
  <w:abstractNum w:abstractNumId="7">
    <w:nsid w:val="00000008"/>
    <w:multiLevelType w:val="multilevel"/>
    <w:tmpl w:val="00000008"/>
    <w:lvl w:ilvl="0">
      <w:start w:val="1"/>
      <w:numFmt w:val="decimal"/>
      <w:isLgl/>
      <w:suff w:val="nothing"/>
      <w:lvlText w:val="%1  "/>
      <w:lvlJc w:val="left"/>
      <w:pPr>
        <w:ind w:left="0" w:firstLine="0"/>
      </w:pPr>
    </w:lvl>
    <w:lvl w:ilvl="1">
      <w:start w:val="1"/>
      <w:numFmt w:val="decimal"/>
      <w:isLgl/>
      <w:suff w:val="nothing"/>
      <w:lvlText w:val="%1.%2  "/>
      <w:lvlJc w:val="left"/>
      <w:pPr>
        <w:ind w:left="1260" w:firstLine="0"/>
      </w:pPr>
      <w:rPr>
        <w:rFonts w:hint="eastAsia"/>
        <w:color w:val="auto"/>
        <w:szCs w:val="28"/>
      </w:rPr>
    </w:lvl>
    <w:lvl w:ilvl="2">
      <w:start w:val="1"/>
      <w:numFmt w:val="decimal"/>
      <w:isLgl/>
      <w:suff w:val="nothing"/>
      <w:lvlText w:val="%1.%2.%3  "/>
      <w:lvlJc w:val="left"/>
      <w:pPr>
        <w:ind w:left="180" w:firstLine="0"/>
      </w:pPr>
      <w:rPr>
        <w:rFonts w:ascii="Times New Roman" w:eastAsia="宋体" w:hAnsi="Times New Roman" w:hint="eastAsia"/>
        <w:b w:val="0"/>
        <w:bCs w:val="0"/>
        <w:i w:val="0"/>
        <w:iCs w:val="0"/>
        <w:caps w:val="0"/>
        <w:smallCaps w:val="0"/>
        <w:strike w:val="0"/>
        <w:dstrike w:val="0"/>
        <w:outline w:val="0"/>
        <w:shadow w:val="0"/>
        <w:emboss w:val="0"/>
        <w:imprint w:val="0"/>
        <w:color w:val="auto"/>
        <w:spacing w:val="0"/>
        <w:w w:val="100"/>
        <w:kern w:val="0"/>
        <w:position w:val="0"/>
        <w:sz w:val="28"/>
        <w:szCs w:val="28"/>
        <w:u w:val="none"/>
        <w:shd w:val="clear" w:color="auto" w:fill="auto"/>
      </w:rPr>
    </w:lvl>
    <w:lvl w:ilvl="3">
      <w:start w:val="1"/>
      <w:numFmt w:val="decimal"/>
      <w:pStyle w:val="Heading4"/>
      <w:isLgl/>
      <w:suff w:val="nothing"/>
      <w:lvlText w:val="%1.%2.%3.%4  "/>
      <w:lvlJc w:val="left"/>
      <w:pPr>
        <w:ind w:left="554" w:firstLine="0"/>
      </w:pPr>
      <w:rPr>
        <w:rFonts w:hint="eastAsia"/>
      </w:rPr>
    </w:lvl>
    <w:lvl w:ilvl="4">
      <w:start w:val="1"/>
      <w:numFmt w:val="decimal"/>
      <w:isLgl/>
      <w:suff w:val="nothing"/>
      <w:lvlText w:val="%1.%2.%3.%4.%5  "/>
      <w:lvlJc w:val="left"/>
      <w:pPr>
        <w:ind w:left="0" w:firstLine="0"/>
      </w:pPr>
      <w:rPr>
        <w:rFonts w:hint="eastAsia"/>
      </w:rPr>
    </w:lvl>
    <w:lvl w:ilvl="5">
      <w:start w:val="1"/>
      <w:numFmt w:val="decimal"/>
      <w:isLgl/>
      <w:suff w:val="nothing"/>
      <w:lvlText w:val="%1.%2.%3.%4.%5.%6  "/>
      <w:lvlJc w:val="left"/>
      <w:pPr>
        <w:ind w:left="0" w:firstLine="0"/>
      </w:pPr>
      <w:rPr>
        <w:rFonts w:hint="eastAsia"/>
      </w:rPr>
    </w:lvl>
    <w:lvl w:ilvl="6">
      <w:start w:val="1"/>
      <w:numFmt w:val="decimal"/>
      <w:isLgl/>
      <w:suff w:val="nothing"/>
      <w:lvlText w:val="%1.%2.%3.%4.%5.%6.%7  "/>
      <w:lvlJc w:val="left"/>
      <w:pPr>
        <w:ind w:left="0" w:firstLine="0"/>
      </w:pPr>
      <w:rPr>
        <w:rFonts w:hint="eastAsia"/>
      </w:rPr>
    </w:lvl>
    <w:lvl w:ilvl="7">
      <w:start w:val="1"/>
      <w:numFmt w:val="decimal"/>
      <w:isLgl/>
      <w:suff w:val="nothing"/>
      <w:lvlText w:val="%1.%2.%3.%4.%5.%6.%7.%8  "/>
      <w:lvlJc w:val="left"/>
      <w:pPr>
        <w:ind w:left="0" w:firstLine="0"/>
      </w:pPr>
      <w:rPr>
        <w:rFonts w:hint="eastAsia"/>
      </w:rPr>
    </w:lvl>
    <w:lvl w:ilvl="8">
      <w:start w:val="1"/>
      <w:numFmt w:val="decimal"/>
      <w:isLgl/>
      <w:suff w:val="nothing"/>
      <w:lvlText w:val="%1.%2.%3.%4.%5.%6.%7.%8.%9  "/>
      <w:lvlJc w:val="left"/>
      <w:pPr>
        <w:ind w:left="0" w:firstLine="0"/>
      </w:pPr>
      <w:rPr>
        <w:rFonts w:hint="eastAsia"/>
      </w:rPr>
    </w:lvl>
  </w:abstractNum>
  <w:abstractNum w:abstractNumId="8">
    <w:nsid w:val="00000009"/>
    <w:multiLevelType w:val="multilevel"/>
    <w:tmpl w:val="00000009"/>
    <w:lvl w:ilvl="0">
      <w:start w:val="1"/>
      <w:numFmt w:val="japaneseCounting"/>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a6"/>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0000000A"/>
    <w:multiLevelType w:val="multilevel"/>
    <w:tmpl w:val="0000000A"/>
    <w:lvl w:ilvl="0">
      <w:start w:val="1"/>
      <w:numFmt w:val="japaneseCounting"/>
      <w:pStyle w:val="a0"/>
      <w:lvlText w:val="（%1）"/>
      <w:lvlJc w:val="left"/>
      <w:pPr>
        <w:tabs>
          <w:tab w:val="left" w:pos="720"/>
        </w:tabs>
        <w:ind w:left="720" w:hanging="720"/>
      </w:pPr>
      <w:rPr>
        <w:rFonts w:hint="default"/>
      </w:rPr>
    </w:lvl>
    <w:lvl w:ilvl="1">
      <w:start w:val="1"/>
      <w:numFmt w:val="lowerLetter"/>
      <w:pStyle w:val="a"/>
      <w:lvlText w:val="%2)"/>
      <w:lvlJc w:val="left"/>
      <w:pPr>
        <w:tabs>
          <w:tab w:val="left" w:pos="840"/>
        </w:tabs>
        <w:ind w:left="840" w:hanging="420"/>
      </w:pPr>
    </w:lvl>
    <w:lvl w:ilvl="2">
      <w:start w:val="1"/>
      <w:numFmt w:val="lowerRoman"/>
      <w:pStyle w:val="a3"/>
      <w:lvlText w:val="%3."/>
      <w:lvlJc w:val="right"/>
      <w:pPr>
        <w:tabs>
          <w:tab w:val="left" w:pos="1260"/>
        </w:tabs>
        <w:ind w:left="1260" w:hanging="420"/>
      </w:pPr>
    </w:lvl>
    <w:lvl w:ilvl="3">
      <w:start w:val="1"/>
      <w:numFmt w:val="decimal"/>
      <w:pStyle w:val="a2"/>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03FBDE7D"/>
    <w:multiLevelType w:val="singleLevel"/>
    <w:tmpl w:val="03FBDE7D"/>
    <w:lvl w:ilvl="0">
      <w:start w:val="3"/>
      <w:numFmt w:val="decimal"/>
      <w:suff w:val="nothing"/>
      <w:lvlText w:val="%1、"/>
      <w:lvlJc w:val="left"/>
    </w:lvl>
  </w:abstractNum>
  <w:abstractNum w:abstractNumId="11">
    <w:nsid w:val="08032C6E"/>
    <w:multiLevelType w:val="singleLevel"/>
    <w:tmpl w:val="08032C6E"/>
    <w:lvl w:ilvl="0">
      <w:start w:val="2"/>
      <w:numFmt w:val="decimal"/>
      <w:suff w:val="nothing"/>
      <w:lvlText w:val="（%1）"/>
      <w:lvlJc w:val="left"/>
    </w:lvl>
  </w:abstractNum>
  <w:abstractNum w:abstractNumId="12">
    <w:nsid w:val="0A130370"/>
    <w:multiLevelType w:val="singleLevel"/>
    <w:tmpl w:val="0A130370"/>
    <w:lvl w:ilvl="0">
      <w:start w:val="1"/>
      <w:numFmt w:val="decimal"/>
      <w:lvlText w:val="%1"/>
      <w:lvlJc w:val="left"/>
      <w:pPr>
        <w:tabs>
          <w:tab w:val="left" w:pos="420"/>
        </w:tabs>
        <w:ind w:left="425" w:hanging="425"/>
      </w:pPr>
      <w:rPr>
        <w:rFonts w:hint="default"/>
      </w:rPr>
    </w:lvl>
  </w:abstractNum>
  <w:abstractNum w:abstractNumId="13">
    <w:nsid w:val="1401A676"/>
    <w:multiLevelType w:val="singleLevel"/>
    <w:tmpl w:val="1401A676"/>
    <w:lvl w:ilvl="0">
      <w:start w:val="1"/>
      <w:numFmt w:val="decimal"/>
      <w:lvlText w:val="%1"/>
      <w:lvlJc w:val="left"/>
      <w:pPr>
        <w:tabs>
          <w:tab w:val="left" w:pos="420"/>
        </w:tabs>
        <w:ind w:left="425" w:hanging="425"/>
      </w:pPr>
      <w:rPr>
        <w:rFonts w:hint="default"/>
      </w:rPr>
    </w:lvl>
  </w:abstractNum>
  <w:abstractNum w:abstractNumId="14">
    <w:nsid w:val="2221F776"/>
    <w:multiLevelType w:val="singleLevel"/>
    <w:tmpl w:val="2221F776"/>
    <w:lvl w:ilvl="0">
      <w:start w:val="2"/>
      <w:numFmt w:val="chineseCounting"/>
      <w:suff w:val="nothing"/>
      <w:lvlText w:val="%1、"/>
      <w:lvlJc w:val="left"/>
      <w:rPr>
        <w:rFonts w:hint="eastAsia"/>
      </w:rPr>
    </w:lvl>
  </w:abstractNum>
  <w:abstractNum w:abstractNumId="15">
    <w:nsid w:val="25987860"/>
    <w:multiLevelType w:val="singleLevel"/>
    <w:tmpl w:val="25987860"/>
    <w:lvl w:ilvl="0">
      <w:start w:val="1"/>
      <w:numFmt w:val="decimal"/>
      <w:lvlText w:val="%1"/>
      <w:lvlJc w:val="left"/>
      <w:pPr>
        <w:tabs>
          <w:tab w:val="left" w:pos="420"/>
        </w:tabs>
        <w:ind w:left="425" w:hanging="425"/>
      </w:pPr>
      <w:rPr>
        <w:rFonts w:hint="default"/>
      </w:rPr>
    </w:lvl>
  </w:abstractNum>
  <w:abstractNum w:abstractNumId="16">
    <w:nsid w:val="2F6823BF"/>
    <w:multiLevelType w:val="singleLevel"/>
    <w:tmpl w:val="2F6823BF"/>
    <w:lvl w:ilvl="0">
      <w:start w:val="1"/>
      <w:numFmt w:val="decimal"/>
      <w:lvlText w:val="%1"/>
      <w:lvlJc w:val="left"/>
      <w:pPr>
        <w:tabs>
          <w:tab w:val="left" w:pos="420"/>
        </w:tabs>
        <w:ind w:left="425" w:hanging="425"/>
      </w:pPr>
      <w:rPr>
        <w:rFonts w:hint="default"/>
      </w:rPr>
    </w:lvl>
  </w:abstractNum>
  <w:abstractNum w:abstractNumId="17">
    <w:nsid w:val="331A3722"/>
    <w:multiLevelType w:val="singleLevel"/>
    <w:tmpl w:val="331A3722"/>
    <w:lvl w:ilvl="0">
      <w:start w:val="1"/>
      <w:numFmt w:val="decimal"/>
      <w:lvlText w:val="%1"/>
      <w:lvlJc w:val="left"/>
      <w:pPr>
        <w:tabs>
          <w:tab w:val="left" w:pos="420"/>
        </w:tabs>
        <w:ind w:left="425" w:hanging="425"/>
      </w:pPr>
      <w:rPr>
        <w:rFonts w:hint="default"/>
      </w:rPr>
    </w:lvl>
  </w:abstractNum>
  <w:abstractNum w:abstractNumId="18">
    <w:nsid w:val="4565705A"/>
    <w:multiLevelType w:val="singleLevel"/>
    <w:tmpl w:val="4565705A"/>
    <w:lvl w:ilvl="0">
      <w:start w:val="1"/>
      <w:numFmt w:val="decimal"/>
      <w:lvlText w:val="%1"/>
      <w:lvlJc w:val="left"/>
      <w:pPr>
        <w:tabs>
          <w:tab w:val="left" w:pos="420"/>
        </w:tabs>
        <w:ind w:left="425" w:hanging="425"/>
      </w:pPr>
      <w:rPr>
        <w:rFonts w:hint="default"/>
      </w:rPr>
    </w:lvl>
  </w:abstractNum>
  <w:abstractNum w:abstractNumId="19">
    <w:nsid w:val="467C13B0"/>
    <w:multiLevelType w:val="singleLevel"/>
    <w:tmpl w:val="82BAA2C8"/>
    <w:lvl w:ilvl="0">
      <w:start w:val="4"/>
      <w:numFmt w:val="decimal"/>
      <w:suff w:val="nothing"/>
      <w:lvlText w:val="%1、"/>
      <w:lvlJc w:val="left"/>
    </w:lvl>
  </w:abstractNum>
  <w:abstractNum w:abstractNumId="20">
    <w:nsid w:val="49C23D7B"/>
    <w:multiLevelType w:val="singleLevel"/>
    <w:tmpl w:val="49C23D7B"/>
    <w:lvl w:ilvl="0">
      <w:start w:val="5"/>
      <w:numFmt w:val="decimal"/>
      <w:suff w:val="nothing"/>
      <w:lvlText w:val="（%1）"/>
      <w:lvlJc w:val="left"/>
    </w:lvl>
  </w:abstractNum>
  <w:abstractNum w:abstractNumId="21">
    <w:nsid w:val="4B59E2F1"/>
    <w:multiLevelType w:val="singleLevel"/>
    <w:tmpl w:val="4B59E2F1"/>
    <w:lvl w:ilvl="0">
      <w:start w:val="1"/>
      <w:numFmt w:val="decimal"/>
      <w:lvlText w:val="%1."/>
      <w:lvlJc w:val="left"/>
      <w:pPr>
        <w:tabs>
          <w:tab w:val="left" w:pos="312"/>
        </w:tabs>
      </w:pPr>
    </w:lvl>
  </w:abstractNum>
  <w:abstractNum w:abstractNumId="22">
    <w:nsid w:val="5C88D4BD"/>
    <w:multiLevelType w:val="singleLevel"/>
    <w:tmpl w:val="5C88D4BD"/>
    <w:lvl w:ilvl="0">
      <w:start w:val="1"/>
      <w:numFmt w:val="decimal"/>
      <w:suff w:val="nothing"/>
      <w:lvlText w:val="（%1）"/>
      <w:lvlJc w:val="left"/>
    </w:lvl>
  </w:abstractNum>
  <w:abstractNum w:abstractNumId="23">
    <w:nsid w:val="5CABF3C5"/>
    <w:multiLevelType w:val="singleLevel"/>
    <w:tmpl w:val="5CABF3C5"/>
    <w:lvl w:ilvl="0">
      <w:start w:val="1"/>
      <w:numFmt w:val="decimal"/>
      <w:lvlText w:val="%1"/>
      <w:lvlJc w:val="left"/>
      <w:pPr>
        <w:tabs>
          <w:tab w:val="left" w:pos="420"/>
        </w:tabs>
        <w:ind w:left="425" w:hanging="425"/>
      </w:pPr>
      <w:rPr>
        <w:rFonts w:hint="default"/>
      </w:rPr>
    </w:lvl>
  </w:abstractNum>
  <w:abstractNum w:abstractNumId="24">
    <w:nsid w:val="6FD249BA"/>
    <w:multiLevelType w:val="singleLevel"/>
    <w:tmpl w:val="6FD249BA"/>
    <w:lvl w:ilvl="0">
      <w:start w:val="1"/>
      <w:numFmt w:val="decimal"/>
      <w:lvlText w:val="%1"/>
      <w:lvlJc w:val="left"/>
      <w:pPr>
        <w:tabs>
          <w:tab w:val="left" w:pos="420"/>
        </w:tabs>
        <w:ind w:left="425" w:hanging="425"/>
      </w:pPr>
      <w:rPr>
        <w:rFonts w:hint="default"/>
      </w:rPr>
    </w:lvl>
  </w:abstractNum>
  <w:abstractNum w:abstractNumId="25">
    <w:nsid w:val="7FBDDD55"/>
    <w:multiLevelType w:val="singleLevel"/>
    <w:tmpl w:val="7FBDDD55"/>
    <w:lvl w:ilvl="0">
      <w:start w:val="1"/>
      <w:numFmt w:val="decimal"/>
      <w:lvlText w:val="%1"/>
      <w:lvlJc w:val="left"/>
      <w:pPr>
        <w:tabs>
          <w:tab w:val="left" w:pos="420"/>
        </w:tabs>
        <w:ind w:left="425" w:hanging="425"/>
      </w:pPr>
      <w:rPr>
        <w:rFonts w:hint="default"/>
      </w:rPr>
    </w:lvl>
  </w:abstractNum>
  <w:num w:numId="1">
    <w:abstractNumId w:val="7"/>
  </w:num>
  <w:num w:numId="2">
    <w:abstractNumId w:val="9"/>
  </w:num>
  <w:num w:numId="3">
    <w:abstractNumId w:val="8"/>
  </w:num>
  <w:num w:numId="4">
    <w:abstractNumId w:val="24"/>
  </w:num>
  <w:num w:numId="5">
    <w:abstractNumId w:val="2"/>
  </w:num>
  <w:num w:numId="6">
    <w:abstractNumId w:val="12"/>
  </w:num>
  <w:num w:numId="7">
    <w:abstractNumId w:val="16"/>
  </w:num>
  <w:num w:numId="8">
    <w:abstractNumId w:val="3"/>
  </w:num>
  <w:num w:numId="9">
    <w:abstractNumId w:val="4"/>
  </w:num>
  <w:num w:numId="10">
    <w:abstractNumId w:val="1"/>
  </w:num>
  <w:num w:numId="11">
    <w:abstractNumId w:val="17"/>
  </w:num>
  <w:num w:numId="12">
    <w:abstractNumId w:val="23"/>
  </w:num>
  <w:num w:numId="13">
    <w:abstractNumId w:val="15"/>
  </w:num>
  <w:num w:numId="14">
    <w:abstractNumId w:val="13"/>
  </w:num>
  <w:num w:numId="15">
    <w:abstractNumId w:val="18"/>
  </w:num>
  <w:num w:numId="16">
    <w:abstractNumId w:val="25"/>
  </w:num>
  <w:num w:numId="17">
    <w:abstractNumId w:val="0"/>
  </w:num>
  <w:num w:numId="18">
    <w:abstractNumId w:val="10"/>
  </w:num>
  <w:num w:numId="19">
    <w:abstractNumId w:val="14"/>
  </w:num>
  <w:num w:numId="20">
    <w:abstractNumId w:val="5"/>
  </w:num>
  <w:num w:numId="21">
    <w:abstractNumId w:val="22"/>
  </w:num>
  <w:num w:numId="22">
    <w:abstractNumId w:val="11"/>
  </w:num>
  <w:num w:numId="23">
    <w:abstractNumId w:val="20"/>
  </w:num>
  <w:num w:numId="24">
    <w:abstractNumId w:val="21"/>
  </w:num>
  <w:num w:numId="25">
    <w:abstractNumId w:val="6"/>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43"/>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6CE3"/>
    <w:rsid w:val="00152705"/>
    <w:rsid w:val="00163330"/>
    <w:rsid w:val="00196A41"/>
    <w:rsid w:val="00197CC8"/>
    <w:rsid w:val="00222819"/>
    <w:rsid w:val="00257EC5"/>
    <w:rsid w:val="0028589F"/>
    <w:rsid w:val="002A11D6"/>
    <w:rsid w:val="002B6F7B"/>
    <w:rsid w:val="002D2568"/>
    <w:rsid w:val="002D3606"/>
    <w:rsid w:val="002E49C8"/>
    <w:rsid w:val="00310EB5"/>
    <w:rsid w:val="003B64F6"/>
    <w:rsid w:val="004325B5"/>
    <w:rsid w:val="00436164"/>
    <w:rsid w:val="004551A2"/>
    <w:rsid w:val="004B58DD"/>
    <w:rsid w:val="005A2265"/>
    <w:rsid w:val="005A566E"/>
    <w:rsid w:val="005C500D"/>
    <w:rsid w:val="00644B56"/>
    <w:rsid w:val="006C0842"/>
    <w:rsid w:val="006D48FD"/>
    <w:rsid w:val="007178E8"/>
    <w:rsid w:val="0073027C"/>
    <w:rsid w:val="008D2C8E"/>
    <w:rsid w:val="00931FCF"/>
    <w:rsid w:val="00942772"/>
    <w:rsid w:val="00990EAB"/>
    <w:rsid w:val="009D6CAB"/>
    <w:rsid w:val="00A21812"/>
    <w:rsid w:val="00A2799F"/>
    <w:rsid w:val="00AA2636"/>
    <w:rsid w:val="00AC4645"/>
    <w:rsid w:val="00AE4F74"/>
    <w:rsid w:val="00BB1F88"/>
    <w:rsid w:val="00BB6207"/>
    <w:rsid w:val="00BD075B"/>
    <w:rsid w:val="00C725E6"/>
    <w:rsid w:val="00CB7546"/>
    <w:rsid w:val="00CD3A87"/>
    <w:rsid w:val="00CF3B55"/>
    <w:rsid w:val="00D86384"/>
    <w:rsid w:val="00D974BC"/>
    <w:rsid w:val="00DC351A"/>
    <w:rsid w:val="00DD2CCF"/>
    <w:rsid w:val="00E055FE"/>
    <w:rsid w:val="00E33691"/>
    <w:rsid w:val="00E97615"/>
    <w:rsid w:val="00ED35FE"/>
    <w:rsid w:val="00ED44A6"/>
    <w:rsid w:val="00EF7AC4"/>
    <w:rsid w:val="00F22AE6"/>
    <w:rsid w:val="00F34070"/>
    <w:rsid w:val="00F40C9C"/>
    <w:rsid w:val="00F771AD"/>
    <w:rsid w:val="00FA3ED7"/>
    <w:rsid w:val="00FA6FD4"/>
    <w:rsid w:val="01323853"/>
    <w:rsid w:val="014A4A50"/>
    <w:rsid w:val="01573CA4"/>
    <w:rsid w:val="015B6732"/>
    <w:rsid w:val="01684CCC"/>
    <w:rsid w:val="018103CF"/>
    <w:rsid w:val="01D56E3B"/>
    <w:rsid w:val="01DB71F4"/>
    <w:rsid w:val="01E5225E"/>
    <w:rsid w:val="01ED35F2"/>
    <w:rsid w:val="0221325A"/>
    <w:rsid w:val="022325DC"/>
    <w:rsid w:val="025A62BB"/>
    <w:rsid w:val="026F7C94"/>
    <w:rsid w:val="029D2B36"/>
    <w:rsid w:val="02C32115"/>
    <w:rsid w:val="02F24104"/>
    <w:rsid w:val="032C51AE"/>
    <w:rsid w:val="033670CD"/>
    <w:rsid w:val="036F0548"/>
    <w:rsid w:val="03A27543"/>
    <w:rsid w:val="03BA4E34"/>
    <w:rsid w:val="03BB7B1E"/>
    <w:rsid w:val="03C76B14"/>
    <w:rsid w:val="03E52830"/>
    <w:rsid w:val="03F332ED"/>
    <w:rsid w:val="03F42EC4"/>
    <w:rsid w:val="04787169"/>
    <w:rsid w:val="04886BE3"/>
    <w:rsid w:val="04BD11B1"/>
    <w:rsid w:val="05223E99"/>
    <w:rsid w:val="0573446D"/>
    <w:rsid w:val="0576006E"/>
    <w:rsid w:val="058369F9"/>
    <w:rsid w:val="058C58A9"/>
    <w:rsid w:val="05B0602F"/>
    <w:rsid w:val="05C9605C"/>
    <w:rsid w:val="05CC072C"/>
    <w:rsid w:val="06087E32"/>
    <w:rsid w:val="064E02E5"/>
    <w:rsid w:val="066F3910"/>
    <w:rsid w:val="068B2A66"/>
    <w:rsid w:val="068F314B"/>
    <w:rsid w:val="06DB2E7A"/>
    <w:rsid w:val="071D6996"/>
    <w:rsid w:val="07284AD0"/>
    <w:rsid w:val="07296243"/>
    <w:rsid w:val="073910A7"/>
    <w:rsid w:val="074F2F87"/>
    <w:rsid w:val="079946AF"/>
    <w:rsid w:val="07AD1720"/>
    <w:rsid w:val="07B00A93"/>
    <w:rsid w:val="07B51C71"/>
    <w:rsid w:val="07BF2916"/>
    <w:rsid w:val="07E425F8"/>
    <w:rsid w:val="07FE7723"/>
    <w:rsid w:val="08052AB7"/>
    <w:rsid w:val="08075544"/>
    <w:rsid w:val="084C3C8F"/>
    <w:rsid w:val="08685F6E"/>
    <w:rsid w:val="086A0707"/>
    <w:rsid w:val="086C356D"/>
    <w:rsid w:val="08CF5A71"/>
    <w:rsid w:val="09176FFB"/>
    <w:rsid w:val="091E6805"/>
    <w:rsid w:val="094066F8"/>
    <w:rsid w:val="09435F8D"/>
    <w:rsid w:val="097738C5"/>
    <w:rsid w:val="097E059D"/>
    <w:rsid w:val="097F223E"/>
    <w:rsid w:val="09E3694A"/>
    <w:rsid w:val="0A164C55"/>
    <w:rsid w:val="0A2E2885"/>
    <w:rsid w:val="0A3A6D2B"/>
    <w:rsid w:val="0A461568"/>
    <w:rsid w:val="0A462E9C"/>
    <w:rsid w:val="0A4A4CCC"/>
    <w:rsid w:val="0A6B4767"/>
    <w:rsid w:val="0AAA070D"/>
    <w:rsid w:val="0AD436B1"/>
    <w:rsid w:val="0AD55FCD"/>
    <w:rsid w:val="0AFC1550"/>
    <w:rsid w:val="0B0A099E"/>
    <w:rsid w:val="0B127766"/>
    <w:rsid w:val="0B1E0878"/>
    <w:rsid w:val="0B477D09"/>
    <w:rsid w:val="0B673F0D"/>
    <w:rsid w:val="0B8D2817"/>
    <w:rsid w:val="0B945EAC"/>
    <w:rsid w:val="0BAD0DF0"/>
    <w:rsid w:val="0BF17F91"/>
    <w:rsid w:val="0C137469"/>
    <w:rsid w:val="0C295BDB"/>
    <w:rsid w:val="0C3149D1"/>
    <w:rsid w:val="0C414175"/>
    <w:rsid w:val="0C4261CE"/>
    <w:rsid w:val="0C4A63A4"/>
    <w:rsid w:val="0C5A6C29"/>
    <w:rsid w:val="0C8970B0"/>
    <w:rsid w:val="0CAF047D"/>
    <w:rsid w:val="0CB10058"/>
    <w:rsid w:val="0CD1669E"/>
    <w:rsid w:val="0CD711B7"/>
    <w:rsid w:val="0CEE5BBC"/>
    <w:rsid w:val="0D127B5A"/>
    <w:rsid w:val="0D137106"/>
    <w:rsid w:val="0D33382A"/>
    <w:rsid w:val="0D4D241E"/>
    <w:rsid w:val="0D501DAE"/>
    <w:rsid w:val="0D64331F"/>
    <w:rsid w:val="0DA86573"/>
    <w:rsid w:val="0DA9432A"/>
    <w:rsid w:val="0DD62270"/>
    <w:rsid w:val="0E13449E"/>
    <w:rsid w:val="0E24476C"/>
    <w:rsid w:val="0E4A18F5"/>
    <w:rsid w:val="0E87109A"/>
    <w:rsid w:val="0E8C0595"/>
    <w:rsid w:val="0E9A05FB"/>
    <w:rsid w:val="0EB67096"/>
    <w:rsid w:val="0ECB67E4"/>
    <w:rsid w:val="0ED96F78"/>
    <w:rsid w:val="0EE83605"/>
    <w:rsid w:val="0F1018C4"/>
    <w:rsid w:val="0F16600D"/>
    <w:rsid w:val="0F262182"/>
    <w:rsid w:val="0F945569"/>
    <w:rsid w:val="0FC734EF"/>
    <w:rsid w:val="0FDD4284"/>
    <w:rsid w:val="0FE21286"/>
    <w:rsid w:val="0FE63C66"/>
    <w:rsid w:val="0FEA63C8"/>
    <w:rsid w:val="0FFF53CB"/>
    <w:rsid w:val="100C6C4C"/>
    <w:rsid w:val="100F4C4C"/>
    <w:rsid w:val="10585386"/>
    <w:rsid w:val="10A90D6D"/>
    <w:rsid w:val="10AC4DE2"/>
    <w:rsid w:val="10C1599D"/>
    <w:rsid w:val="10CC3E66"/>
    <w:rsid w:val="10D7747E"/>
    <w:rsid w:val="10F53F3C"/>
    <w:rsid w:val="111C4C60"/>
    <w:rsid w:val="113F6183"/>
    <w:rsid w:val="11484AD5"/>
    <w:rsid w:val="115745CA"/>
    <w:rsid w:val="117033D5"/>
    <w:rsid w:val="118624BD"/>
    <w:rsid w:val="119D0D8C"/>
    <w:rsid w:val="11BE295C"/>
    <w:rsid w:val="11D14EF0"/>
    <w:rsid w:val="11DC1963"/>
    <w:rsid w:val="11FD7415"/>
    <w:rsid w:val="12164164"/>
    <w:rsid w:val="12531412"/>
    <w:rsid w:val="126363A3"/>
    <w:rsid w:val="12A76BF1"/>
    <w:rsid w:val="12AF5A91"/>
    <w:rsid w:val="12B45AB5"/>
    <w:rsid w:val="12B735A5"/>
    <w:rsid w:val="12D679FA"/>
    <w:rsid w:val="12EB78FE"/>
    <w:rsid w:val="13305A2F"/>
    <w:rsid w:val="1339216C"/>
    <w:rsid w:val="13510345"/>
    <w:rsid w:val="136F14F0"/>
    <w:rsid w:val="137259D3"/>
    <w:rsid w:val="1383172A"/>
    <w:rsid w:val="13BD3308"/>
    <w:rsid w:val="13DD2A63"/>
    <w:rsid w:val="140C7435"/>
    <w:rsid w:val="1417396C"/>
    <w:rsid w:val="14444CF0"/>
    <w:rsid w:val="14760595"/>
    <w:rsid w:val="14782D3D"/>
    <w:rsid w:val="149308EE"/>
    <w:rsid w:val="14A8398C"/>
    <w:rsid w:val="14A93565"/>
    <w:rsid w:val="14AF40DE"/>
    <w:rsid w:val="14C71777"/>
    <w:rsid w:val="14D93C1B"/>
    <w:rsid w:val="151C00AC"/>
    <w:rsid w:val="151E2AEE"/>
    <w:rsid w:val="152C112D"/>
    <w:rsid w:val="157D6985"/>
    <w:rsid w:val="15E21EF9"/>
    <w:rsid w:val="16086DC7"/>
    <w:rsid w:val="16165133"/>
    <w:rsid w:val="16423F2E"/>
    <w:rsid w:val="165E3325"/>
    <w:rsid w:val="166675F0"/>
    <w:rsid w:val="166806E8"/>
    <w:rsid w:val="16B34858"/>
    <w:rsid w:val="16C46BC8"/>
    <w:rsid w:val="16CA3D5A"/>
    <w:rsid w:val="16E90D26"/>
    <w:rsid w:val="16FA74B1"/>
    <w:rsid w:val="179C0DB7"/>
    <w:rsid w:val="179F62B0"/>
    <w:rsid w:val="17A43864"/>
    <w:rsid w:val="181C6802"/>
    <w:rsid w:val="184F1A63"/>
    <w:rsid w:val="185F41C4"/>
    <w:rsid w:val="18881A1E"/>
    <w:rsid w:val="18D00673"/>
    <w:rsid w:val="18E6552C"/>
    <w:rsid w:val="192E1F3D"/>
    <w:rsid w:val="193F3954"/>
    <w:rsid w:val="19556C41"/>
    <w:rsid w:val="19803248"/>
    <w:rsid w:val="19CF725A"/>
    <w:rsid w:val="19D12D9E"/>
    <w:rsid w:val="19E84600"/>
    <w:rsid w:val="1A2C202E"/>
    <w:rsid w:val="1A3D7F5C"/>
    <w:rsid w:val="1A5B0DA1"/>
    <w:rsid w:val="1A5C5E3E"/>
    <w:rsid w:val="1A6C7BE3"/>
    <w:rsid w:val="1A7A4814"/>
    <w:rsid w:val="1A8F5959"/>
    <w:rsid w:val="1AB42B2C"/>
    <w:rsid w:val="1B061CCA"/>
    <w:rsid w:val="1B0E07AE"/>
    <w:rsid w:val="1B0F74F6"/>
    <w:rsid w:val="1B2F085A"/>
    <w:rsid w:val="1B3247D4"/>
    <w:rsid w:val="1B33241B"/>
    <w:rsid w:val="1B8E1E2E"/>
    <w:rsid w:val="1BAA7529"/>
    <w:rsid w:val="1BBA15B8"/>
    <w:rsid w:val="1BBC02F9"/>
    <w:rsid w:val="1BE21D7B"/>
    <w:rsid w:val="1C051E2F"/>
    <w:rsid w:val="1C807006"/>
    <w:rsid w:val="1C8923C6"/>
    <w:rsid w:val="1C934D4A"/>
    <w:rsid w:val="1CA06F94"/>
    <w:rsid w:val="1CAE6091"/>
    <w:rsid w:val="1CD32B75"/>
    <w:rsid w:val="1CE04903"/>
    <w:rsid w:val="1CFC542E"/>
    <w:rsid w:val="1D2D0DEF"/>
    <w:rsid w:val="1D312704"/>
    <w:rsid w:val="1D7127B6"/>
    <w:rsid w:val="1D9E37B3"/>
    <w:rsid w:val="1DA534F1"/>
    <w:rsid w:val="1DB45362"/>
    <w:rsid w:val="1DCD553D"/>
    <w:rsid w:val="1DDC4EC9"/>
    <w:rsid w:val="1DDE5282"/>
    <w:rsid w:val="1DFF5DF8"/>
    <w:rsid w:val="1E611B6D"/>
    <w:rsid w:val="1E647FAC"/>
    <w:rsid w:val="1EB46024"/>
    <w:rsid w:val="1ECB7CB2"/>
    <w:rsid w:val="1ED068EA"/>
    <w:rsid w:val="1EE05134"/>
    <w:rsid w:val="1EE85216"/>
    <w:rsid w:val="1F10217B"/>
    <w:rsid w:val="1F2D315B"/>
    <w:rsid w:val="1F655160"/>
    <w:rsid w:val="1F89098A"/>
    <w:rsid w:val="1FC272E8"/>
    <w:rsid w:val="200745A9"/>
    <w:rsid w:val="2007635F"/>
    <w:rsid w:val="20111199"/>
    <w:rsid w:val="20145197"/>
    <w:rsid w:val="20260CFB"/>
    <w:rsid w:val="202A6885"/>
    <w:rsid w:val="204B1DAE"/>
    <w:rsid w:val="208D3646"/>
    <w:rsid w:val="20B10B7C"/>
    <w:rsid w:val="20CC7CDC"/>
    <w:rsid w:val="20D60263"/>
    <w:rsid w:val="210F580D"/>
    <w:rsid w:val="21272DDA"/>
    <w:rsid w:val="21957572"/>
    <w:rsid w:val="21981AFC"/>
    <w:rsid w:val="21B0082E"/>
    <w:rsid w:val="21B55B6B"/>
    <w:rsid w:val="21C3490F"/>
    <w:rsid w:val="21D45C3C"/>
    <w:rsid w:val="221647FD"/>
    <w:rsid w:val="222A10BB"/>
    <w:rsid w:val="222F1298"/>
    <w:rsid w:val="224C1B20"/>
    <w:rsid w:val="2262266F"/>
    <w:rsid w:val="22687BAC"/>
    <w:rsid w:val="22907F13"/>
    <w:rsid w:val="22B6338A"/>
    <w:rsid w:val="22E378EB"/>
    <w:rsid w:val="22E533A7"/>
    <w:rsid w:val="2316456F"/>
    <w:rsid w:val="23170C26"/>
    <w:rsid w:val="232F1DF7"/>
    <w:rsid w:val="236470F6"/>
    <w:rsid w:val="23647EA5"/>
    <w:rsid w:val="23B70E74"/>
    <w:rsid w:val="23F624DF"/>
    <w:rsid w:val="243E6252"/>
    <w:rsid w:val="24904A1F"/>
    <w:rsid w:val="249B37AE"/>
    <w:rsid w:val="24C00885"/>
    <w:rsid w:val="24C26CBF"/>
    <w:rsid w:val="24CF59D7"/>
    <w:rsid w:val="25247E46"/>
    <w:rsid w:val="252C03FF"/>
    <w:rsid w:val="254E07C0"/>
    <w:rsid w:val="255341DA"/>
    <w:rsid w:val="25B0008F"/>
    <w:rsid w:val="25F1503C"/>
    <w:rsid w:val="25FC25E1"/>
    <w:rsid w:val="264814A7"/>
    <w:rsid w:val="26850E54"/>
    <w:rsid w:val="26970D9D"/>
    <w:rsid w:val="26992CCD"/>
    <w:rsid w:val="26A40D1F"/>
    <w:rsid w:val="26B8000B"/>
    <w:rsid w:val="26C97CCE"/>
    <w:rsid w:val="26DF444F"/>
    <w:rsid w:val="26ED50BA"/>
    <w:rsid w:val="26F913ED"/>
    <w:rsid w:val="26FE724D"/>
    <w:rsid w:val="27145CEA"/>
    <w:rsid w:val="271A48C7"/>
    <w:rsid w:val="27233F76"/>
    <w:rsid w:val="273A3B80"/>
    <w:rsid w:val="27467B50"/>
    <w:rsid w:val="2782140F"/>
    <w:rsid w:val="27827C8F"/>
    <w:rsid w:val="27AF43A9"/>
    <w:rsid w:val="27CD2AFA"/>
    <w:rsid w:val="281C6621"/>
    <w:rsid w:val="281D3397"/>
    <w:rsid w:val="28247B7D"/>
    <w:rsid w:val="282F504E"/>
    <w:rsid w:val="28475005"/>
    <w:rsid w:val="287258C1"/>
    <w:rsid w:val="28786675"/>
    <w:rsid w:val="28AF3348"/>
    <w:rsid w:val="28C56841"/>
    <w:rsid w:val="28F02F47"/>
    <w:rsid w:val="2914693F"/>
    <w:rsid w:val="29661BD1"/>
    <w:rsid w:val="2A065400"/>
    <w:rsid w:val="2A0E2BC8"/>
    <w:rsid w:val="2A296C4F"/>
    <w:rsid w:val="2ADD0F1B"/>
    <w:rsid w:val="2AE14B3B"/>
    <w:rsid w:val="2AE54361"/>
    <w:rsid w:val="2B08633D"/>
    <w:rsid w:val="2B222E67"/>
    <w:rsid w:val="2B4F3A37"/>
    <w:rsid w:val="2B6D498D"/>
    <w:rsid w:val="2B793868"/>
    <w:rsid w:val="2B846229"/>
    <w:rsid w:val="2B955A29"/>
    <w:rsid w:val="2BE5603F"/>
    <w:rsid w:val="2C01029F"/>
    <w:rsid w:val="2C072AA5"/>
    <w:rsid w:val="2C114A83"/>
    <w:rsid w:val="2C1B5BDE"/>
    <w:rsid w:val="2C3158BF"/>
    <w:rsid w:val="2C453F85"/>
    <w:rsid w:val="2C493F28"/>
    <w:rsid w:val="2C4B17A9"/>
    <w:rsid w:val="2C6040A7"/>
    <w:rsid w:val="2C782B55"/>
    <w:rsid w:val="2D172307"/>
    <w:rsid w:val="2D1C0816"/>
    <w:rsid w:val="2DAB6D32"/>
    <w:rsid w:val="2DB50E5E"/>
    <w:rsid w:val="2DBC121B"/>
    <w:rsid w:val="2DDE73B1"/>
    <w:rsid w:val="2DE221E0"/>
    <w:rsid w:val="2E0A622A"/>
    <w:rsid w:val="2E144384"/>
    <w:rsid w:val="2E1A1AB1"/>
    <w:rsid w:val="2E1C5F56"/>
    <w:rsid w:val="2E2968B0"/>
    <w:rsid w:val="2E8B6879"/>
    <w:rsid w:val="2E9A177D"/>
    <w:rsid w:val="2EA3320F"/>
    <w:rsid w:val="2EB06765"/>
    <w:rsid w:val="2ED202FA"/>
    <w:rsid w:val="2EDD33D8"/>
    <w:rsid w:val="2EE105F0"/>
    <w:rsid w:val="2F050DB2"/>
    <w:rsid w:val="2F1F2E28"/>
    <w:rsid w:val="2F1F368A"/>
    <w:rsid w:val="2F2D604E"/>
    <w:rsid w:val="2F484318"/>
    <w:rsid w:val="2F4F6407"/>
    <w:rsid w:val="2F934BD6"/>
    <w:rsid w:val="2FA27F47"/>
    <w:rsid w:val="2FAB5F07"/>
    <w:rsid w:val="2FB24F95"/>
    <w:rsid w:val="2FBE4ABE"/>
    <w:rsid w:val="2FF10498"/>
    <w:rsid w:val="2FF26295"/>
    <w:rsid w:val="300A2B28"/>
    <w:rsid w:val="305B5922"/>
    <w:rsid w:val="3060649D"/>
    <w:rsid w:val="3070193E"/>
    <w:rsid w:val="30774F26"/>
    <w:rsid w:val="307920AD"/>
    <w:rsid w:val="30CB58DC"/>
    <w:rsid w:val="30CC12D1"/>
    <w:rsid w:val="30F829DB"/>
    <w:rsid w:val="311E7512"/>
    <w:rsid w:val="31777D21"/>
    <w:rsid w:val="31A71AFC"/>
    <w:rsid w:val="31D7622B"/>
    <w:rsid w:val="31F06548"/>
    <w:rsid w:val="32695E34"/>
    <w:rsid w:val="32711A87"/>
    <w:rsid w:val="328A5FAA"/>
    <w:rsid w:val="32AA1257"/>
    <w:rsid w:val="330E420D"/>
    <w:rsid w:val="33771E87"/>
    <w:rsid w:val="3383421C"/>
    <w:rsid w:val="33D469E2"/>
    <w:rsid w:val="33E47981"/>
    <w:rsid w:val="33FB4840"/>
    <w:rsid w:val="33FC3765"/>
    <w:rsid w:val="34000FDD"/>
    <w:rsid w:val="34182880"/>
    <w:rsid w:val="342445D1"/>
    <w:rsid w:val="343C7D72"/>
    <w:rsid w:val="344B37F9"/>
    <w:rsid w:val="34714BE6"/>
    <w:rsid w:val="34774B8F"/>
    <w:rsid w:val="349A290E"/>
    <w:rsid w:val="34BC1E2E"/>
    <w:rsid w:val="34D615BF"/>
    <w:rsid w:val="3543765E"/>
    <w:rsid w:val="35827858"/>
    <w:rsid w:val="35A85EB5"/>
    <w:rsid w:val="35CF3F4B"/>
    <w:rsid w:val="35D63D81"/>
    <w:rsid w:val="35F302D3"/>
    <w:rsid w:val="360C70BB"/>
    <w:rsid w:val="3620675C"/>
    <w:rsid w:val="36A073F8"/>
    <w:rsid w:val="36E258C9"/>
    <w:rsid w:val="371F2B46"/>
    <w:rsid w:val="374A40DB"/>
    <w:rsid w:val="376B6425"/>
    <w:rsid w:val="37846D7D"/>
    <w:rsid w:val="37924280"/>
    <w:rsid w:val="379B59D9"/>
    <w:rsid w:val="37A3591A"/>
    <w:rsid w:val="37A4645E"/>
    <w:rsid w:val="37BE5746"/>
    <w:rsid w:val="37FB048B"/>
    <w:rsid w:val="381954B4"/>
    <w:rsid w:val="38492467"/>
    <w:rsid w:val="38722A50"/>
    <w:rsid w:val="388C634C"/>
    <w:rsid w:val="38EE31E1"/>
    <w:rsid w:val="38FA5233"/>
    <w:rsid w:val="39055A44"/>
    <w:rsid w:val="393709DA"/>
    <w:rsid w:val="393B52B3"/>
    <w:rsid w:val="39732FAE"/>
    <w:rsid w:val="39737613"/>
    <w:rsid w:val="399A7711"/>
    <w:rsid w:val="39AB5DE7"/>
    <w:rsid w:val="39C87EFE"/>
    <w:rsid w:val="39F86DF8"/>
    <w:rsid w:val="3A065CBB"/>
    <w:rsid w:val="3A204408"/>
    <w:rsid w:val="3A2100D5"/>
    <w:rsid w:val="3A3A5FF2"/>
    <w:rsid w:val="3A3E3410"/>
    <w:rsid w:val="3A75438F"/>
    <w:rsid w:val="3B0369F9"/>
    <w:rsid w:val="3B2C417E"/>
    <w:rsid w:val="3B9E7409"/>
    <w:rsid w:val="3BA65F7E"/>
    <w:rsid w:val="3BC85CF2"/>
    <w:rsid w:val="3BD97768"/>
    <w:rsid w:val="3C163877"/>
    <w:rsid w:val="3C3E2076"/>
    <w:rsid w:val="3C4148C6"/>
    <w:rsid w:val="3C562ECC"/>
    <w:rsid w:val="3C8F3924"/>
    <w:rsid w:val="3CA17BE8"/>
    <w:rsid w:val="3CA47173"/>
    <w:rsid w:val="3CEA7D6E"/>
    <w:rsid w:val="3CF22971"/>
    <w:rsid w:val="3D073C2D"/>
    <w:rsid w:val="3D1749D8"/>
    <w:rsid w:val="3D506FEE"/>
    <w:rsid w:val="3D802914"/>
    <w:rsid w:val="3D806775"/>
    <w:rsid w:val="3D974A2F"/>
    <w:rsid w:val="3DB83FD4"/>
    <w:rsid w:val="3DFA5419"/>
    <w:rsid w:val="3E750ACA"/>
    <w:rsid w:val="3EB50164"/>
    <w:rsid w:val="3EB502C6"/>
    <w:rsid w:val="3EDA31F8"/>
    <w:rsid w:val="3F27343B"/>
    <w:rsid w:val="3F3A08C3"/>
    <w:rsid w:val="3F622940"/>
    <w:rsid w:val="3F696E47"/>
    <w:rsid w:val="3F99733C"/>
    <w:rsid w:val="3F9B0631"/>
    <w:rsid w:val="3FC70712"/>
    <w:rsid w:val="3FC93F3D"/>
    <w:rsid w:val="3FD226BD"/>
    <w:rsid w:val="3FD97228"/>
    <w:rsid w:val="3FFB2C14"/>
    <w:rsid w:val="3FFE706A"/>
    <w:rsid w:val="402E18EF"/>
    <w:rsid w:val="403547B9"/>
    <w:rsid w:val="40445528"/>
    <w:rsid w:val="405168BC"/>
    <w:rsid w:val="40636F69"/>
    <w:rsid w:val="406E1A0C"/>
    <w:rsid w:val="40736E45"/>
    <w:rsid w:val="40B106E9"/>
    <w:rsid w:val="412A211B"/>
    <w:rsid w:val="413169D6"/>
    <w:rsid w:val="414C2D9B"/>
    <w:rsid w:val="41693CD3"/>
    <w:rsid w:val="41BB6CC3"/>
    <w:rsid w:val="420E0C18"/>
    <w:rsid w:val="42126739"/>
    <w:rsid w:val="427D1F4E"/>
    <w:rsid w:val="42AD5DF4"/>
    <w:rsid w:val="42B06BA4"/>
    <w:rsid w:val="42D87086"/>
    <w:rsid w:val="42F35D42"/>
    <w:rsid w:val="430F38BA"/>
    <w:rsid w:val="432032FB"/>
    <w:rsid w:val="43440ADD"/>
    <w:rsid w:val="43456D6D"/>
    <w:rsid w:val="43486049"/>
    <w:rsid w:val="43501E20"/>
    <w:rsid w:val="43607B01"/>
    <w:rsid w:val="4378210D"/>
    <w:rsid w:val="438B6148"/>
    <w:rsid w:val="43BA6232"/>
    <w:rsid w:val="43CA1A09"/>
    <w:rsid w:val="43F81749"/>
    <w:rsid w:val="43FF7E14"/>
    <w:rsid w:val="442E1031"/>
    <w:rsid w:val="44452D3B"/>
    <w:rsid w:val="4446093E"/>
    <w:rsid w:val="448D5651"/>
    <w:rsid w:val="4491780A"/>
    <w:rsid w:val="44B443A2"/>
    <w:rsid w:val="44EE608F"/>
    <w:rsid w:val="44F124A8"/>
    <w:rsid w:val="44FA358B"/>
    <w:rsid w:val="45001FE4"/>
    <w:rsid w:val="450B2FC6"/>
    <w:rsid w:val="452A2F3C"/>
    <w:rsid w:val="452C238C"/>
    <w:rsid w:val="454332B2"/>
    <w:rsid w:val="45556AD6"/>
    <w:rsid w:val="456F4F18"/>
    <w:rsid w:val="45824018"/>
    <w:rsid w:val="458C76D4"/>
    <w:rsid w:val="45BB7D6F"/>
    <w:rsid w:val="460A53AC"/>
    <w:rsid w:val="4615257B"/>
    <w:rsid w:val="46256E42"/>
    <w:rsid w:val="46444652"/>
    <w:rsid w:val="469F0F3D"/>
    <w:rsid w:val="46E16000"/>
    <w:rsid w:val="46E46758"/>
    <w:rsid w:val="4710426F"/>
    <w:rsid w:val="475927F3"/>
    <w:rsid w:val="478D4C1F"/>
    <w:rsid w:val="479133A9"/>
    <w:rsid w:val="47A16B30"/>
    <w:rsid w:val="47AA1D89"/>
    <w:rsid w:val="47B40B24"/>
    <w:rsid w:val="47C34E9F"/>
    <w:rsid w:val="47D10888"/>
    <w:rsid w:val="47F75493"/>
    <w:rsid w:val="48454E83"/>
    <w:rsid w:val="486E4B83"/>
    <w:rsid w:val="48EB221B"/>
    <w:rsid w:val="490B4A5E"/>
    <w:rsid w:val="49193D32"/>
    <w:rsid w:val="49506CC8"/>
    <w:rsid w:val="495C2FA2"/>
    <w:rsid w:val="497011DF"/>
    <w:rsid w:val="497A2695"/>
    <w:rsid w:val="49930FBD"/>
    <w:rsid w:val="49AA1F99"/>
    <w:rsid w:val="49D5423A"/>
    <w:rsid w:val="49DE49E3"/>
    <w:rsid w:val="4A183003"/>
    <w:rsid w:val="4A1C0E20"/>
    <w:rsid w:val="4A1D2A53"/>
    <w:rsid w:val="4A3D7CCC"/>
    <w:rsid w:val="4A414874"/>
    <w:rsid w:val="4A5B1CFA"/>
    <w:rsid w:val="4A6B26BC"/>
    <w:rsid w:val="4A97717F"/>
    <w:rsid w:val="4AAF34F1"/>
    <w:rsid w:val="4ACA299D"/>
    <w:rsid w:val="4AD71B6B"/>
    <w:rsid w:val="4AE34A86"/>
    <w:rsid w:val="4AEE033F"/>
    <w:rsid w:val="4AEE6426"/>
    <w:rsid w:val="4AFA5F0D"/>
    <w:rsid w:val="4B144326"/>
    <w:rsid w:val="4B1A42C1"/>
    <w:rsid w:val="4B353094"/>
    <w:rsid w:val="4B433EC5"/>
    <w:rsid w:val="4B6827B8"/>
    <w:rsid w:val="4B88341D"/>
    <w:rsid w:val="4BC13217"/>
    <w:rsid w:val="4BC3317F"/>
    <w:rsid w:val="4BED1A60"/>
    <w:rsid w:val="4BFF7B32"/>
    <w:rsid w:val="4C0374E5"/>
    <w:rsid w:val="4C4851A6"/>
    <w:rsid w:val="4C6659B4"/>
    <w:rsid w:val="4C7C1AC2"/>
    <w:rsid w:val="4C8C3F72"/>
    <w:rsid w:val="4CB16DC8"/>
    <w:rsid w:val="4CBE5F08"/>
    <w:rsid w:val="4CE561A1"/>
    <w:rsid w:val="4CEA446B"/>
    <w:rsid w:val="4D0852E0"/>
    <w:rsid w:val="4D1E25BC"/>
    <w:rsid w:val="4D2941EF"/>
    <w:rsid w:val="4D3068A0"/>
    <w:rsid w:val="4D314FB1"/>
    <w:rsid w:val="4D516323"/>
    <w:rsid w:val="4D5D1C2C"/>
    <w:rsid w:val="4D725F71"/>
    <w:rsid w:val="4D9B6851"/>
    <w:rsid w:val="4DD5731D"/>
    <w:rsid w:val="4E1B61C6"/>
    <w:rsid w:val="4E1C320A"/>
    <w:rsid w:val="4E471FEE"/>
    <w:rsid w:val="4E892306"/>
    <w:rsid w:val="4E925FA9"/>
    <w:rsid w:val="4EE72413"/>
    <w:rsid w:val="4F04143F"/>
    <w:rsid w:val="4F141710"/>
    <w:rsid w:val="4F264560"/>
    <w:rsid w:val="4F384B1E"/>
    <w:rsid w:val="4F4A6672"/>
    <w:rsid w:val="4F4F285B"/>
    <w:rsid w:val="4F5624FE"/>
    <w:rsid w:val="4F59439D"/>
    <w:rsid w:val="4F94131F"/>
    <w:rsid w:val="4F9D1FEA"/>
    <w:rsid w:val="4FAA749D"/>
    <w:rsid w:val="4FED1259"/>
    <w:rsid w:val="500266D6"/>
    <w:rsid w:val="504A69B3"/>
    <w:rsid w:val="506B6805"/>
    <w:rsid w:val="507039DE"/>
    <w:rsid w:val="50AB225D"/>
    <w:rsid w:val="50C231E9"/>
    <w:rsid w:val="50CF3CE3"/>
    <w:rsid w:val="50F94894"/>
    <w:rsid w:val="5115314F"/>
    <w:rsid w:val="512E7992"/>
    <w:rsid w:val="51517C94"/>
    <w:rsid w:val="51655687"/>
    <w:rsid w:val="517764AB"/>
    <w:rsid w:val="51956D90"/>
    <w:rsid w:val="51991418"/>
    <w:rsid w:val="51AE55D1"/>
    <w:rsid w:val="51BE31B7"/>
    <w:rsid w:val="521D4937"/>
    <w:rsid w:val="524632DC"/>
    <w:rsid w:val="525E3F13"/>
    <w:rsid w:val="52773A2D"/>
    <w:rsid w:val="52822A11"/>
    <w:rsid w:val="528B232A"/>
    <w:rsid w:val="52E20351"/>
    <w:rsid w:val="52FA3DCC"/>
    <w:rsid w:val="532E70F9"/>
    <w:rsid w:val="53864426"/>
    <w:rsid w:val="53B80B6F"/>
    <w:rsid w:val="53D2118F"/>
    <w:rsid w:val="540C503C"/>
    <w:rsid w:val="542E2E96"/>
    <w:rsid w:val="54AB5390"/>
    <w:rsid w:val="54D56839"/>
    <w:rsid w:val="54E92223"/>
    <w:rsid w:val="55031675"/>
    <w:rsid w:val="55672CC5"/>
    <w:rsid w:val="55735F79"/>
    <w:rsid w:val="557474D4"/>
    <w:rsid w:val="55775DB8"/>
    <w:rsid w:val="558F3D9E"/>
    <w:rsid w:val="55956122"/>
    <w:rsid w:val="55A00593"/>
    <w:rsid w:val="55B97D9B"/>
    <w:rsid w:val="55C501A9"/>
    <w:rsid w:val="55DA6555"/>
    <w:rsid w:val="56072F47"/>
    <w:rsid w:val="56137987"/>
    <w:rsid w:val="563D394F"/>
    <w:rsid w:val="5641221F"/>
    <w:rsid w:val="56450352"/>
    <w:rsid w:val="565A015E"/>
    <w:rsid w:val="56937807"/>
    <w:rsid w:val="56A33338"/>
    <w:rsid w:val="56BC5B24"/>
    <w:rsid w:val="56DE2227"/>
    <w:rsid w:val="56F059A7"/>
    <w:rsid w:val="56F13302"/>
    <w:rsid w:val="57041243"/>
    <w:rsid w:val="57085679"/>
    <w:rsid w:val="570924D9"/>
    <w:rsid w:val="5754613A"/>
    <w:rsid w:val="576A2079"/>
    <w:rsid w:val="577E730A"/>
    <w:rsid w:val="57953881"/>
    <w:rsid w:val="57F243BF"/>
    <w:rsid w:val="58237E0D"/>
    <w:rsid w:val="584906CC"/>
    <w:rsid w:val="586A732D"/>
    <w:rsid w:val="58957316"/>
    <w:rsid w:val="58BF394B"/>
    <w:rsid w:val="58D25BAE"/>
    <w:rsid w:val="59062BE2"/>
    <w:rsid w:val="59196CFA"/>
    <w:rsid w:val="59346650"/>
    <w:rsid w:val="59453F95"/>
    <w:rsid w:val="59637897"/>
    <w:rsid w:val="596A2F8A"/>
    <w:rsid w:val="596B36BD"/>
    <w:rsid w:val="599B3745"/>
    <w:rsid w:val="59A41294"/>
    <w:rsid w:val="59A76BB5"/>
    <w:rsid w:val="59EB06AE"/>
    <w:rsid w:val="5A11240E"/>
    <w:rsid w:val="5A246240"/>
    <w:rsid w:val="5A6958B8"/>
    <w:rsid w:val="5A831537"/>
    <w:rsid w:val="5A834B76"/>
    <w:rsid w:val="5A8752C7"/>
    <w:rsid w:val="5A9517D8"/>
    <w:rsid w:val="5A972D1F"/>
    <w:rsid w:val="5A9D1A89"/>
    <w:rsid w:val="5AA712CA"/>
    <w:rsid w:val="5ABC2E49"/>
    <w:rsid w:val="5ACD58DC"/>
    <w:rsid w:val="5ADF28C8"/>
    <w:rsid w:val="5AF50C58"/>
    <w:rsid w:val="5AFC406E"/>
    <w:rsid w:val="5B2264C5"/>
    <w:rsid w:val="5B245139"/>
    <w:rsid w:val="5B477073"/>
    <w:rsid w:val="5B5C315E"/>
    <w:rsid w:val="5B6A3171"/>
    <w:rsid w:val="5B985B33"/>
    <w:rsid w:val="5BA76F35"/>
    <w:rsid w:val="5BC25250"/>
    <w:rsid w:val="5BEF1EBE"/>
    <w:rsid w:val="5C056F09"/>
    <w:rsid w:val="5C2F555E"/>
    <w:rsid w:val="5C3446F5"/>
    <w:rsid w:val="5C544368"/>
    <w:rsid w:val="5C75697B"/>
    <w:rsid w:val="5CB14BBE"/>
    <w:rsid w:val="5CBA073D"/>
    <w:rsid w:val="5CD87CB5"/>
    <w:rsid w:val="5CDA5B34"/>
    <w:rsid w:val="5D0E5EA6"/>
    <w:rsid w:val="5D826F89"/>
    <w:rsid w:val="5D983B19"/>
    <w:rsid w:val="5D9B15ED"/>
    <w:rsid w:val="5DA253C8"/>
    <w:rsid w:val="5DAC7331"/>
    <w:rsid w:val="5DC22C95"/>
    <w:rsid w:val="5DD94080"/>
    <w:rsid w:val="5DE80025"/>
    <w:rsid w:val="5DEB6405"/>
    <w:rsid w:val="5DF9344A"/>
    <w:rsid w:val="5E050938"/>
    <w:rsid w:val="5E0B615A"/>
    <w:rsid w:val="5E102BB0"/>
    <w:rsid w:val="5E3F75BD"/>
    <w:rsid w:val="5E42340C"/>
    <w:rsid w:val="5E663A67"/>
    <w:rsid w:val="5E693EDD"/>
    <w:rsid w:val="5E9348B5"/>
    <w:rsid w:val="5E934F6D"/>
    <w:rsid w:val="5EBB7C92"/>
    <w:rsid w:val="5ED35C18"/>
    <w:rsid w:val="5EDD2DDB"/>
    <w:rsid w:val="5F407C26"/>
    <w:rsid w:val="5F4A51C7"/>
    <w:rsid w:val="5F5413CE"/>
    <w:rsid w:val="5F8345B5"/>
    <w:rsid w:val="5F871AE1"/>
    <w:rsid w:val="5F8929FF"/>
    <w:rsid w:val="5F9846E3"/>
    <w:rsid w:val="5FA9590A"/>
    <w:rsid w:val="5FE25CB2"/>
    <w:rsid w:val="60256D53"/>
    <w:rsid w:val="602664D3"/>
    <w:rsid w:val="602A2756"/>
    <w:rsid w:val="60616628"/>
    <w:rsid w:val="606379EB"/>
    <w:rsid w:val="607865D5"/>
    <w:rsid w:val="6092170C"/>
    <w:rsid w:val="60A12CEC"/>
    <w:rsid w:val="60A46E93"/>
    <w:rsid w:val="60E46585"/>
    <w:rsid w:val="60E766A0"/>
    <w:rsid w:val="610C575F"/>
    <w:rsid w:val="612D7887"/>
    <w:rsid w:val="618E5FC9"/>
    <w:rsid w:val="61B776A6"/>
    <w:rsid w:val="61BF02CF"/>
    <w:rsid w:val="61CB0956"/>
    <w:rsid w:val="61E15FA8"/>
    <w:rsid w:val="61E82C0B"/>
    <w:rsid w:val="61F83B67"/>
    <w:rsid w:val="61F87E1B"/>
    <w:rsid w:val="6202726D"/>
    <w:rsid w:val="62041F99"/>
    <w:rsid w:val="62233F25"/>
    <w:rsid w:val="6236629C"/>
    <w:rsid w:val="623B5341"/>
    <w:rsid w:val="623F004F"/>
    <w:rsid w:val="62592612"/>
    <w:rsid w:val="629321E8"/>
    <w:rsid w:val="62BA10CC"/>
    <w:rsid w:val="62E67E95"/>
    <w:rsid w:val="62E826FA"/>
    <w:rsid w:val="630870FE"/>
    <w:rsid w:val="63143B99"/>
    <w:rsid w:val="634F39B8"/>
    <w:rsid w:val="635B34EF"/>
    <w:rsid w:val="639758EB"/>
    <w:rsid w:val="63BB2AB0"/>
    <w:rsid w:val="63E9635B"/>
    <w:rsid w:val="63EE6D24"/>
    <w:rsid w:val="64056FB3"/>
    <w:rsid w:val="641A7E2F"/>
    <w:rsid w:val="641E0D4C"/>
    <w:rsid w:val="64260FBD"/>
    <w:rsid w:val="645776FF"/>
    <w:rsid w:val="6462692C"/>
    <w:rsid w:val="64747947"/>
    <w:rsid w:val="64945C76"/>
    <w:rsid w:val="649861C8"/>
    <w:rsid w:val="64D85C29"/>
    <w:rsid w:val="64E701F4"/>
    <w:rsid w:val="64F76831"/>
    <w:rsid w:val="651371CC"/>
    <w:rsid w:val="653C66DE"/>
    <w:rsid w:val="653E0A11"/>
    <w:rsid w:val="65510E36"/>
    <w:rsid w:val="65547261"/>
    <w:rsid w:val="655A2C68"/>
    <w:rsid w:val="655F773B"/>
    <w:rsid w:val="656B1BB9"/>
    <w:rsid w:val="658C3AB0"/>
    <w:rsid w:val="65ED4232"/>
    <w:rsid w:val="663A2666"/>
    <w:rsid w:val="665D210A"/>
    <w:rsid w:val="66832561"/>
    <w:rsid w:val="66A25F9C"/>
    <w:rsid w:val="66A37989"/>
    <w:rsid w:val="66FA779C"/>
    <w:rsid w:val="66FC7A47"/>
    <w:rsid w:val="670063FB"/>
    <w:rsid w:val="671C6F26"/>
    <w:rsid w:val="67212A32"/>
    <w:rsid w:val="672D3DD2"/>
    <w:rsid w:val="673660E7"/>
    <w:rsid w:val="673F1EB1"/>
    <w:rsid w:val="67447558"/>
    <w:rsid w:val="67673E1F"/>
    <w:rsid w:val="677112E3"/>
    <w:rsid w:val="6776299D"/>
    <w:rsid w:val="677E25A2"/>
    <w:rsid w:val="67A147AD"/>
    <w:rsid w:val="67B9626D"/>
    <w:rsid w:val="67BE1D2E"/>
    <w:rsid w:val="68590196"/>
    <w:rsid w:val="685B182C"/>
    <w:rsid w:val="686F3556"/>
    <w:rsid w:val="687F3B73"/>
    <w:rsid w:val="68895DA2"/>
    <w:rsid w:val="68A0004F"/>
    <w:rsid w:val="68A3358F"/>
    <w:rsid w:val="68A97CA3"/>
    <w:rsid w:val="68B32EE4"/>
    <w:rsid w:val="68EF7A70"/>
    <w:rsid w:val="6912107F"/>
    <w:rsid w:val="69194206"/>
    <w:rsid w:val="695B0327"/>
    <w:rsid w:val="69C30B37"/>
    <w:rsid w:val="69C37D17"/>
    <w:rsid w:val="6A1918CE"/>
    <w:rsid w:val="6A233E95"/>
    <w:rsid w:val="6A234A25"/>
    <w:rsid w:val="6B1012BC"/>
    <w:rsid w:val="6B361BA0"/>
    <w:rsid w:val="6B3837BB"/>
    <w:rsid w:val="6B4123C8"/>
    <w:rsid w:val="6B6B021A"/>
    <w:rsid w:val="6B9D4590"/>
    <w:rsid w:val="6BC17A82"/>
    <w:rsid w:val="6BD97017"/>
    <w:rsid w:val="6BE96D02"/>
    <w:rsid w:val="6C0E1709"/>
    <w:rsid w:val="6C182AF0"/>
    <w:rsid w:val="6C5B425A"/>
    <w:rsid w:val="6C757B69"/>
    <w:rsid w:val="6CAA7A05"/>
    <w:rsid w:val="6CBF0387"/>
    <w:rsid w:val="6CDC306F"/>
    <w:rsid w:val="6CEB1AE5"/>
    <w:rsid w:val="6E293AAE"/>
    <w:rsid w:val="6E3E1404"/>
    <w:rsid w:val="6E4F4E8B"/>
    <w:rsid w:val="6E6A42D4"/>
    <w:rsid w:val="6E9557AC"/>
    <w:rsid w:val="6E9C172C"/>
    <w:rsid w:val="6EB622FA"/>
    <w:rsid w:val="6EE5797B"/>
    <w:rsid w:val="6F143752"/>
    <w:rsid w:val="6F261E60"/>
    <w:rsid w:val="6F3B60FA"/>
    <w:rsid w:val="6F59545A"/>
    <w:rsid w:val="6F7C175A"/>
    <w:rsid w:val="6FA8667B"/>
    <w:rsid w:val="6FD3590F"/>
    <w:rsid w:val="6FE5497B"/>
    <w:rsid w:val="70054999"/>
    <w:rsid w:val="70097865"/>
    <w:rsid w:val="70106C57"/>
    <w:rsid w:val="7055161B"/>
    <w:rsid w:val="705A255B"/>
    <w:rsid w:val="70727B2B"/>
    <w:rsid w:val="708B4E64"/>
    <w:rsid w:val="70C002FD"/>
    <w:rsid w:val="70C2609A"/>
    <w:rsid w:val="70F80B50"/>
    <w:rsid w:val="712E0D4C"/>
    <w:rsid w:val="71385790"/>
    <w:rsid w:val="718E3BCD"/>
    <w:rsid w:val="71A35643"/>
    <w:rsid w:val="71A745E2"/>
    <w:rsid w:val="71E43D70"/>
    <w:rsid w:val="72040575"/>
    <w:rsid w:val="7239146B"/>
    <w:rsid w:val="7259379D"/>
    <w:rsid w:val="72BF2388"/>
    <w:rsid w:val="72CE1D01"/>
    <w:rsid w:val="72DB5004"/>
    <w:rsid w:val="72FB3824"/>
    <w:rsid w:val="730B7D84"/>
    <w:rsid w:val="739D663C"/>
    <w:rsid w:val="73AD63BB"/>
    <w:rsid w:val="73D06E5A"/>
    <w:rsid w:val="73E13CC0"/>
    <w:rsid w:val="741176FB"/>
    <w:rsid w:val="743622DB"/>
    <w:rsid w:val="744D381C"/>
    <w:rsid w:val="74516641"/>
    <w:rsid w:val="7462672F"/>
    <w:rsid w:val="746B4A5B"/>
    <w:rsid w:val="746F5633"/>
    <w:rsid w:val="74773D0F"/>
    <w:rsid w:val="7492620F"/>
    <w:rsid w:val="74BE2985"/>
    <w:rsid w:val="74C2578D"/>
    <w:rsid w:val="74C5745D"/>
    <w:rsid w:val="74C676D0"/>
    <w:rsid w:val="74C76573"/>
    <w:rsid w:val="74EB6B00"/>
    <w:rsid w:val="75025D61"/>
    <w:rsid w:val="755755D0"/>
    <w:rsid w:val="75624261"/>
    <w:rsid w:val="75686C2D"/>
    <w:rsid w:val="75714B0E"/>
    <w:rsid w:val="757F6830"/>
    <w:rsid w:val="758652DD"/>
    <w:rsid w:val="758F25AC"/>
    <w:rsid w:val="75B13F80"/>
    <w:rsid w:val="75B32DD6"/>
    <w:rsid w:val="75BA6D4A"/>
    <w:rsid w:val="75FD490F"/>
    <w:rsid w:val="76170B18"/>
    <w:rsid w:val="76307447"/>
    <w:rsid w:val="76480FE0"/>
    <w:rsid w:val="76B91F82"/>
    <w:rsid w:val="76C658E0"/>
    <w:rsid w:val="76F43CBC"/>
    <w:rsid w:val="76FF3DA0"/>
    <w:rsid w:val="771A0967"/>
    <w:rsid w:val="77225123"/>
    <w:rsid w:val="774403A8"/>
    <w:rsid w:val="77AA16FD"/>
    <w:rsid w:val="77B360D2"/>
    <w:rsid w:val="77DF5CDE"/>
    <w:rsid w:val="78210824"/>
    <w:rsid w:val="78301F0A"/>
    <w:rsid w:val="78356356"/>
    <w:rsid w:val="78536129"/>
    <w:rsid w:val="786C3E8F"/>
    <w:rsid w:val="789636CB"/>
    <w:rsid w:val="78A73DAC"/>
    <w:rsid w:val="78B70EF5"/>
    <w:rsid w:val="79210ABF"/>
    <w:rsid w:val="794A36C1"/>
    <w:rsid w:val="796945B4"/>
    <w:rsid w:val="7980174F"/>
    <w:rsid w:val="79832099"/>
    <w:rsid w:val="798B7658"/>
    <w:rsid w:val="79BB5AA2"/>
    <w:rsid w:val="79E144F1"/>
    <w:rsid w:val="7A00230B"/>
    <w:rsid w:val="7A2F1E73"/>
    <w:rsid w:val="7A394A4E"/>
    <w:rsid w:val="7A5A7CA5"/>
    <w:rsid w:val="7A865642"/>
    <w:rsid w:val="7AB34A3F"/>
    <w:rsid w:val="7AB77116"/>
    <w:rsid w:val="7AD54484"/>
    <w:rsid w:val="7AE97C93"/>
    <w:rsid w:val="7B12783A"/>
    <w:rsid w:val="7B40430A"/>
    <w:rsid w:val="7B460388"/>
    <w:rsid w:val="7BAB602F"/>
    <w:rsid w:val="7BC23549"/>
    <w:rsid w:val="7BC80911"/>
    <w:rsid w:val="7BDE59E3"/>
    <w:rsid w:val="7BE737A2"/>
    <w:rsid w:val="7BEE3848"/>
    <w:rsid w:val="7BF80793"/>
    <w:rsid w:val="7C0168BE"/>
    <w:rsid w:val="7C0D2E84"/>
    <w:rsid w:val="7C493C69"/>
    <w:rsid w:val="7C6E3D28"/>
    <w:rsid w:val="7C7C2937"/>
    <w:rsid w:val="7CD9747C"/>
    <w:rsid w:val="7CDF0B5B"/>
    <w:rsid w:val="7CEB3BA8"/>
    <w:rsid w:val="7D1D487F"/>
    <w:rsid w:val="7D3536A0"/>
    <w:rsid w:val="7D663245"/>
    <w:rsid w:val="7DAF7FCC"/>
    <w:rsid w:val="7DC06595"/>
    <w:rsid w:val="7DC1145A"/>
    <w:rsid w:val="7DC17647"/>
    <w:rsid w:val="7DC97EDB"/>
    <w:rsid w:val="7DF31C48"/>
    <w:rsid w:val="7E336371"/>
    <w:rsid w:val="7E33779F"/>
    <w:rsid w:val="7E5678B4"/>
    <w:rsid w:val="7E6A6B7F"/>
    <w:rsid w:val="7E9F148F"/>
    <w:rsid w:val="7EB9488D"/>
    <w:rsid w:val="7ECD1104"/>
    <w:rsid w:val="7F0C07F2"/>
    <w:rsid w:val="7F1E5966"/>
    <w:rsid w:val="7F2A0864"/>
    <w:rsid w:val="7F2F1706"/>
    <w:rsid w:val="7F4946E1"/>
    <w:rsid w:val="7F757B5B"/>
    <w:rsid w:val="7F8C13A5"/>
    <w:rsid w:val="7F97330E"/>
    <w:rsid w:val="7FAB516F"/>
    <w:rsid w:val="7FC30878"/>
    <w:rsid w:val="7FC413C4"/>
    <w:rsid w:val="7FC80E4E"/>
    <w:rsid w:val="7FEC34F9"/>
    <w:rsid w:val="7FF40442"/>
  </w:rsids>
  <w:docVars>
    <w:docVar w:name="commondata" w:val="eyJoZGlkIjoiNDk5ODZkNDc2NmM1YzZmODBlNGQ1ZGFkMmVlODQ5M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semiHidden="0" w:uiPriority="0" w:unhideWhenUsed="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qFormat="1"/>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autoRedefine/>
    <w:qFormat/>
    <w:pPr>
      <w:widowControl w:val="0"/>
      <w:snapToGrid w:val="0"/>
      <w:spacing w:line="360" w:lineRule="auto"/>
      <w:ind w:firstLine="420" w:firstLineChars="200"/>
      <w:jc w:val="both"/>
    </w:pPr>
    <w:rPr>
      <w:rFonts w:ascii="仿宋_GB2312" w:eastAsia="宋体" w:hAnsi="仿宋_GB2312" w:cs="宋体"/>
      <w:kern w:val="2"/>
      <w:sz w:val="24"/>
      <w:szCs w:val="21"/>
      <w:lang w:val="en-US" w:eastAsia="zh-CN" w:bidi="ar-SA"/>
    </w:rPr>
  </w:style>
  <w:style w:type="paragraph" w:styleId="Heading1">
    <w:name w:val="heading 1"/>
    <w:basedOn w:val="Normal"/>
    <w:next w:val="Normal"/>
    <w:link w:val="1Char"/>
    <w:autoRedefine/>
    <w:qFormat/>
    <w:pPr>
      <w:keepNext/>
      <w:spacing w:line="360" w:lineRule="auto"/>
      <w:jc w:val="center"/>
      <w:outlineLvl w:val="0"/>
    </w:pPr>
    <w:rPr>
      <w:rFonts w:ascii="Times New Roman" w:eastAsia="宋体" w:hAnsi="Times New Roman"/>
      <w:b/>
      <w:kern w:val="2"/>
      <w:sz w:val="32"/>
      <w:szCs w:val="24"/>
      <w:lang w:val="en-US" w:eastAsia="zh-CN" w:bidi="ar-SA"/>
    </w:rPr>
  </w:style>
  <w:style w:type="paragraph" w:styleId="Heading2">
    <w:name w:val="heading 2"/>
    <w:basedOn w:val="Normal"/>
    <w:next w:val="Normal"/>
    <w:autoRedefine/>
    <w:qFormat/>
    <w:pPr>
      <w:keepNext/>
      <w:keepLines/>
      <w:tabs>
        <w:tab w:val="left" w:pos="360"/>
        <w:tab w:val="left" w:pos="4140"/>
      </w:tabs>
      <w:spacing w:line="360" w:lineRule="auto"/>
      <w:ind w:right="0" w:firstLine="560" w:firstLineChars="200"/>
      <w:outlineLvl w:val="1"/>
    </w:pPr>
    <w:rPr>
      <w:rFonts w:ascii="Times New Roman" w:eastAsia="宋体" w:hAnsi="Times New Roman"/>
      <w:b/>
      <w:sz w:val="28"/>
      <w:szCs w:val="20"/>
    </w:rPr>
  </w:style>
  <w:style w:type="paragraph" w:styleId="Heading3">
    <w:name w:val="heading 3"/>
    <w:basedOn w:val="Normal"/>
    <w:next w:val="Normal"/>
    <w:autoRedefine/>
    <w:qFormat/>
    <w:pPr>
      <w:keepNext/>
      <w:keepLines/>
      <w:spacing w:line="360" w:lineRule="auto"/>
      <w:ind w:firstLine="936" w:firstLineChars="200"/>
      <w:outlineLvl w:val="2"/>
    </w:pPr>
    <w:rPr>
      <w:rFonts w:ascii="Times New Roman" w:eastAsia="宋体" w:hAnsi="Times New Roman"/>
      <w:b/>
      <w:bCs/>
      <w:sz w:val="24"/>
      <w:szCs w:val="32"/>
    </w:rPr>
  </w:style>
  <w:style w:type="paragraph" w:styleId="Heading4">
    <w:name w:val="heading 4"/>
    <w:basedOn w:val="Normal"/>
    <w:next w:val="Normal"/>
    <w:autoRedefine/>
    <w:qFormat/>
    <w:pPr>
      <w:numPr>
        <w:ilvl w:val="3"/>
        <w:numId w:val="1"/>
      </w:numPr>
      <w:ind w:left="0" w:firstLineChars="0"/>
      <w:outlineLvl w:val="3"/>
    </w:pPr>
    <w:rPr>
      <w:b/>
      <w:kern w:val="0"/>
      <w:sz w:val="24"/>
      <w:szCs w:val="24"/>
    </w:rPr>
  </w:style>
  <w:style w:type="paragraph" w:styleId="Heading7">
    <w:name w:val="heading 7"/>
    <w:basedOn w:val="Normal"/>
    <w:next w:val="NormalIndent"/>
    <w:qFormat/>
    <w:pPr>
      <w:keepNext/>
      <w:keepLines/>
      <w:spacing w:before="240" w:beforeLines="0" w:after="64" w:afterLines="0" w:line="317" w:lineRule="auto"/>
      <w:outlineLvl w:val="6"/>
    </w:pPr>
    <w:rPr>
      <w:rFonts w:ascii="Times New Roman" w:hint="default"/>
      <w:b/>
      <w:kern w:val="2"/>
      <w:sz w:val="24"/>
    </w:rPr>
  </w:style>
  <w:style w:type="character" w:default="1" w:styleId="DefaultParagraphFont">
    <w:name w:val="Default Paragraph Font"/>
    <w:autoRedefine/>
    <w:qFormat/>
    <w:rPr>
      <w:sz w:val="24"/>
    </w:rPr>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Default">
    <w:name w:val="Default"/>
    <w:next w:val="1"/>
    <w:qFormat/>
    <w:pPr>
      <w:widowControl w:val="0"/>
      <w:autoSpaceDE w:val="0"/>
      <w:autoSpaceDN w:val="0"/>
      <w:adjustRightInd w:val="0"/>
    </w:pPr>
    <w:rPr>
      <w:rFonts w:ascii="宋体" w:eastAsia="宋体" w:hAnsi="Times New Roman" w:cs="Times New Roman"/>
      <w:color w:val="000000"/>
      <w:sz w:val="24"/>
      <w:szCs w:val="24"/>
      <w:lang w:val="en-US" w:eastAsia="zh-CN" w:bidi="ar-SA"/>
    </w:rPr>
  </w:style>
  <w:style w:type="paragraph" w:customStyle="1" w:styleId="1">
    <w:name w:val="样式1"/>
    <w:basedOn w:val="IndexHeading"/>
    <w:next w:val="Normal"/>
    <w:autoRedefine/>
    <w:qFormat/>
    <w:pPr>
      <w:snapToGrid w:val="0"/>
      <w:jc w:val="center"/>
    </w:pPr>
    <w:rPr>
      <w:rFonts w:ascii="宋体"/>
      <w:szCs w:val="20"/>
    </w:rPr>
  </w:style>
  <w:style w:type="paragraph" w:styleId="IndexHeading">
    <w:name w:val="index heading"/>
    <w:basedOn w:val="Normal"/>
    <w:next w:val="Index1"/>
    <w:autoRedefine/>
    <w:qFormat/>
    <w:rPr>
      <w:rFonts w:ascii="Arial" w:hAnsi="Arial" w:cs="Arial"/>
      <w:b/>
      <w:bCs/>
    </w:rPr>
  </w:style>
  <w:style w:type="paragraph" w:styleId="Index1">
    <w:name w:val="index 1"/>
    <w:basedOn w:val="Normal"/>
    <w:next w:val="Normal"/>
    <w:autoRedefine/>
    <w:qFormat/>
    <w:pPr>
      <w:tabs>
        <w:tab w:val="left" w:pos="5580"/>
      </w:tabs>
      <w:spacing w:line="280" w:lineRule="exact"/>
    </w:pPr>
    <w:rPr>
      <w:rFonts w:ascii="宋体" w:hAnsi="宋体"/>
      <w:spacing w:val="10"/>
    </w:rPr>
  </w:style>
  <w:style w:type="paragraph" w:styleId="NormalIndent">
    <w:name w:val="Normal Indent"/>
    <w:basedOn w:val="Normal"/>
    <w:next w:val="Normal"/>
    <w:autoRedefine/>
    <w:qFormat/>
    <w:pPr>
      <w:ind w:firstLine="420" w:firstLineChars="200"/>
    </w:pPr>
  </w:style>
  <w:style w:type="paragraph" w:styleId="Caption">
    <w:name w:val="caption"/>
    <w:basedOn w:val="Normal"/>
    <w:next w:val="Normal"/>
    <w:autoRedefine/>
    <w:qFormat/>
    <w:pPr>
      <w:spacing w:before="152" w:beforeLines="0" w:after="160" w:afterLines="0"/>
    </w:pPr>
    <w:rPr>
      <w:rFonts w:ascii="Arial" w:eastAsia="黑体" w:hAnsi="Arial" w:cs="Arial"/>
      <w:sz w:val="20"/>
      <w:szCs w:val="20"/>
    </w:rPr>
  </w:style>
  <w:style w:type="paragraph" w:styleId="DocumentMap">
    <w:name w:val="Document Map"/>
    <w:basedOn w:val="Normal"/>
    <w:autoRedefine/>
    <w:qFormat/>
    <w:pPr>
      <w:shd w:val="clear" w:color="auto" w:fill="000080"/>
    </w:pPr>
  </w:style>
  <w:style w:type="paragraph" w:styleId="CommentText">
    <w:name w:val="annotation text"/>
    <w:basedOn w:val="Normal"/>
    <w:link w:val="Char3"/>
    <w:autoRedefine/>
    <w:qFormat/>
    <w:pPr>
      <w:jc w:val="left"/>
    </w:pPr>
  </w:style>
  <w:style w:type="paragraph" w:styleId="BodyText3">
    <w:name w:val="Body Text 3"/>
    <w:basedOn w:val="Normal"/>
    <w:autoRedefine/>
    <w:qFormat/>
    <w:rPr>
      <w:rFonts w:ascii="黑体" w:eastAsia="黑体" w:hint="eastAsia"/>
      <w:b/>
      <w:color w:val="000000"/>
      <w:spacing w:val="20"/>
      <w:kern w:val="0"/>
      <w:sz w:val="20"/>
      <w:szCs w:val="20"/>
      <w:u w:val="single"/>
    </w:rPr>
  </w:style>
  <w:style w:type="paragraph" w:styleId="BodyText">
    <w:name w:val="Body Text"/>
    <w:basedOn w:val="Normal"/>
    <w:autoRedefine/>
    <w:qFormat/>
    <w:pPr>
      <w:jc w:val="left"/>
    </w:pPr>
    <w:rPr>
      <w:rFonts w:ascii="宋体" w:hAnsi="宋体"/>
      <w:sz w:val="24"/>
    </w:rPr>
  </w:style>
  <w:style w:type="paragraph" w:styleId="BodyTextIndent">
    <w:name w:val="Body Text Indent"/>
    <w:basedOn w:val="Normal"/>
    <w:link w:val="Char1"/>
    <w:qFormat/>
    <w:pPr>
      <w:spacing w:line="360" w:lineRule="auto"/>
      <w:ind w:firstLine="480"/>
    </w:pPr>
    <w:rPr>
      <w:rFonts w:ascii="宋体" w:cs="Times New Roman"/>
      <w:color w:val="FF6600"/>
      <w:kern w:val="0"/>
      <w:sz w:val="24"/>
      <w:szCs w:val="20"/>
    </w:rPr>
  </w:style>
  <w:style w:type="paragraph" w:styleId="BlockText">
    <w:name w:val="Block Text"/>
    <w:basedOn w:val="Normal"/>
    <w:autoRedefine/>
    <w:qFormat/>
    <w:pPr>
      <w:ind w:left="601" w:right="-34" w:leftChars="286"/>
    </w:pPr>
    <w:rPr>
      <w:rFonts w:ascii="宋体" w:hAnsi="宋体"/>
    </w:rPr>
  </w:style>
  <w:style w:type="paragraph" w:styleId="PlainText">
    <w:name w:val="Plain Text"/>
    <w:basedOn w:val="Normal"/>
    <w:autoRedefine/>
    <w:qFormat/>
    <w:rPr>
      <w:rFonts w:ascii="宋体" w:hAnsi="Courier New"/>
      <w:szCs w:val="20"/>
    </w:rPr>
  </w:style>
  <w:style w:type="paragraph" w:styleId="Date">
    <w:name w:val="Date"/>
    <w:basedOn w:val="Normal"/>
    <w:next w:val="Normal"/>
    <w:autoRedefine/>
    <w:qFormat/>
    <w:rPr>
      <w:b/>
      <w:sz w:val="24"/>
      <w:szCs w:val="20"/>
    </w:rPr>
  </w:style>
  <w:style w:type="paragraph" w:styleId="BodyTextIndent2">
    <w:name w:val="Body Text Indent 2"/>
    <w:basedOn w:val="Normal"/>
    <w:autoRedefine/>
    <w:qFormat/>
    <w:pPr>
      <w:spacing w:after="120" w:afterLines="0" w:line="480" w:lineRule="auto"/>
      <w:ind w:left="420" w:leftChars="200"/>
    </w:pPr>
  </w:style>
  <w:style w:type="paragraph" w:styleId="BalloonText">
    <w:name w:val="Balloon Text"/>
    <w:basedOn w:val="Normal"/>
    <w:link w:val="Char4"/>
    <w:qFormat/>
    <w:rPr>
      <w:rFonts w:ascii="Times New Roman" w:hAnsi="Times New Roman"/>
      <w:kern w:val="2"/>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List">
    <w:name w:val="List"/>
    <w:basedOn w:val="Normal"/>
    <w:autoRedefine/>
    <w:qFormat/>
    <w:pPr>
      <w:ind w:left="200" w:hanging="200" w:hangingChars="200"/>
    </w:pPr>
  </w:style>
  <w:style w:type="paragraph" w:styleId="TOC2">
    <w:name w:val="toc 2"/>
    <w:basedOn w:val="Normal"/>
    <w:next w:val="Normal"/>
    <w:qFormat/>
    <w:pPr>
      <w:ind w:left="420" w:leftChars="200"/>
    </w:pPr>
  </w:style>
  <w:style w:type="paragraph" w:styleId="BodyText2">
    <w:name w:val="Body Text 2"/>
    <w:basedOn w:val="Normal"/>
    <w:autoRedefine/>
    <w:qFormat/>
    <w:pPr>
      <w:jc w:val="left"/>
    </w:pPr>
    <w:rPr>
      <w:rFonts w:ascii="宋体" w:hAnsi="宋体"/>
      <w:color w:val="000000"/>
      <w:sz w:val="24"/>
    </w:rPr>
  </w:style>
  <w:style w:type="paragraph" w:styleId="NormalWeb">
    <w:name w:val="Normal (Web)"/>
    <w:basedOn w:val="Normal"/>
    <w:autoRedefine/>
    <w:qFormat/>
    <w:pPr>
      <w:widowControl/>
      <w:spacing w:before="100" w:beforeLines="0" w:beforeAutospacing="1" w:after="100" w:afterLines="0" w:afterAutospacing="1"/>
      <w:jc w:val="left"/>
    </w:pPr>
    <w:rPr>
      <w:rFonts w:ascii="宋体" w:hAnsi="宋体"/>
      <w:kern w:val="0"/>
      <w:sz w:val="24"/>
    </w:rPr>
  </w:style>
  <w:style w:type="paragraph" w:styleId="CommentSubject">
    <w:name w:val="annotation subject"/>
    <w:basedOn w:val="CommentText"/>
    <w:next w:val="CommentText"/>
    <w:link w:val="Char2"/>
    <w:autoRedefine/>
    <w:qFormat/>
    <w:rPr>
      <w:b/>
      <w:bCs/>
    </w:rPr>
  </w:style>
  <w:style w:type="paragraph" w:styleId="BodyTextFirstIndent2">
    <w:name w:val="Body Text First Indent 2"/>
    <w:basedOn w:val="BodyTextIndent"/>
    <w:autoRedefine/>
    <w:uiPriority w:val="99"/>
    <w:unhideWhenUsed/>
    <w:qFormat/>
    <w:pPr>
      <w:ind w:firstLine="420"/>
    </w:pPr>
    <w:rPr>
      <w:rFonts w:hAnsi="宋体"/>
      <w:color w:val="FF6600"/>
    </w:rPr>
  </w:style>
  <w:style w:type="table" w:styleId="TableGrid">
    <w:name w:val="Table Grid"/>
    <w:basedOn w:val="TableNormal"/>
    <w:autoRedefine/>
    <w:uiPriority w:val="99"/>
    <w:qFormat/>
    <w:pPr>
      <w:keepNext w:val="0"/>
      <w:keepLines w:val="0"/>
      <w:widowControl/>
      <w:suppressLineNumbers w:val="0"/>
      <w:spacing w:before="0" w:beforeAutospacing="0" w:after="0" w:afterAutospacing="0"/>
      <w:ind w:left="0" w:right="0"/>
    </w:pPr>
    <w:rPr>
      <w:rFonts w:ascii="Calibri" w:hAnsi="Calibri" w:cs="Calibri" w:hint="default"/>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character" w:styleId="CommentReference">
    <w:name w:val="annotation reference"/>
    <w:autoRedefine/>
    <w:qFormat/>
    <w:rPr>
      <w:sz w:val="21"/>
      <w:szCs w:val="21"/>
    </w:rPr>
  </w:style>
  <w:style w:type="paragraph" w:customStyle="1" w:styleId="Char">
    <w:name w:val="段落 Char"/>
    <w:basedOn w:val="Normal"/>
    <w:autoRedefine/>
    <w:qFormat/>
    <w:pPr>
      <w:topLinePunct/>
      <w:adjustRightInd w:val="0"/>
      <w:spacing w:line="360" w:lineRule="auto"/>
      <w:ind w:firstLine="558" w:firstLineChars="200"/>
      <w:textAlignment w:val="baseline"/>
    </w:pPr>
    <w:rPr>
      <w:sz w:val="28"/>
      <w:szCs w:val="20"/>
    </w:rPr>
  </w:style>
  <w:style w:type="paragraph" w:customStyle="1" w:styleId="a">
    <w:name w:val="一级条标题"/>
    <w:basedOn w:val="a0"/>
    <w:next w:val="a1"/>
    <w:qFormat/>
    <w:pPr>
      <w:numPr>
        <w:ilvl w:val="1"/>
        <w:numId w:val="2"/>
      </w:numPr>
      <w:tabs>
        <w:tab w:val="left" w:pos="720"/>
      </w:tabs>
      <w:spacing w:before="156" w:beforeLines="50" w:after="156" w:afterLines="50"/>
      <w:ind w:left="0"/>
      <w:outlineLvl w:val="2"/>
    </w:pPr>
    <w:rPr>
      <w:rFonts w:ascii="黑体" w:eastAsia="黑体" w:hAnsi="Calibri"/>
      <w:kern w:val="2"/>
      <w:sz w:val="21"/>
      <w:szCs w:val="21"/>
      <w:lang w:val="en-US" w:eastAsia="zh-CN" w:bidi="ar-SA"/>
    </w:rPr>
  </w:style>
  <w:style w:type="paragraph" w:customStyle="1" w:styleId="a0">
    <w:name w:val="章标题"/>
    <w:next w:val="a1"/>
    <w:autoRedefine/>
    <w:qFormat/>
    <w:pPr>
      <w:numPr>
        <w:ilvl w:val="0"/>
        <w:numId w:val="2"/>
      </w:numPr>
      <w:spacing w:before="312" w:beforeLines="100" w:after="312" w:afterLines="100"/>
      <w:jc w:val="both"/>
      <w:outlineLvl w:val="1"/>
    </w:pPr>
    <w:rPr>
      <w:rFonts w:ascii="黑体" w:eastAsia="黑体" w:hAnsi="Times New Roman" w:cs="Times New Roman"/>
      <w:kern w:val="2"/>
      <w:sz w:val="21"/>
      <w:szCs w:val="28"/>
      <w:lang w:val="en-US" w:eastAsia="zh-CN" w:bidi="ar-SA"/>
    </w:rPr>
  </w:style>
  <w:style w:type="paragraph" w:customStyle="1" w:styleId="a1">
    <w:name w:val="段"/>
    <w:basedOn w:val="Normal"/>
    <w:autoRedefine/>
    <w:qFormat/>
    <w:pPr>
      <w:keepNext w:val="0"/>
      <w:keepLines w:val="0"/>
      <w:widowControl/>
      <w:suppressLineNumbers w:val="0"/>
      <w:autoSpaceDE w:val="0"/>
      <w:autoSpaceDN w:val="0"/>
      <w:spacing w:before="0" w:beforeLines="0" w:beforeAutospacing="0" w:after="0" w:afterLines="0" w:afterAutospacing="0"/>
      <w:ind w:left="0" w:right="0" w:firstLine="200" w:firstLineChars="200"/>
      <w:jc w:val="both"/>
    </w:pPr>
    <w:rPr>
      <w:rFonts w:ascii="宋体" w:eastAsia="宋体" w:hAnsi="Times New Roman" w:cs="Times New Roman" w:hint="eastAsia"/>
      <w:kern w:val="0"/>
      <w:sz w:val="21"/>
      <w:szCs w:val="22"/>
      <w:lang w:val="en-US" w:eastAsia="zh-CN" w:bidi="ar"/>
    </w:rPr>
  </w:style>
  <w:style w:type="paragraph" w:customStyle="1" w:styleId="a2">
    <w:name w:val="三级条标题"/>
    <w:basedOn w:val="a3"/>
    <w:next w:val="a1"/>
    <w:autoRedefine/>
    <w:qFormat/>
    <w:pPr>
      <w:numPr>
        <w:ilvl w:val="3"/>
        <w:numId w:val="2"/>
      </w:numPr>
      <w:tabs>
        <w:tab w:val="left" w:pos="720"/>
        <w:tab w:val="left" w:pos="840"/>
        <w:tab w:val="left" w:pos="1260"/>
      </w:tabs>
      <w:outlineLvl w:val="4"/>
    </w:pPr>
  </w:style>
  <w:style w:type="paragraph" w:customStyle="1" w:styleId="a3">
    <w:name w:val="二级条标题"/>
    <w:basedOn w:val="a"/>
    <w:next w:val="a1"/>
    <w:autoRedefine/>
    <w:qFormat/>
    <w:pPr>
      <w:numPr>
        <w:ilvl w:val="2"/>
        <w:numId w:val="2"/>
      </w:numPr>
      <w:spacing w:before="50" w:beforeLines="0" w:after="50" w:afterLines="0"/>
      <w:outlineLvl w:val="3"/>
    </w:pPr>
  </w:style>
  <w:style w:type="paragraph" w:customStyle="1" w:styleId="CM44">
    <w:name w:val="CM44"/>
    <w:basedOn w:val="Default"/>
    <w:next w:val="Default"/>
    <w:autoRedefine/>
    <w:qFormat/>
    <w:pPr>
      <w:spacing w:line="546" w:lineRule="atLeast"/>
    </w:pPr>
    <w:rPr>
      <w:rFonts w:hint="default"/>
      <w:sz w:val="24"/>
    </w:rPr>
  </w:style>
  <w:style w:type="paragraph" w:customStyle="1" w:styleId="3">
    <w:name w:val="标题 3+"/>
    <w:basedOn w:val="Heading3"/>
    <w:autoRedefine/>
    <w:qFormat/>
    <w:pPr>
      <w:keepNext w:val="0"/>
      <w:keepLines w:val="0"/>
      <w:snapToGrid w:val="0"/>
      <w:spacing w:before="100" w:beforeLines="0" w:beforeAutospacing="1" w:after="100" w:afterLines="0" w:afterAutospacing="1" w:line="560" w:lineRule="exact"/>
      <w:ind w:firstLine="461" w:firstLineChars="192"/>
    </w:pPr>
    <w:rPr>
      <w:rFonts w:ascii="楷体_GB2312" w:eastAsia="楷体_GB2312" w:hAnsi="Arial"/>
      <w:bCs w:val="0"/>
      <w:kern w:val="0"/>
      <w:sz w:val="24"/>
      <w:szCs w:val="20"/>
    </w:rPr>
  </w:style>
  <w:style w:type="paragraph" w:customStyle="1" w:styleId="a4">
    <w:name w:val="图文框"/>
    <w:basedOn w:val="Normal"/>
    <w:autoRedefine/>
    <w:qFormat/>
    <w:pPr>
      <w:spacing w:line="240" w:lineRule="atLeast"/>
      <w:jc w:val="center"/>
    </w:pPr>
    <w:rPr>
      <w:rFonts w:ascii="Times New Roman" w:eastAsia="宋体" w:hAnsi="Times New Roman" w:cs="Times New Roman"/>
      <w:szCs w:val="20"/>
    </w:rPr>
  </w:style>
  <w:style w:type="paragraph" w:customStyle="1" w:styleId="a5">
    <w:name w:val="海南化工城正文"/>
    <w:basedOn w:val="Normal"/>
    <w:qFormat/>
    <w:pPr>
      <w:spacing w:line="324" w:lineRule="auto"/>
      <w:ind w:firstLine="480" w:firstLineChars="200"/>
    </w:pPr>
    <w:rPr>
      <w:rFonts w:ascii="宋体" w:hAnsi="宋体" w:cs="宋体"/>
      <w:sz w:val="24"/>
    </w:rPr>
  </w:style>
  <w:style w:type="paragraph" w:customStyle="1" w:styleId="a6">
    <w:name w:val="四级条标题"/>
    <w:basedOn w:val="a2"/>
    <w:next w:val="a1"/>
    <w:autoRedefine/>
    <w:qFormat/>
    <w:pPr>
      <w:keepNext w:val="0"/>
      <w:keepLines w:val="0"/>
      <w:widowControl/>
      <w:numPr>
        <w:ilvl w:val="4"/>
        <w:numId w:val="3"/>
      </w:numPr>
      <w:suppressLineNumbers w:val="0"/>
      <w:spacing w:before="156" w:beforeLines="50" w:beforeAutospacing="0" w:after="156" w:afterLines="50" w:afterAutospacing="0"/>
      <w:ind w:left="2100" w:right="0" w:hanging="420"/>
      <w:jc w:val="both"/>
      <w:outlineLvl w:val="5"/>
    </w:pPr>
    <w:rPr>
      <w:rFonts w:ascii="黑体" w:eastAsia="黑体" w:hAnsi="Calibri" w:cs="Times New Roman" w:hint="eastAsia"/>
      <w:kern w:val="2"/>
      <w:sz w:val="21"/>
      <w:szCs w:val="21"/>
      <w:lang w:val="en-US" w:eastAsia="zh-CN" w:bidi="ar"/>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1-">
    <w:name w:val="1-正文"/>
    <w:basedOn w:val="Normal"/>
    <w:autoRedefine/>
    <w:qFormat/>
    <w:pPr>
      <w:spacing w:line="360" w:lineRule="auto"/>
      <w:ind w:firstLine="480" w:firstLineChars="200"/>
      <w:jc w:val="left"/>
    </w:pPr>
    <w:rPr>
      <w:rFonts w:ascii="宋体" w:hAnsi="宋体" w:cs="宋体"/>
      <w:sz w:val="24"/>
    </w:rPr>
  </w:style>
  <w:style w:type="paragraph" w:customStyle="1" w:styleId="p0">
    <w:name w:val="p0"/>
    <w:basedOn w:val="Normal"/>
    <w:autoRedefine/>
    <w:qFormat/>
    <w:pPr>
      <w:widowControl/>
      <w:spacing w:before="100" w:beforeLines="0" w:beforeAutospacing="1" w:after="100" w:afterLines="0" w:afterAutospacing="1"/>
      <w:jc w:val="left"/>
    </w:pPr>
    <w:rPr>
      <w:rFonts w:ascii="宋体" w:hAnsi="宋体" w:cs="宋体"/>
      <w:kern w:val="0"/>
      <w:sz w:val="24"/>
    </w:rPr>
  </w:style>
  <w:style w:type="paragraph" w:customStyle="1" w:styleId="a7">
    <w:name w:val="表内文字"/>
    <w:basedOn w:val="Normal"/>
    <w:autoRedefine/>
    <w:qFormat/>
    <w:pPr>
      <w:jc w:val="center"/>
    </w:pPr>
    <w:rPr>
      <w:rFonts w:eastAsia="Times New Roman"/>
      <w:kern w:val="44"/>
      <w:szCs w:val="20"/>
    </w:rPr>
  </w:style>
  <w:style w:type="paragraph" w:customStyle="1" w:styleId="Char1CharCharCharCharCharChar">
    <w:name w:val=" Char1 Char Char Char Char Char Char"/>
    <w:basedOn w:val="Normal"/>
    <w:autoRedefine/>
    <w:qFormat/>
    <w:pPr>
      <w:spacing w:line="360" w:lineRule="auto"/>
      <w:ind w:firstLine="200" w:firstLineChars="200"/>
    </w:pPr>
    <w:rPr>
      <w:sz w:val="24"/>
    </w:rPr>
  </w:style>
  <w:style w:type="paragraph" w:customStyle="1" w:styleId="a8">
    <w:name w:val="表格标题"/>
    <w:basedOn w:val="Normal"/>
    <w:next w:val="a9"/>
    <w:autoRedefine/>
    <w:qFormat/>
    <w:pPr>
      <w:keepNext/>
      <w:widowControl/>
      <w:overflowPunct w:val="0"/>
      <w:adjustRightInd w:val="0"/>
      <w:snapToGrid w:val="0"/>
      <w:spacing w:before="80" w:beforeLines="0" w:after="40" w:afterLines="0" w:line="360" w:lineRule="auto"/>
      <w:ind w:firstLine="1096"/>
      <w:jc w:val="center"/>
      <w:textAlignment w:val="baseline"/>
    </w:pPr>
    <w:rPr>
      <w:b/>
      <w:bCs/>
      <w:kern w:val="0"/>
    </w:rPr>
  </w:style>
  <w:style w:type="paragraph" w:customStyle="1" w:styleId="a9">
    <w:name w:val="表格内容"/>
    <w:basedOn w:val="Normal"/>
    <w:autoRedefine/>
    <w:qFormat/>
    <w:pPr>
      <w:overflowPunct w:val="0"/>
      <w:adjustRightInd w:val="0"/>
      <w:spacing w:before="40" w:beforeLines="0" w:after="60" w:afterLines="0" w:line="200" w:lineRule="atLeast"/>
      <w:textAlignment w:val="baseline"/>
    </w:pPr>
    <w:rPr>
      <w:rFonts w:ascii="Arial" w:eastAsia="仿宋_GB2312" w:hAnsi="Arial"/>
      <w:kern w:val="0"/>
      <w:sz w:val="24"/>
      <w:szCs w:val="20"/>
    </w:rPr>
  </w:style>
  <w:style w:type="paragraph" w:customStyle="1" w:styleId="ltext">
    <w:name w:val="l_text"/>
    <w:basedOn w:val="Normal"/>
    <w:autoRedefine/>
    <w:qFormat/>
    <w:pPr>
      <w:widowControl/>
      <w:overflowPunct w:val="0"/>
      <w:autoSpaceDE w:val="0"/>
      <w:autoSpaceDN w:val="0"/>
      <w:adjustRightInd w:val="0"/>
      <w:spacing w:line="360" w:lineRule="auto"/>
      <w:ind w:firstLine="561"/>
      <w:textAlignment w:val="baseline"/>
    </w:pPr>
    <w:rPr>
      <w:kern w:val="28"/>
      <w:sz w:val="28"/>
      <w:szCs w:val="20"/>
    </w:rPr>
  </w:style>
  <w:style w:type="paragraph" w:customStyle="1" w:styleId="a10">
    <w:name w:val="主体文字"/>
    <w:basedOn w:val="PlainText"/>
    <w:autoRedefine/>
    <w:qFormat/>
    <w:pPr>
      <w:spacing w:line="360" w:lineRule="auto"/>
      <w:ind w:firstLine="540" w:firstLineChars="225"/>
    </w:pPr>
    <w:rPr>
      <w:sz w:val="24"/>
      <w:szCs w:val="21"/>
    </w:rPr>
  </w:style>
  <w:style w:type="paragraph" w:customStyle="1" w:styleId="a11">
    <w:name w:val="单元格"/>
    <w:basedOn w:val="Normal"/>
    <w:autoRedefine/>
    <w:qFormat/>
    <w:pPr>
      <w:jc w:val="center"/>
    </w:pPr>
    <w:rPr>
      <w:rFonts w:ascii="楷体_GB2312" w:eastAsia="楷体_GB2312"/>
      <w:szCs w:val="20"/>
    </w:rPr>
  </w:style>
  <w:style w:type="paragraph" w:customStyle="1" w:styleId="WPSOffice2">
    <w:name w:val="WPSOffice手动目录 2"/>
    <w:autoRedefine/>
    <w:qFormat/>
    <w:pPr>
      <w:ind w:leftChars="200"/>
    </w:pPr>
    <w:rPr>
      <w:rFonts w:ascii="Times New Roman" w:eastAsia="宋体" w:hAnsi="Times New Roman" w:cs="Times New Roman"/>
      <w:lang w:val="en-US" w:eastAsia="zh-CN" w:bidi="ar-SA"/>
    </w:rPr>
  </w:style>
  <w:style w:type="paragraph" w:customStyle="1" w:styleId="a12">
    <w:name w:val="表格"/>
    <w:basedOn w:val="Normal"/>
    <w:autoRedefine/>
    <w:qFormat/>
    <w:pPr>
      <w:jc w:val="center"/>
    </w:pPr>
    <w:rPr>
      <w:sz w:val="24"/>
    </w:rPr>
  </w:style>
  <w:style w:type="paragraph" w:customStyle="1" w:styleId="Char0">
    <w:name w:val="Char"/>
    <w:basedOn w:val="Normal"/>
    <w:autoRedefine/>
    <w:qFormat/>
    <w:pPr>
      <w:widowControl/>
      <w:spacing w:after="160" w:afterLines="0" w:line="240" w:lineRule="exact"/>
      <w:jc w:val="left"/>
    </w:pPr>
    <w:rPr>
      <w:rFonts w:eastAsia="Times New Roman"/>
      <w:kern w:val="0"/>
      <w:sz w:val="20"/>
    </w:rPr>
  </w:style>
  <w:style w:type="paragraph" w:customStyle="1" w:styleId="a13">
    <w:name w:val="报告正文"/>
    <w:basedOn w:val="Normal"/>
    <w:autoRedefine/>
    <w:qFormat/>
    <w:pPr>
      <w:snapToGrid w:val="0"/>
      <w:spacing w:line="560" w:lineRule="exact"/>
      <w:ind w:firstLine="456" w:firstLineChars="200"/>
    </w:pPr>
    <w:rPr>
      <w:kern w:val="0"/>
      <w:sz w:val="24"/>
    </w:rPr>
  </w:style>
  <w:style w:type="paragraph" w:customStyle="1" w:styleId="aaCharChar">
    <w:name w:val="aa正文 Char Char"/>
    <w:basedOn w:val="Normal"/>
    <w:autoRedefine/>
    <w:qFormat/>
    <w:pPr>
      <w:spacing w:line="500" w:lineRule="exact"/>
      <w:ind w:firstLine="561"/>
    </w:pPr>
    <w:rPr>
      <w:rFonts w:hAnsi="宋体"/>
      <w:kern w:val="2"/>
      <w:szCs w:val="24"/>
    </w:rPr>
  </w:style>
  <w:style w:type="paragraph" w:customStyle="1" w:styleId="a14">
    <w:name w:val="表格编号"/>
    <w:basedOn w:val="Normal"/>
    <w:next w:val="Normal"/>
    <w:autoRedefine/>
    <w:qFormat/>
    <w:pPr>
      <w:tabs>
        <w:tab w:val="left" w:pos="1125"/>
      </w:tabs>
      <w:spacing w:line="240" w:lineRule="auto"/>
      <w:ind w:left="0" w:firstLine="0" w:firstLineChars="0"/>
      <w:jc w:val="center"/>
    </w:pPr>
    <w:rPr>
      <w:b/>
      <w:szCs w:val="24"/>
    </w:rPr>
  </w:style>
  <w:style w:type="paragraph" w:customStyle="1" w:styleId="Style11">
    <w:name w:val="_Style 11"/>
    <w:basedOn w:val="DocumentMap"/>
    <w:autoRedefine/>
    <w:qFormat/>
    <w:pPr>
      <w:adjustRightInd w:val="0"/>
      <w:snapToGrid w:val="0"/>
      <w:spacing w:line="360" w:lineRule="auto"/>
    </w:pPr>
  </w:style>
  <w:style w:type="paragraph" w:customStyle="1" w:styleId="a15">
    <w:name w:val="表标题"/>
    <w:basedOn w:val="Normal"/>
    <w:autoRedefine/>
    <w:qFormat/>
    <w:pPr>
      <w:tabs>
        <w:tab w:val="left" w:pos="0"/>
      </w:tabs>
      <w:spacing w:before="240" w:beforeLines="0" w:after="120" w:afterLines="0"/>
      <w:jc w:val="center"/>
    </w:pPr>
    <w:rPr>
      <w:b/>
      <w:sz w:val="24"/>
      <w:szCs w:val="20"/>
    </w:rPr>
  </w:style>
  <w:style w:type="paragraph" w:customStyle="1" w:styleId="zw">
    <w:name w:val="zw"/>
    <w:basedOn w:val="Normal"/>
    <w:autoRedefine/>
    <w:qFormat/>
    <w:pPr>
      <w:spacing w:line="540" w:lineRule="exact"/>
      <w:ind w:firstLine="200" w:firstLineChars="200"/>
    </w:pPr>
    <w:rPr>
      <w:rFonts w:eastAsia="仿宋_GB2312" w:cs="宋体"/>
      <w:sz w:val="24"/>
      <w:szCs w:val="20"/>
    </w:rPr>
  </w:style>
  <w:style w:type="paragraph" w:customStyle="1" w:styleId="a16">
    <w:name w:val="表文"/>
    <w:basedOn w:val="Normal"/>
    <w:autoRedefine/>
    <w:qFormat/>
    <w:pPr>
      <w:spacing w:line="320" w:lineRule="atLeast"/>
    </w:pPr>
    <w:rPr>
      <w:sz w:val="24"/>
    </w:rPr>
  </w:style>
  <w:style w:type="paragraph" w:customStyle="1" w:styleId="a17">
    <w:name w:val="报告书正文"/>
    <w:basedOn w:val="Normal"/>
    <w:autoRedefine/>
    <w:qFormat/>
    <w:pPr>
      <w:spacing w:line="360" w:lineRule="auto"/>
      <w:ind w:firstLine="560" w:firstLineChars="200"/>
    </w:pPr>
    <w:rPr>
      <w:rFonts w:ascii="宋体" w:hAnsi="宋体"/>
      <w:sz w:val="28"/>
    </w:rPr>
  </w:style>
  <w:style w:type="paragraph" w:customStyle="1" w:styleId="TableParagraph">
    <w:name w:val="Table Paragraph"/>
    <w:basedOn w:val="Normal"/>
    <w:autoRedefine/>
    <w:uiPriority w:val="1"/>
    <w:qFormat/>
    <w:pPr>
      <w:autoSpaceDE w:val="0"/>
      <w:autoSpaceDN w:val="0"/>
      <w:adjustRightInd w:val="0"/>
      <w:jc w:val="left"/>
    </w:pPr>
    <w:rPr>
      <w:rFonts w:eastAsia="宋体"/>
      <w:kern w:val="0"/>
      <w:sz w:val="24"/>
    </w:rPr>
  </w:style>
  <w:style w:type="paragraph" w:customStyle="1" w:styleId="Normal0">
    <w:name w:val="Normal_0"/>
    <w:qFormat/>
    <w:pPr>
      <w:jc w:val="both"/>
    </w:pPr>
    <w:rPr>
      <w:rFonts w:ascii="仿宋_GB2312" w:eastAsia="宋体" w:hAnsi="宋体" w:cs="宋体"/>
      <w:kern w:val="2"/>
      <w:sz w:val="21"/>
      <w:szCs w:val="21"/>
      <w:lang w:val="en-US" w:eastAsia="zh-CN" w:bidi="ar-SA"/>
    </w:rPr>
  </w:style>
  <w:style w:type="paragraph" w:customStyle="1" w:styleId="121">
    <w:name w:val="1.2.1"/>
    <w:basedOn w:val="zw"/>
    <w:autoRedefine/>
    <w:qFormat/>
    <w:pPr>
      <w:ind w:firstLine="200"/>
      <w:outlineLvl w:val="2"/>
    </w:pPr>
    <w:rPr>
      <w:b/>
      <w:bCs/>
    </w:rPr>
  </w:style>
  <w:style w:type="paragraph" w:customStyle="1" w:styleId="a18">
    <w:name w:val="左对齐表格文字"/>
    <w:next w:val="Normal"/>
    <w:autoRedefine/>
    <w:qFormat/>
    <w:pPr>
      <w:widowControl w:val="0"/>
      <w:adjustRightInd w:val="0"/>
      <w:jc w:val="both"/>
    </w:pPr>
    <w:rPr>
      <w:rFonts w:ascii="Times New Roman" w:eastAsia="宋体" w:hAnsi="Times New Roman" w:cs="宋体"/>
      <w:sz w:val="21"/>
      <w:szCs w:val="21"/>
      <w:lang w:val="zh-CN" w:eastAsia="zh-CN" w:bidi="ar-SA"/>
    </w:rPr>
  </w:style>
  <w:style w:type="paragraph" w:customStyle="1" w:styleId="NormalIndent1">
    <w:name w:val="Normal Indent1"/>
    <w:autoRedefine/>
    <w:qFormat/>
    <w:pPr>
      <w:widowControl w:val="0"/>
      <w:ind w:firstLine="200" w:firstLineChars="200"/>
      <w:jc w:val="both"/>
    </w:pPr>
    <w:rPr>
      <w:rFonts w:ascii="Times New Roman" w:eastAsia="宋体" w:hAnsi="Times New Roman" w:cs="Times New Roman"/>
      <w:kern w:val="2"/>
      <w:sz w:val="28"/>
      <w:szCs w:val="24"/>
      <w:lang w:val="en-US" w:eastAsia="zh-CN" w:bidi="ar-SA"/>
    </w:rPr>
  </w:style>
  <w:style w:type="paragraph" w:customStyle="1" w:styleId="CharCharCharCharCharCharChar">
    <w:name w:val=" Char Char Char Char Char Char Char"/>
    <w:basedOn w:val="Normal"/>
    <w:autoRedefine/>
    <w:qFormat/>
    <w:pPr>
      <w:snapToGrid w:val="0"/>
      <w:spacing w:line="360" w:lineRule="auto"/>
      <w:ind w:firstLine="529" w:firstLineChars="200"/>
    </w:pPr>
    <w:rPr>
      <w:rFonts w:ascii="宋体" w:hAnsi="宋体"/>
      <w:b/>
      <w:szCs w:val="24"/>
    </w:rPr>
  </w:style>
  <w:style w:type="paragraph" w:customStyle="1" w:styleId="NormalIndent0">
    <w:name w:val="Normal Indent_0"/>
    <w:basedOn w:val="Normal"/>
    <w:autoRedefine/>
    <w:qFormat/>
    <w:pPr>
      <w:ind w:firstLine="200" w:firstLineChars="200"/>
    </w:pPr>
    <w:rPr>
      <w:sz w:val="28"/>
      <w:szCs w:val="24"/>
    </w:rPr>
  </w:style>
  <w:style w:type="paragraph" w:customStyle="1" w:styleId="10">
    <w:name w:val="段落1"/>
    <w:basedOn w:val="Normal"/>
    <w:autoRedefine/>
    <w:qFormat/>
    <w:pPr>
      <w:spacing w:line="480" w:lineRule="exact"/>
      <w:ind w:firstLine="200" w:firstLineChars="200"/>
    </w:pPr>
    <w:rPr>
      <w:sz w:val="28"/>
    </w:rPr>
  </w:style>
  <w:style w:type="paragraph" w:customStyle="1" w:styleId="21">
    <w:name w:val="2.1"/>
    <w:basedOn w:val="Normal"/>
    <w:autoRedefine/>
    <w:qFormat/>
    <w:pPr>
      <w:spacing w:before="120" w:beforeLines="0" w:after="120" w:afterLines="0" w:line="600" w:lineRule="exact"/>
      <w:ind w:firstLine="601" w:firstLineChars="200"/>
    </w:pPr>
    <w:rPr>
      <w:rFonts w:eastAsia="仿宋_GB2312" w:cs="宋体"/>
      <w:b/>
      <w:bCs/>
      <w:sz w:val="30"/>
    </w:rPr>
  </w:style>
  <w:style w:type="paragraph" w:customStyle="1" w:styleId="CharCharCharCharCharCharChar0">
    <w:name w:val="Char Char Char Char Char Char Char"/>
    <w:basedOn w:val="Normal"/>
    <w:autoRedefine/>
    <w:qFormat/>
    <w:pPr>
      <w:snapToGrid w:val="0"/>
      <w:spacing w:line="360" w:lineRule="auto"/>
      <w:ind w:firstLine="529" w:firstLineChars="200"/>
    </w:pPr>
    <w:rPr>
      <w:rFonts w:ascii="宋体" w:hAnsi="宋体"/>
      <w:b/>
    </w:rPr>
  </w:style>
  <w:style w:type="paragraph" w:customStyle="1" w:styleId="xl25">
    <w:name w:val="xl25"/>
    <w:basedOn w:val="Normal"/>
    <w:autoRedefine/>
    <w:qFormat/>
    <w:pPr>
      <w:widowControl/>
      <w:pBdr>
        <w:bottom w:val="single" w:sz="4" w:space="0" w:color="auto"/>
        <w:right w:val="single" w:sz="4" w:space="0" w:color="auto"/>
      </w:pBdr>
      <w:spacing w:before="100" w:beforeLines="0" w:beforeAutospacing="1" w:after="100" w:afterLines="0" w:afterAutospacing="1"/>
      <w:jc w:val="center"/>
    </w:pPr>
    <w:rPr>
      <w:rFonts w:ascii="宋体" w:hAnsi="宋体"/>
      <w:kern w:val="0"/>
      <w:szCs w:val="20"/>
    </w:rPr>
  </w:style>
  <w:style w:type="paragraph" w:customStyle="1" w:styleId="a19">
    <w:name w:val="正文修改"/>
    <w:basedOn w:val="Normal"/>
    <w:autoRedefine/>
    <w:qFormat/>
    <w:pPr>
      <w:spacing w:line="360" w:lineRule="auto"/>
      <w:ind w:firstLine="480" w:firstLineChars="200"/>
    </w:pPr>
    <w:rPr>
      <w:rFonts w:eastAsia="宋体"/>
      <w:sz w:val="24"/>
    </w:rPr>
  </w:style>
  <w:style w:type="paragraph" w:customStyle="1" w:styleId="a20">
    <w:name w:val="正文啦"/>
    <w:basedOn w:val="Normal"/>
    <w:autoRedefine/>
    <w:qFormat/>
    <w:pPr>
      <w:spacing w:line="360" w:lineRule="auto"/>
      <w:ind w:firstLine="1440" w:firstLineChars="200"/>
    </w:pPr>
    <w:rPr>
      <w:sz w:val="24"/>
    </w:rPr>
  </w:style>
  <w:style w:type="paragraph" w:customStyle="1" w:styleId="a21">
    <w:name w:val="填表内容"/>
    <w:basedOn w:val="Normal"/>
    <w:autoRedefine/>
    <w:qFormat/>
    <w:pPr>
      <w:adjustRightInd w:val="0"/>
      <w:spacing w:line="480" w:lineRule="exact"/>
      <w:ind w:firstLine="560" w:firstLineChars="200"/>
      <w:jc w:val="left"/>
      <w:textAlignment w:val="baseline"/>
    </w:pPr>
    <w:rPr>
      <w:rFonts w:ascii="楷体_GB2312" w:eastAsia="楷体_GB2312"/>
      <w:sz w:val="28"/>
      <w:szCs w:val="20"/>
    </w:rPr>
  </w:style>
  <w:style w:type="paragraph" w:customStyle="1" w:styleId="a22">
    <w:name w:val="本文正文"/>
    <w:basedOn w:val="Normal"/>
    <w:autoRedefine/>
    <w:qFormat/>
    <w:pPr>
      <w:spacing w:before="156" w:beforeLines="0" w:after="156" w:afterLines="0" w:line="360" w:lineRule="auto"/>
      <w:ind w:firstLine="480" w:firstLineChars="200"/>
    </w:pPr>
    <w:rPr>
      <w:rFonts w:ascii="宋体" w:hAnsi="宋体" w:cs="宋体"/>
      <w:sz w:val="24"/>
      <w:szCs w:val="20"/>
    </w:rPr>
  </w:style>
  <w:style w:type="paragraph" w:customStyle="1" w:styleId="a23">
    <w:name w:val="表头"/>
    <w:autoRedefine/>
    <w:qFormat/>
    <w:pPr>
      <w:widowControl w:val="0"/>
      <w:adjustRightInd w:val="0"/>
      <w:jc w:val="center"/>
    </w:pPr>
    <w:rPr>
      <w:rFonts w:ascii="Times New Roman" w:eastAsia="宋体" w:hAnsi="Times New Roman" w:cs="Times New Roman"/>
      <w:b/>
      <w:sz w:val="21"/>
      <w:szCs w:val="24"/>
      <w:lang w:val="en-US" w:eastAsia="zh-CN" w:bidi="ar-SA"/>
    </w:rPr>
  </w:style>
  <w:style w:type="paragraph" w:customStyle="1" w:styleId="a24">
    <w:name w:val="表格文字"/>
    <w:next w:val="Normal"/>
    <w:autoRedefine/>
    <w:qFormat/>
    <w:pPr>
      <w:widowControl w:val="0"/>
      <w:adjustRightInd w:val="0"/>
      <w:ind w:left="-365" w:firstLine="363" w:leftChars="-152" w:firstLineChars="173"/>
      <w:jc w:val="center"/>
    </w:pPr>
    <w:rPr>
      <w:rFonts w:ascii="Times New Roman" w:eastAsia="宋体" w:hAnsi="Times New Roman" w:cs="Times New Roman"/>
      <w:sz w:val="21"/>
      <w:szCs w:val="21"/>
      <w:lang w:val="zh-CN" w:eastAsia="zh-CN" w:bidi="ar-SA"/>
    </w:rPr>
  </w:style>
  <w:style w:type="character" w:customStyle="1" w:styleId="Char1">
    <w:name w:val="正文文本缩进 Char"/>
    <w:link w:val="BodyTextIndent"/>
    <w:autoRedefine/>
    <w:qFormat/>
    <w:rPr>
      <w:rFonts w:ascii="宋体" w:hAnsi="宋体"/>
      <w:color w:val="FF6600"/>
      <w:sz w:val="24"/>
    </w:rPr>
  </w:style>
  <w:style w:type="character" w:customStyle="1" w:styleId="Char2">
    <w:name w:val="批注主题 Char"/>
    <w:link w:val="CommentSubject"/>
    <w:autoRedefine/>
    <w:qFormat/>
    <w:rPr>
      <w:rFonts w:ascii="仿宋_GB2312" w:hAnsi="仿宋_GB2312" w:cs="宋体"/>
      <w:b/>
      <w:bCs/>
      <w:kern w:val="2"/>
      <w:sz w:val="24"/>
      <w:szCs w:val="21"/>
    </w:rPr>
  </w:style>
  <w:style w:type="character" w:customStyle="1" w:styleId="Char3">
    <w:name w:val="批注文字 Char"/>
    <w:link w:val="CommentText"/>
    <w:autoRedefine/>
    <w:qFormat/>
    <w:rPr>
      <w:rFonts w:ascii="仿宋_GB2312" w:hAnsi="仿宋_GB2312" w:cs="宋体"/>
      <w:kern w:val="2"/>
      <w:sz w:val="24"/>
      <w:szCs w:val="21"/>
    </w:rPr>
  </w:style>
  <w:style w:type="character" w:customStyle="1" w:styleId="1Char1CharCharChar">
    <w:name w:val="标题 1 Char1 Char Char Char"/>
    <w:autoRedefine/>
    <w:qFormat/>
    <w:rPr>
      <w:rFonts w:eastAsia="宋体"/>
      <w:b/>
      <w:bCs/>
      <w:spacing w:val="20"/>
      <w:kern w:val="28"/>
      <w:sz w:val="24"/>
      <w:szCs w:val="24"/>
      <w:lang w:val="en-US" w:eastAsia="zh-CN" w:bidi="ar-SA"/>
    </w:rPr>
  </w:style>
  <w:style w:type="character" w:customStyle="1" w:styleId="1Char">
    <w:name w:val="标题 1 Char"/>
    <w:link w:val="Heading1"/>
    <w:autoRedefine/>
    <w:qFormat/>
    <w:rPr>
      <w:rFonts w:ascii="Times New Roman" w:eastAsia="宋体" w:hAnsi="Times New Roman"/>
      <w:b/>
      <w:kern w:val="2"/>
      <w:sz w:val="32"/>
      <w:szCs w:val="24"/>
      <w:lang w:val="en-US" w:eastAsia="zh-CN" w:bidi="ar-SA"/>
    </w:rPr>
  </w:style>
  <w:style w:type="character" w:customStyle="1" w:styleId="a25">
    <w:name w:val="表格字体 华文仿宋"/>
    <w:autoRedefine/>
    <w:qFormat/>
    <w:rPr>
      <w:rFonts w:ascii="华文仿宋" w:eastAsia="华文仿宋" w:hAnsi="华文仿宋"/>
      <w:sz w:val="24"/>
    </w:rPr>
  </w:style>
  <w:style w:type="character" w:customStyle="1" w:styleId="ttag">
    <w:name w:val="t_tag"/>
    <w:basedOn w:val="DefaultParagraphFont"/>
    <w:autoRedefine/>
    <w:qFormat/>
  </w:style>
  <w:style w:type="character" w:customStyle="1" w:styleId="Char4">
    <w:name w:val="批注框文本 Char"/>
    <w:link w:val="BalloonText"/>
    <w:autoRedefine/>
    <w:qFormat/>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1.png" /><Relationship Id="rId26" Type="http://schemas.openxmlformats.org/officeDocument/2006/relationships/image" Target="media/image2.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3.png"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webSettings" Target="webSettings.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header" Target="header17.xml"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header" Target="header18.xml" /><Relationship Id="rId47" Type="http://schemas.openxmlformats.org/officeDocument/2006/relationships/footer" Target="footer20.xml" /><Relationship Id="rId48" Type="http://schemas.openxmlformats.org/officeDocument/2006/relationships/footer" Target="footer21.xml" /><Relationship Id="rId49" Type="http://schemas.openxmlformats.org/officeDocument/2006/relationships/header" Target="header19.xml" /><Relationship Id="rId5" Type="http://schemas.openxmlformats.org/officeDocument/2006/relationships/fontTable" Target="fontTable.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0.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1.xml" /><Relationship Id="rId56" Type="http://schemas.openxmlformats.org/officeDocument/2006/relationships/footer" Target="footer26.xml" /><Relationship Id="rId57" Type="http://schemas.openxmlformats.org/officeDocument/2006/relationships/footer" Target="footer27.xml" /><Relationship Id="rId58" Type="http://schemas.openxmlformats.org/officeDocument/2006/relationships/header" Target="header22.xml" /><Relationship Id="rId59" Type="http://schemas.openxmlformats.org/officeDocument/2006/relationships/footer" Target="footer28.xml" /><Relationship Id="rId6" Type="http://schemas.openxmlformats.org/officeDocument/2006/relationships/customXml" Target="../customXml/item1.xml" /><Relationship Id="rId60" Type="http://schemas.openxmlformats.org/officeDocument/2006/relationships/footer" Target="footer29.xml" /><Relationship Id="rId61" Type="http://schemas.openxmlformats.org/officeDocument/2006/relationships/header" Target="header23.xml" /><Relationship Id="rId62" Type="http://schemas.openxmlformats.org/officeDocument/2006/relationships/footer" Target="footer30.xml" /><Relationship Id="rId63" Type="http://schemas.openxmlformats.org/officeDocument/2006/relationships/footer" Target="footer31.xml" /><Relationship Id="rId64" Type="http://schemas.openxmlformats.org/officeDocument/2006/relationships/image" Target="media/image4.png" /><Relationship Id="rId65" Type="http://schemas.openxmlformats.org/officeDocument/2006/relationships/image" Target="media/image5.png" /><Relationship Id="rId66" Type="http://schemas.openxmlformats.org/officeDocument/2006/relationships/header" Target="header24.xml" /><Relationship Id="rId67" Type="http://schemas.openxmlformats.org/officeDocument/2006/relationships/footer" Target="footer32.xml" /><Relationship Id="rId68" Type="http://schemas.openxmlformats.org/officeDocument/2006/relationships/footer" Target="footer33.xml" /><Relationship Id="rId69" Type="http://schemas.openxmlformats.org/officeDocument/2006/relationships/image" Target="media/image6.png" /><Relationship Id="rId7" Type="http://schemas.openxmlformats.org/officeDocument/2006/relationships/header" Target="header1.xml" /><Relationship Id="rId70" Type="http://schemas.openxmlformats.org/officeDocument/2006/relationships/header" Target="header25.xml" /><Relationship Id="rId71" Type="http://schemas.openxmlformats.org/officeDocument/2006/relationships/footer" Target="footer34.xml" /><Relationship Id="rId72" Type="http://schemas.openxmlformats.org/officeDocument/2006/relationships/footer" Target="footer35.xml" /><Relationship Id="rId73" Type="http://schemas.openxmlformats.org/officeDocument/2006/relationships/header" Target="header26.xml" /><Relationship Id="rId74" Type="http://schemas.openxmlformats.org/officeDocument/2006/relationships/footer" Target="footer36.xml" /><Relationship Id="rId75" Type="http://schemas.openxmlformats.org/officeDocument/2006/relationships/footer" Target="footer37.xml" /><Relationship Id="rId76" Type="http://schemas.openxmlformats.org/officeDocument/2006/relationships/header" Target="header27.xml" /><Relationship Id="rId77" Type="http://schemas.openxmlformats.org/officeDocument/2006/relationships/footer" Target="footer38.xml" /><Relationship Id="rId78" Type="http://schemas.openxmlformats.org/officeDocument/2006/relationships/footer" Target="footer39.xml" /><Relationship Id="rId79" Type="http://schemas.openxmlformats.org/officeDocument/2006/relationships/header" Target="header28.xml" /><Relationship Id="rId8" Type="http://schemas.openxmlformats.org/officeDocument/2006/relationships/footer" Target="footer1.xml" /><Relationship Id="rId80" Type="http://schemas.openxmlformats.org/officeDocument/2006/relationships/footer" Target="footer40.xml" /><Relationship Id="rId81" Type="http://schemas.openxmlformats.org/officeDocument/2006/relationships/footer" Target="footer41.xml" /><Relationship Id="rId82" Type="http://schemas.openxmlformats.org/officeDocument/2006/relationships/header" Target="header29.xml" /><Relationship Id="rId83" Type="http://schemas.openxmlformats.org/officeDocument/2006/relationships/footer" Target="footer42.xml" /><Relationship Id="rId84" Type="http://schemas.openxmlformats.org/officeDocument/2006/relationships/footer" Target="footer43.xml" /><Relationship Id="rId85" Type="http://schemas.openxmlformats.org/officeDocument/2006/relationships/header" Target="header30.xml" /><Relationship Id="rId86" Type="http://schemas.openxmlformats.org/officeDocument/2006/relationships/footer" Target="footer44.xml" /><Relationship Id="rId87" Type="http://schemas.openxmlformats.org/officeDocument/2006/relationships/footer" Target="footer45.xml" /><Relationship Id="rId88" Type="http://schemas.openxmlformats.org/officeDocument/2006/relationships/header" Target="header31.xml" /><Relationship Id="rId89" Type="http://schemas.openxmlformats.org/officeDocument/2006/relationships/footer" Target="footer46.xml" /><Relationship Id="rId9" Type="http://schemas.openxmlformats.org/officeDocument/2006/relationships/header" Target="header2.xml" /><Relationship Id="rId90" Type="http://schemas.openxmlformats.org/officeDocument/2006/relationships/footer" Target="footer47.xml" /><Relationship Id="rId91" Type="http://schemas.openxmlformats.org/officeDocument/2006/relationships/hyperlink" Target="https://d.book118.com/758032074056006047" TargetMode="External" /><Relationship Id="rId92" Type="http://schemas.openxmlformats.org/officeDocument/2006/relationships/header" Target="header32.xml" /><Relationship Id="rId93" Type="http://schemas.openxmlformats.org/officeDocument/2006/relationships/footer" Target="footer48.xml" /><Relationship Id="rId94" Type="http://schemas.openxmlformats.org/officeDocument/2006/relationships/footer" Target="footer49.xml" /><Relationship Id="rId95" Type="http://schemas.openxmlformats.org/officeDocument/2006/relationships/theme" Target="theme/theme1.xml" /><Relationship Id="rId96" Type="http://schemas.openxmlformats.org/officeDocument/2006/relationships/numbering" Target="numbering.xml" /><Relationship Id="rId9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36</Pages>
  <Words>35910</Words>
  <Characters>41735</Characters>
  <Application>Microsoft Office Word</Application>
  <DocSecurity>0</DocSecurity>
  <Lines>342</Lines>
  <Paragraphs>96</Paragraphs>
  <ScaleCrop>false</ScaleCrop>
  <Company/>
  <LinksUpToDate>false</LinksUpToDate>
  <CharactersWithSpaces>43084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Fox</dc:creator>
  <cp:lastModifiedBy>委员</cp:lastModifiedBy>
  <cp:revision>3</cp:revision>
  <dcterms:created xsi:type="dcterms:W3CDTF">2018-08-30T07:46:00Z</dcterms:created>
  <dcterms:modified xsi:type="dcterms:W3CDTF">2024-03-10T09:48:23Z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E130FEA346B84D9D8C340272DFE5AA37_12</vt:lpwstr>
  </property>
  <property fmtid="{D5CDD505-2E9C-101B-9397-08002B2CF9AE}" pid="3" name="KSOProductBuildVer">
    <vt:lpwstr>2052-12.1.0.16388</vt:lpwstr>
  </property>
</Properties>
</file>