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氯化物相关行业公司成立方案及可行性研究报告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_Toc10564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_Toc6619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_Toc19057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(七)、氯化物项目建设必要性分析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_Toc20679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_Toc26078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_Toc21918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5" w:history="1">
        <w:r>
          <w:rPr>
            <w:rFonts w:ascii="仿宋" w:eastAsia="仿宋" w:hAnsi="仿宋" w:cs="仿宋" w:hint="eastAsia"/>
            <w:lang w:eastAsia="zh-CN"/>
          </w:rPr>
          <w:t>(一)、氯化物项目选址原则</w:t>
        </w:r>
        <w:r>
          <w:tab/>
        </w:r>
        <w:r>
          <w:fldChar w:fldCharType="begin"/>
        </w:r>
        <w:r>
          <w:instrText xml:space="preserve"> PAGEREF _Toc22215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_Toc26685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(五)、氯化物项目选址综合评价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_Toc11630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" w:history="1">
        <w:r>
          <w:rPr>
            <w:rFonts w:ascii="仿宋" w:eastAsia="仿宋" w:hAnsi="仿宋" w:cs="仿宋" w:hint="eastAsia"/>
            <w:lang w:eastAsia="zh-CN"/>
          </w:rPr>
          <w:t>(一)、氯化物项目进度安排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4" w:history="1">
        <w:r>
          <w:rPr>
            <w:rFonts w:ascii="仿宋" w:eastAsia="仿宋" w:hAnsi="仿宋" w:cs="仿宋" w:hint="eastAsia"/>
            <w:lang w:eastAsia="zh-CN"/>
          </w:rPr>
          <w:t>(二)、氯化物项目实施保障措施</w:t>
        </w:r>
        <w:r>
          <w:tab/>
        </w:r>
        <w:r>
          <w:fldChar w:fldCharType="begin"/>
        </w:r>
        <w:r>
          <w:instrText xml:space="preserve"> PAGEREF _Toc26994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_Toc27496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_Toc13815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_Toc27245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_Toc26777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_Toc28651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(五)、氯化物项目总投资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_Toc6772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十、氯化物项目风险分析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(一)、氯化物项目风险分析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6" w:history="1">
        <w:r>
          <w:rPr>
            <w:rFonts w:ascii="仿宋" w:eastAsia="仿宋" w:hAnsi="仿宋" w:cs="仿宋" w:hint="eastAsia"/>
            <w:lang w:eastAsia="zh-CN"/>
          </w:rPr>
          <w:t>(二)、氯化物项目风险对策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十一、氯化物项目总结分析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_Toc18379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_Toc11381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_Toc8573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_Toc12390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_Toc4311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4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https://d.book118.com/758037111131006036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8037111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2024-02-05T23:16:00Z</dcterms:created>
  <dcterms:modified xsi:type="dcterms:W3CDTF">2024-02-05T23:16:45Z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449832B8C4064824AAD75DC26C61483D_11</vt:lpwstr>
  </property>
  <property fmtid="{D5CDD505-2E9C-101B-9397-08002B2CF9AE}" pid="3" name="KSOProductBuildVer">
    <vt:lpwstr>2052-12.1.0.16250</vt:lpwstr>
  </property>
</Properties>
</file>