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片式电容行业相关公司设立可行性研究报告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3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_Toc27332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_Toc31264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(一)、片式电容项目选址原则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(五)、片式电容项目选址综合评价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四、片式电容筹建公司基本信息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_Toc12665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_Toc22757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_Toc8486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(七)、片式电容项目建设必要性分析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_Toc30489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_Toc20918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eastAsia="zh-CN"/>
          </w:rPr>
          <w:t>(五)、片式电容项目总投资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_Toc17431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八、片式电容项目经济效益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_Toc10630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_Toc26808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eastAsia="zh-CN"/>
          </w:rPr>
          <w:t>(三)、片式电容项目盈利能力分析</w:t>
        </w:r>
        <w:r>
          <w:tab/>
        </w:r>
        <w:r>
          <w:fldChar w:fldCharType="begin"/>
        </w:r>
        <w:r>
          <w:instrText xml:space="preserve"> PAGEREF _Toc15682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4" w:history="1">
        <w:r>
          <w:rPr>
            <w:rFonts w:ascii="仿宋" w:eastAsia="仿宋" w:hAnsi="仿宋" w:cs="仿宋" w:hint="eastAsia"/>
            <w:lang w:eastAsia="zh-CN"/>
          </w:rPr>
          <w:t>(一)、片式电容项目进度安排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(二)、片式电容项目实施保障措施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(一)、片式电容项目背景分析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eastAsia="zh-CN"/>
          </w:rPr>
          <w:t>(二)、片式电容项目建设必要性分析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_Toc17210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_Toc27187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" w:history="1">
        <w:r>
          <w:rPr>
            <w:rFonts w:ascii="仿宋" w:eastAsia="仿宋" w:hAnsi="仿宋" w:cs="仿宋" w:hint="eastAsia"/>
            <w:lang w:eastAsia="zh-CN"/>
          </w:rPr>
          <w:t>(二)、合作片式电容项目</w:t>
        </w:r>
        <w:r>
          <w:tab/>
        </w:r>
        <w:r>
          <w:fldChar w:fldCharType="begin"/>
        </w:r>
        <w:r>
          <w:instrText xml:space="preserve"> PAGEREF _Toc1355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_Toc30542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3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2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43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https://d.book118.com/758046067141006030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片式电容行业相关公司设立可行性研究报告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片式电容行业相关公司设立可行性研究报告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片式电容行业相关公司设立可行性研究报告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片式电容行业相关公司设立可行性研究报告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片式电容行业相关公司设立可行性研究报告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8046067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2024-01-01T21:10:00Z</dcterms:created>
  <dcterms:modified xsi:type="dcterms:W3CDTF">2024-01-01T21:10:57Z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35D12F1E43FC4AC78672E2155F92836B_11</vt:lpwstr>
  </property>
  <property fmtid="{D5CDD505-2E9C-101B-9397-08002B2CF9AE}" pid="3" name="KSOProductBuildVer">
    <vt:lpwstr>2052-12.1.0.16120</vt:lpwstr>
  </property>
</Properties>
</file>