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2015-2023年宁夏葡萄酒与防沙治沙职业技术学院高职单招（数学／语文／英语）历年参考题库带答案解析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李密的《陈情表》是一篇（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A.书信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C.辞赋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D.奏疏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下列选项中，画线部分翻译错误的一项是（）。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A.闻道百，以为莫己若者，我之谓也以为~~莫己若者：认为没有谁如同自己一样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B.今乃弃黔首以资敌国，却宾客以业诸侯~~却宾客以业诸侯：驱逐宾客使诸侯成就功业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C.填然鼓之，兵刃既接，弃甲曳兵而走~~弃甲曳兵而走：抛弃了铠甲、拖着士兵离开了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D.制，岩邑也，虢叔死焉，佗邑为命制~~岩邑也：制是险要的城邑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朱光潜的《选择与安排》是一篇（）。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B.说明文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《门槛》主要运用了（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B.欲扬先抑手法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C.比喻手法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D.象征手法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5.</w:t>
      </w:r>
      <w:r>
        <w:rPr>
          <w:rFonts w:ascii="黑体" w:eastAsia="黑体" w:hAnsi="黑体" w:cs="Times New Roman"/>
          <w:sz w:val="24"/>
          <w:lang w:val="en-US" w:eastAsia="ja-JP" w:bidi="ar-SA"/>
        </w:rPr>
        <w:t>“亟请于武公”句中“亟”的意思是（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A.迅速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B.急忙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C.屡次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D.竭力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4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《苦恼》中，人与马的对比体现在（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A.人像“幽灵”，马像“蜜糖饼”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B.姚纳挨“脖儿拐”，马挨鞭子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C.姚纳死了儿子，马死了崽儿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D.没有人听姚纳诉说，马却听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下列句子中，运用侧面描写渲染演出效果的是（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A.引商刻羽，抗坠疾徐，并称善也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B.或大呼命酒，或移坐更进之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C.我闻今相国顾秉谦者，严相国俦也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D.以分宜教分宜，安得不工哉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沈从文是以什么样的独特视角和叙述主体来观照人生的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A.都市人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B.湘西人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C.关东人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D.岭南人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A.俄国诗人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B.俄国散文随笔作家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C.俄国短篇小说之王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D.俄国政论家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“茕茕孑立，形影相吊”一语出自（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A.李斯《谏逐客书》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B.李密《陈情表》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C.李清照《声声慢》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D.曹操《短歌行》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陶渊明《饮酒》中，最富有哲理意味的诗句是（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A.飞鸟相与还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B.心远地自偏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C.结庐在人境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D.悠然见南山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《米龙老爹》的中心思想是（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A.颂扬复仇主义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B.颂扬机智勇敢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C.颂扬视死如归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D.颂扬爱国主义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闻一多倡导新诗应具有的“三美”是（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A.绘画的美、音乐的美、韵律的美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B.自然的美、音乐的美、绘画的美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C.音乐的美、绘画的美、建筑的美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D.音乐的美、建筑的美、和谐的美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“日薄西山，气息奄奄”出自（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https://d.book118.com/758116005034006041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758116005034006041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