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电大《中级财务会计》（补修课）期末复习指导</w:t>
      </w:r>
    </w:p>
    <w:p>
      <w:pPr>
        <w:pStyle w:val="BodyText"/>
        <w:spacing w:before="6"/>
        <w:ind w:left="0"/>
        <w:rPr>
          <w:b/>
          <w:sz w:val="25"/>
        </w:rPr>
      </w:pPr>
    </w:p>
    <w:p>
      <w:pPr>
        <w:pStyle w:val="Heading1"/>
        <w:spacing w:before="103"/>
        <w:ind w:left="0" w:right="294" w:firstLine="0"/>
        <w:jc w:val="right"/>
      </w:pPr>
      <w:r>
        <w:rPr>
          <w:rFonts w:ascii="Arial" w:eastAsia="Arial"/>
        </w:rPr>
        <w:t xml:space="preserve">2011 </w:t>
      </w:r>
      <w:r>
        <w:t xml:space="preserve">年 </w:t>
      </w:r>
      <w:r>
        <w:rPr>
          <w:rFonts w:ascii="Arial" w:eastAsia="Arial"/>
        </w:rPr>
        <w:t xml:space="preserve">6 </w:t>
      </w:r>
      <w:r>
        <w:t>月修订</w:t>
      </w:r>
    </w:p>
    <w:p>
      <w:pPr>
        <w:tabs>
          <w:tab w:val="left" w:pos="1583"/>
        </w:tabs>
        <w:spacing w:before="143"/>
        <w:ind w:left="0" w:right="131" w:firstLine="0"/>
        <w:jc w:val="center"/>
        <w:rPr>
          <w:b/>
          <w:sz w:val="31"/>
        </w:rPr>
      </w:pPr>
      <w:r>
        <w:rPr>
          <w:b/>
          <w:sz w:val="31"/>
        </w:rPr>
        <w:t>第一部份</w:t>
        <w:tab/>
        <w:t>课程考核说明</w:t>
      </w:r>
    </w:p>
    <w:p>
      <w:pPr>
        <w:pStyle w:val="BodyText"/>
        <w:spacing w:before="142"/>
        <w:ind w:left="0" w:right="3090"/>
        <w:jc w:val="center"/>
      </w:pPr>
      <w:r>
        <w:t>本复习指导适用于开放教育本科会计学专业的补修课程《中级财务会计</w:t>
      </w:r>
      <w:r>
        <w:rPr>
          <w:spacing w:val="-104"/>
        </w:rPr>
        <w:t>》。</w:t>
      </w:r>
    </w:p>
    <w:p>
      <w:pPr>
        <w:pStyle w:val="BodyText"/>
        <w:spacing w:before="143" w:line="326" w:lineRule="auto"/>
        <w:ind w:left="159" w:right="290" w:firstLine="630"/>
      </w:pPr>
      <w:r>
        <w:t>考题类型及分数比重大致为：单项选择题（</w:t>
      </w:r>
      <w:r>
        <w:rPr>
          <w:spacing w:val="47"/>
        </w:rPr>
        <w:t xml:space="preserve">占 </w:t>
      </w:r>
      <w:r>
        <w:rPr>
          <w:rFonts w:ascii="Arial" w:eastAsia="Arial"/>
        </w:rPr>
        <w:t>20%</w:t>
      </w:r>
      <w:r>
        <w:t>左右</w:t>
      </w:r>
      <w:r>
        <w:rPr>
          <w:spacing w:val="-155"/>
        </w:rPr>
        <w:t>）</w:t>
      </w:r>
      <w:r>
        <w:t>、多项选择题（</w:t>
      </w:r>
      <w:r>
        <w:rPr>
          <w:spacing w:val="44"/>
        </w:rPr>
        <w:t xml:space="preserve">占 </w:t>
      </w:r>
      <w:r>
        <w:rPr>
          <w:rFonts w:ascii="Arial" w:eastAsia="Arial"/>
        </w:rPr>
        <w:t>10%</w:t>
      </w:r>
      <w:r>
        <w:t>左右</w:t>
      </w:r>
      <w:r>
        <w:rPr>
          <w:spacing w:val="-155"/>
        </w:rPr>
        <w:t>）</w:t>
      </w:r>
      <w:r>
        <w:t>、简答题（</w:t>
      </w:r>
      <w:r>
        <w:rPr>
          <w:spacing w:val="-15"/>
        </w:rPr>
        <w:t>占</w:t>
      </w:r>
      <w:r>
        <w:rPr>
          <w:rFonts w:ascii="Arial" w:eastAsia="Arial"/>
        </w:rPr>
        <w:t>20%</w:t>
      </w:r>
      <w:r>
        <w:t>左右</w:t>
      </w:r>
      <w:r>
        <w:rPr>
          <w:spacing w:val="-162"/>
        </w:rPr>
        <w:t>）</w:t>
      </w:r>
      <w:r>
        <w:t>、单项业务题（</w:t>
      </w:r>
      <w:r>
        <w:rPr>
          <w:spacing w:val="-46"/>
        </w:rPr>
        <w:t xml:space="preserve">占 </w:t>
      </w:r>
      <w:r>
        <w:rPr>
          <w:rFonts w:ascii="Arial" w:eastAsia="Arial"/>
        </w:rPr>
        <w:t>30%</w:t>
      </w:r>
      <w:r>
        <w:t>左右</w:t>
      </w:r>
      <w:r>
        <w:rPr>
          <w:spacing w:val="-162"/>
        </w:rPr>
        <w:t>）</w:t>
      </w:r>
      <w:r>
        <w:rPr>
          <w:spacing w:val="-2"/>
        </w:rPr>
        <w:t>、综合业务题</w:t>
      </w:r>
      <w:r>
        <w:rPr>
          <w:rFonts w:ascii="Arial" w:eastAsia="Arial"/>
        </w:rPr>
        <w:t>(</w:t>
      </w:r>
      <w:r>
        <w:rPr>
          <w:spacing w:val="-38"/>
        </w:rPr>
        <w:t xml:space="preserve">占 </w:t>
      </w:r>
      <w:r>
        <w:rPr>
          <w:rFonts w:ascii="Arial" w:eastAsia="Arial"/>
        </w:rPr>
        <w:t>20%</w:t>
      </w:r>
      <w:r>
        <w:t>左右</w:t>
      </w:r>
      <w:r>
        <w:rPr>
          <w:rFonts w:ascii="Arial" w:eastAsia="Arial"/>
        </w:rPr>
        <w:t>)</w:t>
      </w:r>
      <w:r>
        <w:t>。</w:t>
      </w:r>
    </w:p>
    <w:p>
      <w:pPr>
        <w:pStyle w:val="Heading1"/>
        <w:tabs>
          <w:tab w:val="left" w:pos="7551"/>
        </w:tabs>
        <w:spacing w:before="0" w:line="397" w:lineRule="exact"/>
        <w:ind w:left="5650" w:firstLine="0"/>
      </w:pPr>
      <w:r>
        <w:t>第三部分</w:t>
        <w:tab/>
        <w:t>综合练习题</w:t>
      </w:r>
    </w:p>
    <w:p>
      <w:pPr>
        <w:tabs>
          <w:tab w:val="left" w:pos="4412"/>
          <w:tab w:val="left" w:pos="4887"/>
        </w:tabs>
        <w:spacing w:before="143" w:line="326" w:lineRule="auto"/>
        <w:ind w:left="790" w:right="9554" w:firstLine="0"/>
        <w:jc w:val="left"/>
        <w:rPr>
          <w:sz w:val="31"/>
        </w:rPr>
      </w:pPr>
      <w:r>
        <w:rPr>
          <w:b/>
          <w:sz w:val="31"/>
        </w:rPr>
        <w:t xml:space="preserve">一、单项选择题             </w:t>
      </w:r>
      <w:r>
        <w:rPr>
          <w:sz w:val="31"/>
        </w:rPr>
        <w:t>1．财务会计的目标是（</w:t>
        <w:tab/>
        <w:t>A</w:t>
        <w:tab/>
      </w:r>
      <w:r>
        <w:rPr>
          <w:spacing w:val="-159"/>
          <w:sz w:val="31"/>
        </w:rPr>
        <w:t>）</w:t>
      </w:r>
      <w:r>
        <w:rPr>
          <w:spacing w:val="-16"/>
          <w:sz w:val="31"/>
        </w:rPr>
        <w:t>。</w:t>
      </w:r>
    </w:p>
    <w:p>
      <w:pPr>
        <w:pStyle w:val="BodyText"/>
        <w:tabs>
          <w:tab w:val="left" w:pos="5042"/>
          <w:tab w:val="left" w:pos="8354"/>
          <w:tab w:val="left" w:pos="11663"/>
        </w:tabs>
        <w:spacing w:line="326" w:lineRule="auto"/>
        <w:ind w:right="343" w:firstLine="630"/>
      </w:pPr>
      <w:r>
        <w:t>A．提供会计信息</w:t>
        <w:tab/>
        <w:t>B．参与经济决策</w:t>
        <w:tab/>
        <w:t>C．控制经济活动</w:t>
        <w:tab/>
        <w:t>D．进行价值管理 2．企业应按照交易或事项的经济实质进行会计处理，就应仅以交易或事项的法律形式为依据。其</w:t>
      </w:r>
      <w:r>
        <w:rPr>
          <w:spacing w:val="-18"/>
        </w:rPr>
        <w:t>所</w:t>
      </w:r>
    </w:p>
    <w:p>
      <w:pPr>
        <w:pStyle w:val="BodyText"/>
        <w:tabs>
          <w:tab w:val="left" w:pos="4574"/>
          <w:tab w:val="left" w:pos="5362"/>
        </w:tabs>
        <w:ind w:left="159"/>
      </w:pPr>
      <w:r>
        <w:t>体现的会计信息质量要求是（</w:t>
        <w:tab/>
        <w:t>C</w:t>
        <w:tab/>
      </w:r>
      <w:r>
        <w:rPr>
          <w:spacing w:val="-159"/>
        </w:rPr>
        <w:t>）</w:t>
      </w:r>
      <w:r>
        <w:t>。</w:t>
      </w:r>
    </w:p>
    <w:p>
      <w:pPr>
        <w:pStyle w:val="BodyText"/>
        <w:tabs>
          <w:tab w:val="left" w:pos="4101"/>
          <w:tab w:val="left" w:pos="6780"/>
          <w:tab w:val="left" w:pos="10403"/>
          <w:tab w:val="left" w:pos="12294"/>
          <w:tab w:val="left" w:pos="13082"/>
        </w:tabs>
        <w:spacing w:before="143" w:line="326" w:lineRule="auto"/>
        <w:ind w:right="1359" w:firstLine="630"/>
      </w:pPr>
      <w:r>
        <w:t>A．谨慎性</w:t>
        <w:tab/>
        <w:t>B．重要性</w:t>
        <w:tab/>
        <w:t>C．实质重于形式</w:t>
        <w:tab/>
        <w:t>D． 可 靠 性      3．按照当前的市场条件重新取得资产所需支付的现金或现金等价物的金额称为（</w:t>
        <w:tab/>
        <w:t>B</w:t>
        <w:tab/>
      </w:r>
      <w:r>
        <w:rPr>
          <w:spacing w:val="-159"/>
        </w:rPr>
        <w:t>）</w:t>
      </w:r>
      <w:r>
        <w:rPr>
          <w:spacing w:val="-16"/>
        </w:rPr>
        <w:t>。</w:t>
      </w:r>
    </w:p>
    <w:p>
      <w:pPr>
        <w:pStyle w:val="BodyText"/>
        <w:tabs>
          <w:tab w:val="left" w:pos="4412"/>
          <w:tab w:val="left" w:pos="7407"/>
          <w:tab w:val="left" w:pos="10086"/>
          <w:tab w:val="left" w:pos="10403"/>
          <w:tab w:val="left" w:pos="10716"/>
        </w:tabs>
        <w:spacing w:line="326" w:lineRule="auto"/>
        <w:ind w:right="3410" w:firstLine="633"/>
      </w:pPr>
      <w:r>
        <w:t>A．历史成本</w:t>
        <w:tab/>
        <w:t>B．重置成本</w:t>
        <w:tab/>
        <w:t>C．公允价值</w:t>
        <w:tab/>
        <w:tab/>
        <w:t>D．现</w:t>
      </w:r>
      <w:r>
        <w:rPr>
          <w:spacing w:val="-19"/>
        </w:rPr>
        <w:t>值</w:t>
      </w:r>
      <w:r>
        <w:t>4．下列账户中，可以办理工资、奖金、津贴现金支付业务的是（</w:t>
        <w:tab/>
        <w:t>D</w:t>
        <w:tab/>
        <w:tab/>
      </w:r>
      <w:r>
        <w:rPr>
          <w:spacing w:val="-159"/>
        </w:rPr>
        <w:t>）</w:t>
      </w:r>
      <w:r>
        <w:t>。</w:t>
      </w:r>
    </w:p>
    <w:p>
      <w:pPr>
        <w:pStyle w:val="BodyText"/>
        <w:tabs>
          <w:tab w:val="left" w:pos="5045"/>
          <w:tab w:val="left" w:pos="8351"/>
          <w:tab w:val="left" w:pos="11655"/>
        </w:tabs>
        <w:spacing w:line="326" w:lineRule="auto"/>
        <w:ind w:right="262" w:firstLine="633"/>
      </w:pPr>
      <w:r>
        <w:t>A．基本存款账户</w:t>
        <w:tab/>
        <w:t>B．一般存款账户</w:t>
        <w:tab/>
        <w:t>C．临时存款账户</w:t>
        <w:tab/>
        <w:t>D．专项存款账户  5．企业将存款划入某证券公司，委托其代购即将发行的</w:t>
      </w:r>
      <w:r>
        <w:rPr>
          <w:spacing w:val="60"/>
        </w:rPr>
        <w:t xml:space="preserve"> </w:t>
      </w:r>
      <w:r>
        <w:t>H</w:t>
      </w:r>
      <w:r>
        <w:rPr>
          <w:spacing w:val="141"/>
        </w:rPr>
        <w:t xml:space="preserve"> </w:t>
      </w:r>
      <w:r>
        <w:t>公司股票。对该笔存款，企业的核算账</w:t>
      </w:r>
      <w:r>
        <w:rPr>
          <w:spacing w:val="-17"/>
        </w:rPr>
        <w:t>户</w:t>
      </w:r>
    </w:p>
    <w:p>
      <w:pPr>
        <w:pStyle w:val="BodyText"/>
        <w:tabs>
          <w:tab w:val="left" w:pos="1423"/>
          <w:tab w:val="left" w:pos="1894"/>
        </w:tabs>
        <w:spacing w:line="397" w:lineRule="exact"/>
        <w:ind w:left="159"/>
      </w:pPr>
      <w:r>
        <w:t>为（</w:t>
        <w:tab/>
        <w:t>D</w:t>
        <w:tab/>
      </w:r>
      <w:r>
        <w:rPr>
          <w:spacing w:val="-159"/>
        </w:rPr>
        <w:t>）</w:t>
      </w:r>
      <w:r>
        <w:t>。</w:t>
      </w:r>
    </w:p>
    <w:p>
      <w:pPr>
        <w:pStyle w:val="BodyText"/>
        <w:tabs>
          <w:tab w:val="left" w:pos="4412"/>
          <w:tab w:val="left" w:pos="6777"/>
          <w:tab w:val="left" w:pos="10403"/>
          <w:tab w:val="left" w:pos="11980"/>
          <w:tab w:val="left" w:pos="12769"/>
        </w:tabs>
        <w:spacing w:before="143" w:line="326" w:lineRule="auto"/>
        <w:ind w:right="1676" w:firstLine="633"/>
      </w:pPr>
      <w:r>
        <w:t>A．银行存款</w:t>
        <w:tab/>
        <w:t>B．股本</w:t>
        <w:tab/>
        <w:t>C．长期股权投资</w:t>
        <w:tab/>
        <w:t>D．其他货币资金 6．采用定额备用金制度，备用金使用部门报销日常开支时，应贷记的账户是（</w:t>
        <w:tab/>
        <w:t>D</w:t>
        <w:tab/>
      </w:r>
      <w:r>
        <w:rPr>
          <w:spacing w:val="-162"/>
        </w:rPr>
        <w:t>）</w:t>
      </w:r>
      <w:r>
        <w:rPr>
          <w:spacing w:val="-17"/>
        </w:rPr>
        <w:t>。</w:t>
      </w:r>
    </w:p>
    <w:p>
      <w:pPr>
        <w:pStyle w:val="BodyText"/>
        <w:tabs>
          <w:tab w:val="left" w:pos="3630"/>
          <w:tab w:val="left" w:pos="4101"/>
          <w:tab w:val="left" w:pos="7094"/>
          <w:tab w:val="left" w:pos="10403"/>
        </w:tabs>
        <w:spacing w:line="326" w:lineRule="auto"/>
        <w:ind w:right="1191" w:firstLine="633"/>
      </w:pPr>
      <w:r>
        <w:t>A．备用金</w:t>
        <w:tab/>
        <w:tab/>
        <w:t>B．管理费用</w:t>
        <w:tab/>
        <w:t>C．销售费用</w:t>
        <w:tab/>
        <w:t>D．库存现金或银行存</w:t>
      </w:r>
      <w:r>
        <w:rPr>
          <w:spacing w:val="-17"/>
        </w:rPr>
        <w:t>款</w:t>
      </w:r>
      <w:r>
        <w:t>7．应收账款是</w:t>
      </w:r>
      <w:r>
        <w:rPr>
          <w:spacing w:val="-11"/>
        </w:rPr>
        <w:t>由</w:t>
      </w:r>
      <w:r>
        <w:t>(</w:t>
        <w:tab/>
        <w:t>C</w:t>
        <w:tab/>
      </w:r>
      <w:r>
        <w:rPr>
          <w:spacing w:val="-7"/>
        </w:rPr>
        <w:t>)</w:t>
      </w:r>
      <w:r>
        <w:t>而产生的。</w:t>
      </w:r>
    </w:p>
    <w:p>
      <w:pPr>
        <w:pStyle w:val="BodyText"/>
        <w:tabs>
          <w:tab w:val="left" w:pos="4422"/>
          <w:tab w:val="left" w:pos="6464"/>
          <w:tab w:val="left" w:pos="7256"/>
          <w:tab w:val="left" w:pos="8361"/>
          <w:tab w:val="left" w:pos="11353"/>
        </w:tabs>
        <w:spacing w:line="326" w:lineRule="auto"/>
        <w:ind w:right="1198" w:firstLine="633"/>
      </w:pPr>
      <w:r>
        <w:t>A．现销业务</w:t>
        <w:tab/>
      </w:r>
      <w:r>
        <w:rPr>
          <w:spacing w:val="-5"/>
        </w:rPr>
        <w:t>B．</w:t>
      </w:r>
      <w:r>
        <w:t>产品的销售业务</w:t>
        <w:tab/>
        <w:tab/>
      </w:r>
      <w:r>
        <w:rPr>
          <w:spacing w:val="-6"/>
        </w:rPr>
        <w:t>C．</w:t>
      </w:r>
      <w:r>
        <w:t>赊销业务</w:t>
        <w:tab/>
      </w:r>
      <w:r>
        <w:rPr>
          <w:spacing w:val="-6"/>
        </w:rPr>
        <w:t>D．</w:t>
      </w:r>
      <w:r>
        <w:t>其他销售业</w:t>
      </w:r>
      <w:r>
        <w:rPr>
          <w:spacing w:val="-17"/>
        </w:rPr>
        <w:t>务</w:t>
      </w:r>
      <w:r>
        <w:t>8．企业按规定提取坏账准备，应计</w:t>
      </w:r>
      <w:r>
        <w:rPr>
          <w:spacing w:val="-29"/>
        </w:rPr>
        <w:t>入</w:t>
      </w:r>
      <w:r>
        <w:t>(</w:t>
        <w:tab/>
        <w:t>C</w:t>
        <w:tab/>
      </w:r>
      <w:r>
        <w:rPr>
          <w:spacing w:val="-7"/>
        </w:rPr>
        <w:t>)</w:t>
      </w:r>
      <w:r>
        <w:t>。</w:t>
      </w:r>
    </w:p>
    <w:p>
      <w:pPr>
        <w:pStyle w:val="BodyText"/>
        <w:tabs>
          <w:tab w:val="left" w:pos="4422"/>
          <w:tab w:val="left" w:pos="7731"/>
          <w:tab w:val="left" w:pos="11195"/>
        </w:tabs>
        <w:spacing w:line="326" w:lineRule="auto"/>
        <w:ind w:right="248" w:firstLine="633"/>
      </w:pPr>
      <w:r>
        <w:t>A．财务费用</w:t>
        <w:tab/>
      </w:r>
      <w:r>
        <w:rPr>
          <w:spacing w:val="-5"/>
        </w:rPr>
        <w:t>B．</w:t>
      </w:r>
      <w:r>
        <w:t>营业外收入</w:t>
        <w:tab/>
      </w:r>
      <w:r>
        <w:rPr>
          <w:spacing w:val="-6"/>
        </w:rPr>
        <w:t>C．</w:t>
      </w:r>
      <w:r>
        <w:t>资产减值损失</w:t>
        <w:tab/>
      </w:r>
      <w:r>
        <w:rPr>
          <w:spacing w:val="-4"/>
        </w:rPr>
        <w:t>D．</w:t>
      </w:r>
      <w:r>
        <w:t>制造费用         9．某企业年末应收账款余额</w:t>
      </w:r>
      <w:r>
        <w:rPr>
          <w:spacing w:val="33"/>
        </w:rPr>
        <w:t>为</w:t>
      </w:r>
      <w:r>
        <w:t>500000</w:t>
      </w:r>
      <w:r>
        <w:rPr>
          <w:spacing w:val="41"/>
        </w:rPr>
        <w:t xml:space="preserve"> </w:t>
      </w:r>
      <w:r>
        <w:t>元，坏账准备贷方余额</w:t>
      </w:r>
      <w:r>
        <w:rPr>
          <w:spacing w:val="33"/>
        </w:rPr>
        <w:t>为</w:t>
      </w:r>
      <w:r>
        <w:t>1000</w:t>
      </w:r>
      <w:r>
        <w:rPr>
          <w:spacing w:val="49"/>
        </w:rPr>
        <w:t xml:space="preserve"> </w:t>
      </w:r>
      <w:r>
        <w:t>元，</w:t>
      </w:r>
      <w:r>
        <w:rPr>
          <w:spacing w:val="46"/>
        </w:rPr>
        <w:t>按</w:t>
      </w:r>
      <w:r>
        <w:t>4‰提取坏账准备，则</w:t>
      </w:r>
      <w:r>
        <w:rPr>
          <w:spacing w:val="-16"/>
        </w:rPr>
        <w:t>应</w:t>
      </w:r>
    </w:p>
    <w:p>
      <w:pPr>
        <w:pStyle w:val="BodyText"/>
        <w:tabs>
          <w:tab w:val="left" w:pos="2686"/>
          <w:tab w:val="left" w:pos="3320"/>
        </w:tabs>
        <w:spacing w:line="397" w:lineRule="exact"/>
        <w:ind w:left="159"/>
      </w:pPr>
      <w:r>
        <w:t>补提坏账准</w:t>
      </w:r>
      <w:r>
        <w:rPr>
          <w:spacing w:val="-7"/>
        </w:rPr>
        <w:t>备</w:t>
      </w:r>
      <w:r>
        <w:t>(</w:t>
        <w:tab/>
        <w:t>A</w:t>
        <w:tab/>
      </w:r>
      <w:r>
        <w:rPr>
          <w:spacing w:val="-11"/>
        </w:rPr>
        <w:t>)</w:t>
      </w:r>
      <w:r>
        <w:t>。</w:t>
      </w:r>
    </w:p>
    <w:p>
      <w:pPr>
        <w:pStyle w:val="BodyText"/>
        <w:tabs>
          <w:tab w:val="left" w:pos="4429"/>
          <w:tab w:val="left" w:pos="7105"/>
          <w:tab w:val="left" w:pos="9783"/>
        </w:tabs>
        <w:spacing w:before="142"/>
        <w:ind w:left="1423"/>
      </w:pPr>
      <w:r>
        <w:t>A．1000</w:t>
        <w:tab/>
      </w:r>
      <w:r>
        <w:rPr>
          <w:spacing w:val="-3"/>
        </w:rPr>
        <w:t>B．2000</w:t>
        <w:tab/>
        <w:t>C．3000</w:t>
        <w:tab/>
        <w:t>D．4000</w:t>
      </w:r>
    </w:p>
    <w:p>
      <w:pPr>
        <w:pStyle w:val="ListParagraph"/>
        <w:numPr>
          <w:ilvl w:val="0"/>
          <w:numId w:val="40"/>
        </w:numPr>
        <w:tabs>
          <w:tab w:val="left" w:pos="1425"/>
          <w:tab w:val="left" w:pos="3630"/>
          <w:tab w:val="left" w:pos="4263"/>
        </w:tabs>
        <w:spacing w:before="143" w:after="0" w:line="326" w:lineRule="auto"/>
        <w:ind w:left="159" w:right="276" w:firstLine="630"/>
        <w:jc w:val="left"/>
        <w:rPr>
          <w:sz w:val="31"/>
        </w:rPr>
      </w:pPr>
      <w:r>
        <w:rPr>
          <w:sz w:val="31"/>
        </w:rPr>
        <w:t>某企业年末应收账款余额为</w:t>
      </w:r>
      <w:r>
        <w:rPr>
          <w:spacing w:val="-40"/>
          <w:sz w:val="31"/>
        </w:rPr>
        <w:t xml:space="preserve"> </w:t>
      </w:r>
      <w:r>
        <w:rPr>
          <w:sz w:val="31"/>
        </w:rPr>
        <w:t>500000</w:t>
      </w:r>
      <w:r>
        <w:rPr>
          <w:spacing w:val="-17"/>
          <w:sz w:val="31"/>
        </w:rPr>
        <w:t xml:space="preserve"> </w:t>
      </w:r>
      <w:r>
        <w:rPr>
          <w:sz w:val="31"/>
        </w:rPr>
        <w:t>元，坏账准备借方余额为</w:t>
      </w:r>
      <w:r>
        <w:rPr>
          <w:spacing w:val="-41"/>
          <w:sz w:val="31"/>
        </w:rPr>
        <w:t xml:space="preserve"> </w:t>
      </w:r>
      <w:r>
        <w:rPr>
          <w:sz w:val="31"/>
        </w:rPr>
        <w:t>1000</w:t>
      </w:r>
      <w:r>
        <w:rPr>
          <w:spacing w:val="-11"/>
          <w:sz w:val="31"/>
        </w:rPr>
        <w:t xml:space="preserve"> </w:t>
      </w:r>
      <w:r>
        <w:rPr>
          <w:sz w:val="31"/>
        </w:rPr>
        <w:t>元，按</w:t>
      </w:r>
      <w:r>
        <w:rPr>
          <w:spacing w:val="-18"/>
          <w:sz w:val="31"/>
        </w:rPr>
        <w:t xml:space="preserve"> </w:t>
      </w:r>
      <w:r>
        <w:rPr>
          <w:sz w:val="31"/>
        </w:rPr>
        <w:t>5‰提取坏账准备，</w:t>
      </w:r>
      <w:r>
        <w:rPr>
          <w:spacing w:val="-15"/>
          <w:sz w:val="31"/>
        </w:rPr>
        <w:t>则</w:t>
      </w:r>
      <w:r>
        <w:rPr>
          <w:sz w:val="31"/>
        </w:rPr>
        <w:t>应提取的坏账准备</w:t>
      </w:r>
      <w:r>
        <w:rPr>
          <w:spacing w:val="-14"/>
          <w:sz w:val="31"/>
        </w:rPr>
        <w:t>为</w:t>
      </w:r>
      <w:r>
        <w:rPr>
          <w:sz w:val="31"/>
        </w:rPr>
        <w:t>(</w:t>
        <w:tab/>
        <w:t>D</w:t>
        <w:tab/>
      </w:r>
      <w:r>
        <w:rPr>
          <w:spacing w:val="-7"/>
          <w:sz w:val="31"/>
        </w:rPr>
        <w:t>)</w:t>
      </w:r>
      <w:r>
        <w:rPr>
          <w:sz w:val="31"/>
        </w:rPr>
        <w:t>。</w:t>
      </w:r>
    </w:p>
    <w:p>
      <w:pPr>
        <w:pStyle w:val="BodyText"/>
        <w:tabs>
          <w:tab w:val="left" w:pos="4429"/>
          <w:tab w:val="left" w:pos="7105"/>
          <w:tab w:val="left" w:pos="9783"/>
        </w:tabs>
        <w:spacing w:line="397" w:lineRule="exact"/>
        <w:ind w:left="1420"/>
      </w:pPr>
      <w:r>
        <w:t>A．1000</w:t>
        <w:tab/>
      </w:r>
      <w:r>
        <w:rPr>
          <w:spacing w:val="-3"/>
        </w:rPr>
        <w:t>B．2500</w:t>
        <w:tab/>
        <w:t>C．1500</w:t>
        <w:tab/>
        <w:t>D．3500</w:t>
      </w:r>
    </w:p>
    <w:p>
      <w:pPr>
        <w:pStyle w:val="ListParagraph"/>
        <w:numPr>
          <w:ilvl w:val="0"/>
          <w:numId w:val="40"/>
        </w:numPr>
        <w:tabs>
          <w:tab w:val="left" w:pos="1425"/>
          <w:tab w:val="left" w:pos="9852"/>
          <w:tab w:val="left" w:pos="10485"/>
        </w:tabs>
        <w:spacing w:before="143" w:after="0" w:line="326" w:lineRule="auto"/>
        <w:ind w:left="159" w:right="132" w:firstLine="630"/>
        <w:jc w:val="left"/>
        <w:rPr>
          <w:sz w:val="31"/>
        </w:rPr>
      </w:pPr>
      <w:r>
        <w:rPr>
          <w:sz w:val="31"/>
        </w:rPr>
        <w:t>某企业</w:t>
      </w:r>
      <w:r>
        <w:rPr>
          <w:spacing w:val="-66"/>
          <w:sz w:val="31"/>
        </w:rPr>
        <w:t xml:space="preserve"> </w:t>
      </w:r>
      <w:r>
        <w:rPr>
          <w:sz w:val="31"/>
        </w:rPr>
        <w:t>20×8</w:t>
      </w:r>
      <w:r>
        <w:rPr>
          <w:spacing w:val="-66"/>
          <w:sz w:val="31"/>
        </w:rPr>
        <w:t xml:space="preserve"> </w:t>
      </w:r>
      <w:r>
        <w:rPr>
          <w:sz w:val="31"/>
        </w:rPr>
        <w:t>年</w:t>
      </w:r>
      <w:r>
        <w:rPr>
          <w:spacing w:val="-62"/>
          <w:sz w:val="31"/>
        </w:rPr>
        <w:t xml:space="preserve"> </w:t>
      </w:r>
      <w:r>
        <w:rPr>
          <w:sz w:val="31"/>
        </w:rPr>
        <w:t>5</w:t>
      </w:r>
      <w:r>
        <w:rPr>
          <w:spacing w:val="-66"/>
          <w:sz w:val="31"/>
        </w:rPr>
        <w:t xml:space="preserve"> </w:t>
      </w:r>
      <w:r>
        <w:rPr>
          <w:sz w:val="31"/>
        </w:rPr>
        <w:t>月</w:t>
      </w:r>
      <w:r>
        <w:rPr>
          <w:spacing w:val="-60"/>
          <w:sz w:val="31"/>
        </w:rPr>
        <w:t xml:space="preserve"> </w:t>
      </w:r>
      <w:r>
        <w:rPr>
          <w:sz w:val="31"/>
        </w:rPr>
        <w:t>10</w:t>
      </w:r>
      <w:r>
        <w:rPr>
          <w:spacing w:val="-66"/>
          <w:sz w:val="31"/>
        </w:rPr>
        <w:t xml:space="preserve"> </w:t>
      </w:r>
      <w:r>
        <w:rPr>
          <w:sz w:val="31"/>
        </w:rPr>
        <w:t>日将一张面值为</w:t>
      </w:r>
      <w:r>
        <w:rPr>
          <w:spacing w:val="-74"/>
          <w:sz w:val="31"/>
        </w:rPr>
        <w:t xml:space="preserve"> </w:t>
      </w:r>
      <w:r>
        <w:rPr>
          <w:sz w:val="31"/>
        </w:rPr>
        <w:t>10000</w:t>
      </w:r>
      <w:r>
        <w:rPr>
          <w:spacing w:val="-69"/>
          <w:sz w:val="31"/>
        </w:rPr>
        <w:t xml:space="preserve"> </w:t>
      </w:r>
      <w:r>
        <w:rPr>
          <w:sz w:val="31"/>
        </w:rPr>
        <w:t>元</w:t>
      </w:r>
      <w:r>
        <w:rPr>
          <w:spacing w:val="-144"/>
          <w:sz w:val="31"/>
        </w:rPr>
        <w:t>，</w:t>
      </w:r>
      <w:r>
        <w:rPr>
          <w:sz w:val="31"/>
        </w:rPr>
        <w:t>出票日为</w:t>
      </w:r>
      <w:r>
        <w:rPr>
          <w:spacing w:val="-70"/>
          <w:sz w:val="31"/>
        </w:rPr>
        <w:t xml:space="preserve"> </w:t>
      </w:r>
      <w:r>
        <w:rPr>
          <w:sz w:val="31"/>
        </w:rPr>
        <w:t>20×8</w:t>
      </w:r>
      <w:r>
        <w:rPr>
          <w:spacing w:val="-61"/>
          <w:sz w:val="31"/>
        </w:rPr>
        <w:t xml:space="preserve"> </w:t>
      </w:r>
      <w:r>
        <w:rPr>
          <w:sz w:val="31"/>
        </w:rPr>
        <w:t>年</w:t>
      </w:r>
      <w:r>
        <w:rPr>
          <w:spacing w:val="-66"/>
          <w:sz w:val="31"/>
        </w:rPr>
        <w:t xml:space="preserve"> </w:t>
      </w:r>
      <w:r>
        <w:rPr>
          <w:sz w:val="31"/>
        </w:rPr>
        <w:t>4</w:t>
      </w:r>
      <w:r>
        <w:rPr>
          <w:spacing w:val="-66"/>
          <w:sz w:val="31"/>
        </w:rPr>
        <w:t xml:space="preserve"> </w:t>
      </w:r>
      <w:r>
        <w:rPr>
          <w:sz w:val="31"/>
        </w:rPr>
        <w:t>月</w:t>
      </w:r>
      <w:r>
        <w:rPr>
          <w:spacing w:val="-62"/>
          <w:sz w:val="31"/>
        </w:rPr>
        <w:t xml:space="preserve"> </w:t>
      </w:r>
      <w:r>
        <w:rPr>
          <w:sz w:val="31"/>
        </w:rPr>
        <w:t>20</w:t>
      </w:r>
      <w:r>
        <w:rPr>
          <w:spacing w:val="-64"/>
          <w:sz w:val="31"/>
        </w:rPr>
        <w:t xml:space="preserve"> </w:t>
      </w:r>
      <w:r>
        <w:rPr>
          <w:sz w:val="31"/>
        </w:rPr>
        <w:t>日</w:t>
      </w:r>
      <w:r>
        <w:rPr>
          <w:spacing w:val="-144"/>
          <w:sz w:val="31"/>
        </w:rPr>
        <w:t>，</w:t>
      </w:r>
      <w:r>
        <w:rPr>
          <w:sz w:val="31"/>
        </w:rPr>
        <w:t>票面利率为12%，期限</w:t>
      </w:r>
      <w:r>
        <w:rPr>
          <w:spacing w:val="29"/>
          <w:sz w:val="31"/>
        </w:rPr>
        <w:t xml:space="preserve"> </w:t>
      </w:r>
      <w:r>
        <w:rPr>
          <w:sz w:val="31"/>
        </w:rPr>
        <w:t>30</w:t>
      </w:r>
      <w:r>
        <w:rPr>
          <w:spacing w:val="22"/>
          <w:sz w:val="31"/>
        </w:rPr>
        <w:t xml:space="preserve"> </w:t>
      </w:r>
      <w:r>
        <w:rPr>
          <w:sz w:val="31"/>
        </w:rPr>
        <w:t>天的票据向银行贴现，贴现率</w:t>
      </w:r>
      <w:r>
        <w:rPr>
          <w:spacing w:val="54"/>
          <w:sz w:val="31"/>
        </w:rPr>
        <w:t>为</w:t>
      </w:r>
      <w:r>
        <w:rPr>
          <w:sz w:val="31"/>
        </w:rPr>
        <w:t>18%，则该票据的贴现息</w:t>
      </w:r>
      <w:r>
        <w:rPr>
          <w:spacing w:val="-18"/>
          <w:sz w:val="31"/>
        </w:rPr>
        <w:t>为</w:t>
      </w:r>
      <w:r>
        <w:rPr>
          <w:sz w:val="31"/>
        </w:rPr>
        <w:t>(</w:t>
        <w:tab/>
        <w:t>A</w:t>
        <w:tab/>
      </w:r>
      <w:r>
        <w:rPr>
          <w:spacing w:val="-8"/>
          <w:sz w:val="31"/>
        </w:rPr>
        <w:t>)</w:t>
      </w:r>
      <w:r>
        <w:rPr>
          <w:sz w:val="31"/>
        </w:rPr>
        <w:t>。</w:t>
      </w:r>
    </w:p>
    <w:p>
      <w:pPr>
        <w:pStyle w:val="BodyText"/>
        <w:tabs>
          <w:tab w:val="left" w:pos="4429"/>
          <w:tab w:val="left" w:pos="6946"/>
          <w:tab w:val="left" w:pos="9466"/>
        </w:tabs>
        <w:spacing w:line="397" w:lineRule="exact"/>
        <w:ind w:left="1423"/>
      </w:pPr>
      <w:r>
        <w:t>A．50.5</w:t>
        <w:tab/>
      </w:r>
      <w:r>
        <w:rPr>
          <w:spacing w:val="-4"/>
        </w:rPr>
        <w:t>B．250</w:t>
        <w:tab/>
        <w:t>C．25</w:t>
        <w:tab/>
      </w:r>
      <w:r>
        <w:rPr>
          <w:spacing w:val="-3"/>
        </w:rPr>
        <w:t>D．42.5</w:t>
      </w:r>
    </w:p>
    <w:p>
      <w:pPr>
        <w:pStyle w:val="ListParagraph"/>
        <w:numPr>
          <w:ilvl w:val="0"/>
          <w:numId w:val="40"/>
        </w:numPr>
        <w:tabs>
          <w:tab w:val="left" w:pos="1425"/>
          <w:tab w:val="left" w:pos="6784"/>
          <w:tab w:val="left" w:pos="7418"/>
        </w:tabs>
        <w:spacing w:before="143" w:after="0" w:line="240" w:lineRule="auto"/>
        <w:ind w:left="1424" w:right="0" w:hanging="635"/>
        <w:jc w:val="left"/>
        <w:rPr>
          <w:sz w:val="31"/>
        </w:rPr>
      </w:pPr>
      <w:r>
        <w:rPr>
          <w:sz w:val="31"/>
        </w:rPr>
        <w:t>出租包装物收取的租金应当确认</w:t>
      </w:r>
      <w:r>
        <w:rPr>
          <w:spacing w:val="-25"/>
          <w:sz w:val="31"/>
        </w:rPr>
        <w:t>为</w:t>
      </w:r>
      <w:r>
        <w:rPr>
          <w:sz w:val="31"/>
        </w:rPr>
        <w:t>(</w:t>
        <w:tab/>
        <w:t>B</w:t>
        <w:tab/>
      </w:r>
      <w:r>
        <w:rPr>
          <w:spacing w:val="-11"/>
          <w:sz w:val="31"/>
        </w:rPr>
        <w:t>)</w:t>
      </w:r>
      <w:r>
        <w:rPr>
          <w:sz w:val="31"/>
        </w:rPr>
        <w:t>。</w:t>
      </w:r>
    </w:p>
    <w:p>
      <w:pPr>
        <w:pStyle w:val="BodyText"/>
        <w:tabs>
          <w:tab w:val="left" w:pos="4893"/>
          <w:tab w:val="left" w:pos="8357"/>
          <w:tab w:val="left" w:pos="11666"/>
          <w:tab w:val="left" w:pos="13089"/>
          <w:tab w:val="left" w:pos="13723"/>
        </w:tabs>
        <w:spacing w:before="143" w:line="326" w:lineRule="auto"/>
        <w:ind w:right="729" w:firstLine="633"/>
      </w:pPr>
      <w:r>
        <w:t>A．主营业务收入</w:t>
        <w:tab/>
      </w:r>
      <w:r>
        <w:rPr>
          <w:spacing w:val="-4"/>
        </w:rPr>
        <w:t>B．</w:t>
      </w:r>
      <w:r>
        <w:t>其他业务收入</w:t>
        <w:tab/>
      </w:r>
      <w:r>
        <w:rPr>
          <w:spacing w:val="-4"/>
        </w:rPr>
        <w:t>C．</w:t>
      </w:r>
      <w:r>
        <w:t>营业外收入</w:t>
        <w:tab/>
      </w:r>
      <w:r>
        <w:rPr>
          <w:spacing w:val="-5"/>
        </w:rPr>
        <w:t xml:space="preserve">D． </w:t>
      </w:r>
      <w:r>
        <w:t>投 资 收 益 13．企业对原材料采用计划成本核算，下列各项中应计入“材料采购”账户贷方的</w:t>
      </w:r>
      <w:r>
        <w:rPr>
          <w:spacing w:val="-56"/>
        </w:rPr>
        <w:t>是</w:t>
      </w:r>
      <w:r>
        <w:t>(</w:t>
        <w:tab/>
        <w:t>B</w:t>
        <w:tab/>
      </w:r>
      <w:r>
        <w:rPr>
          <w:spacing w:val="-11"/>
        </w:rPr>
        <w:t>)</w:t>
      </w:r>
      <w:r>
        <w:rPr>
          <w:spacing w:val="-17"/>
        </w:rPr>
        <w:t>。</w:t>
      </w:r>
    </w:p>
    <w:p>
      <w:pPr>
        <w:pStyle w:val="BodyText"/>
        <w:tabs>
          <w:tab w:val="left" w:pos="6319"/>
        </w:tabs>
        <w:ind w:left="1423"/>
      </w:pPr>
      <w:r>
        <w:t>A．原材料的买价</w:t>
        <w:tab/>
      </w:r>
      <w:r>
        <w:rPr>
          <w:spacing w:val="-9"/>
        </w:rPr>
        <w:t>B．</w:t>
      </w:r>
      <w:r>
        <w:t>结转入库材料的成本节约差异</w:t>
      </w:r>
    </w:p>
    <w:p>
      <w:pPr>
        <w:spacing w:after="0"/>
        <w:sectPr>
          <w:headerReference w:type="default" r:id="rId4"/>
          <w:footerReference w:type="default" r:id="rId5"/>
          <w:type w:val="continuous"/>
          <w:pgSz w:w="17860" w:h="25270"/>
          <w:pgMar w:top="1400" w:right="1400" w:bottom="2000" w:left="1540" w:header="1088" w:footer="1816"/>
          <w:cols w:space="708"/>
        </w:sectPr>
      </w:pPr>
    </w:p>
    <w:p>
      <w:pPr>
        <w:pStyle w:val="BodyText"/>
        <w:spacing w:before="2"/>
        <w:ind w:left="0"/>
        <w:rPr>
          <w:sz w:val="8"/>
        </w:rPr>
      </w:pPr>
    </w:p>
    <w:p>
      <w:pPr>
        <w:pStyle w:val="BodyText"/>
        <w:tabs>
          <w:tab w:val="left" w:pos="6312"/>
        </w:tabs>
        <w:spacing w:before="62"/>
        <w:ind w:left="1423"/>
      </w:pPr>
      <w:r>
        <w:t>C．采购材料的运杂费</w:t>
        <w:tab/>
      </w:r>
      <w:r>
        <w:rPr>
          <w:spacing w:val="-6"/>
        </w:rPr>
        <w:t>D．</w:t>
      </w:r>
      <w:r>
        <w:t>结转入库材料的成本超支差异</w:t>
      </w:r>
    </w:p>
    <w:p>
      <w:pPr>
        <w:pStyle w:val="BodyText"/>
        <w:spacing w:before="144"/>
      </w:pPr>
      <w:r>
        <w:t>14.20×7</w:t>
      </w:r>
      <w:r>
        <w:rPr>
          <w:spacing w:val="-41"/>
        </w:rPr>
        <w:t xml:space="preserve"> 年 </w:t>
      </w:r>
      <w:r>
        <w:t>12</w:t>
      </w:r>
      <w:r>
        <w:rPr>
          <w:spacing w:val="-42"/>
        </w:rPr>
        <w:t xml:space="preserve"> 月 </w:t>
      </w:r>
      <w:r>
        <w:t>31</w:t>
      </w:r>
      <w:r>
        <w:rPr>
          <w:spacing w:val="-40"/>
        </w:rPr>
        <w:t xml:space="preserve"> 日 </w:t>
      </w:r>
      <w:r>
        <w:t>B</w:t>
      </w:r>
      <w:r>
        <w:rPr>
          <w:spacing w:val="-15"/>
        </w:rPr>
        <w:t xml:space="preserve"> 存货的账面余额为 </w:t>
      </w:r>
      <w:r>
        <w:t>20000</w:t>
      </w:r>
      <w:r>
        <w:rPr>
          <w:spacing w:val="-15"/>
        </w:rPr>
        <w:t xml:space="preserve"> 元，预计可变现净值 </w:t>
      </w:r>
      <w:r>
        <w:t>19000</w:t>
      </w:r>
      <w:r>
        <w:rPr>
          <w:spacing w:val="-23"/>
        </w:rPr>
        <w:t xml:space="preserve"> 元。</w:t>
      </w:r>
      <w:r>
        <w:t>20×8</w:t>
      </w:r>
      <w:r>
        <w:rPr>
          <w:spacing w:val="-40"/>
        </w:rPr>
        <w:t xml:space="preserve"> 年 </w:t>
      </w:r>
      <w:r>
        <w:t>12</w:t>
      </w:r>
      <w:r>
        <w:rPr>
          <w:spacing w:val="-40"/>
        </w:rPr>
        <w:t xml:space="preserve"> 月 </w:t>
      </w:r>
      <w:r>
        <w:t>31</w:t>
      </w:r>
    </w:p>
    <w:p>
      <w:pPr>
        <w:pStyle w:val="BodyText"/>
        <w:tabs>
          <w:tab w:val="left" w:pos="792"/>
          <w:tab w:val="left" w:pos="1267"/>
        </w:tabs>
        <w:spacing w:before="142" w:line="326" w:lineRule="auto"/>
        <w:ind w:left="159" w:right="313"/>
      </w:pPr>
      <w:r>
        <w:t>日该存货的账面余额为</w:t>
      </w:r>
      <w:r>
        <w:rPr>
          <w:spacing w:val="73"/>
        </w:rPr>
        <w:t xml:space="preserve"> </w:t>
      </w:r>
      <w:r>
        <w:t>20000</w:t>
      </w:r>
      <w:r>
        <w:rPr>
          <w:spacing w:val="42"/>
        </w:rPr>
        <w:t xml:space="preserve"> </w:t>
      </w:r>
      <w:r>
        <w:t>元，预计可变现净值</w:t>
      </w:r>
      <w:r>
        <w:rPr>
          <w:spacing w:val="64"/>
        </w:rPr>
        <w:t xml:space="preserve"> </w:t>
      </w:r>
      <w:r>
        <w:t>22000</w:t>
      </w:r>
      <w:r>
        <w:rPr>
          <w:spacing w:val="50"/>
        </w:rPr>
        <w:t xml:space="preserve"> </w:t>
      </w:r>
      <w:r>
        <w:t>元。则</w:t>
      </w:r>
      <w:r>
        <w:rPr>
          <w:spacing w:val="55"/>
        </w:rPr>
        <w:t xml:space="preserve"> </w:t>
      </w:r>
      <w:r>
        <w:t>20×8</w:t>
      </w:r>
      <w:r>
        <w:rPr>
          <w:spacing w:val="49"/>
        </w:rPr>
        <w:t xml:space="preserve"> </w:t>
      </w:r>
      <w:r>
        <w:t>年末应冲减的存货跌价准备</w:t>
      </w:r>
      <w:r>
        <w:rPr>
          <w:spacing w:val="-17"/>
        </w:rPr>
        <w:t>为</w:t>
      </w:r>
      <w:r>
        <w:t>(</w:t>
        <w:tab/>
        <w:t>A</w:t>
        <w:tab/>
      </w:r>
      <w:r>
        <w:rPr>
          <w:spacing w:val="-3"/>
        </w:rPr>
        <w:t>)</w:t>
      </w:r>
      <w:r>
        <w:t>。</w:t>
      </w:r>
    </w:p>
    <w:p>
      <w:pPr>
        <w:pStyle w:val="BodyText"/>
        <w:tabs>
          <w:tab w:val="left" w:pos="4746"/>
          <w:tab w:val="left" w:pos="7738"/>
          <w:tab w:val="left" w:pos="10572"/>
        </w:tabs>
        <w:spacing w:line="397" w:lineRule="exact"/>
        <w:ind w:left="1423"/>
      </w:pPr>
      <w:r>
        <w:t>A．1000</w:t>
        <w:tab/>
      </w:r>
      <w:r>
        <w:rPr>
          <w:spacing w:val="-3"/>
        </w:rPr>
        <w:t>B．2000</w:t>
        <w:tab/>
        <w:t>C．9000</w:t>
        <w:tab/>
        <w:t>D．3000</w:t>
      </w:r>
    </w:p>
    <w:p>
      <w:pPr>
        <w:pStyle w:val="ListParagraph"/>
        <w:numPr>
          <w:ilvl w:val="0"/>
          <w:numId w:val="39"/>
        </w:numPr>
        <w:tabs>
          <w:tab w:val="left" w:pos="1425"/>
          <w:tab w:val="left" w:pos="7515"/>
          <w:tab w:val="left" w:pos="10723"/>
          <w:tab w:val="left" w:pos="11357"/>
        </w:tabs>
        <w:spacing w:before="143" w:after="0" w:line="326" w:lineRule="auto"/>
        <w:ind w:left="1366" w:right="2761" w:hanging="576"/>
        <w:jc w:val="left"/>
        <w:rPr>
          <w:sz w:val="31"/>
        </w:rPr>
      </w:pPr>
      <w:r>
        <w:rPr>
          <w:sz w:val="31"/>
        </w:rPr>
        <w:t>发出存货采用先进先出法计价，在物价上涨的情况下，会使企</w:t>
      </w:r>
      <w:r>
        <w:rPr>
          <w:spacing w:val="-46"/>
          <w:sz w:val="31"/>
        </w:rPr>
        <w:t>业</w:t>
      </w:r>
      <w:r>
        <w:rPr>
          <w:sz w:val="31"/>
        </w:rPr>
        <w:t>(</w:t>
        <w:tab/>
        <w:t>A</w:t>
        <w:tab/>
      </w:r>
      <w:r>
        <w:rPr>
          <w:spacing w:val="-11"/>
          <w:sz w:val="31"/>
        </w:rPr>
        <w:t>)</w:t>
      </w:r>
      <w:r>
        <w:rPr>
          <w:sz w:val="31"/>
        </w:rPr>
        <w:t>。A．期末库存升高，当期利润增加</w:t>
        <w:tab/>
      </w:r>
      <w:r>
        <w:rPr>
          <w:spacing w:val="-6"/>
          <w:sz w:val="31"/>
        </w:rPr>
        <w:t>B．</w:t>
      </w:r>
      <w:r>
        <w:rPr>
          <w:sz w:val="31"/>
        </w:rPr>
        <w:t>期末库存升高，当期利润减少C．期末库存降低，当期利润增加</w:t>
        <w:tab/>
      </w:r>
      <w:r>
        <w:rPr>
          <w:spacing w:val="-8"/>
          <w:sz w:val="31"/>
        </w:rPr>
        <w:t>D．</w:t>
      </w:r>
      <w:r>
        <w:rPr>
          <w:sz w:val="31"/>
        </w:rPr>
        <w:t>期末库存降低，当期利润减少</w:t>
      </w:r>
    </w:p>
    <w:p>
      <w:pPr>
        <w:pStyle w:val="ListParagraph"/>
        <w:numPr>
          <w:ilvl w:val="0"/>
          <w:numId w:val="39"/>
        </w:numPr>
        <w:tabs>
          <w:tab w:val="left" w:pos="1425"/>
          <w:tab w:val="left" w:pos="7410"/>
          <w:tab w:val="left" w:pos="8200"/>
        </w:tabs>
        <w:spacing w:before="0" w:after="0" w:line="326" w:lineRule="auto"/>
        <w:ind w:left="159" w:right="188" w:firstLine="630"/>
        <w:jc w:val="left"/>
        <w:rPr>
          <w:sz w:val="31"/>
        </w:rPr>
      </w:pPr>
      <w:r>
        <w:rPr>
          <w:sz w:val="31"/>
        </w:rPr>
        <w:t>某公司从上海证券交易所购入一批股票作为交易性金融资产核算和管理，实际支付价款中所含</w:t>
      </w:r>
      <w:r>
        <w:rPr>
          <w:spacing w:val="-17"/>
          <w:sz w:val="31"/>
        </w:rPr>
        <w:t>已</w:t>
      </w:r>
      <w:r>
        <w:rPr>
          <w:sz w:val="31"/>
        </w:rPr>
        <w:t>宣告发放但尚未领取的现金股利的核算账户应为（</w:t>
        <w:tab/>
        <w:t>A</w:t>
        <w:tab/>
      </w:r>
      <w:r>
        <w:rPr>
          <w:spacing w:val="-159"/>
          <w:sz w:val="31"/>
        </w:rPr>
        <w:t>）</w:t>
      </w:r>
      <w:r>
        <w:rPr>
          <w:sz w:val="31"/>
        </w:rPr>
        <w:t>。</w:t>
      </w:r>
    </w:p>
    <w:p>
      <w:pPr>
        <w:pStyle w:val="BodyText"/>
        <w:tabs>
          <w:tab w:val="left" w:pos="4422"/>
          <w:tab w:val="left" w:pos="6154"/>
          <w:tab w:val="left" w:pos="8202"/>
          <w:tab w:val="left" w:pos="11198"/>
        </w:tabs>
        <w:spacing w:line="326" w:lineRule="auto"/>
        <w:ind w:right="1983" w:firstLine="630"/>
      </w:pPr>
      <w:r>
        <w:t>A．应收股利</w:t>
        <w:tab/>
      </w:r>
      <w:r>
        <w:rPr>
          <w:spacing w:val="-4"/>
        </w:rPr>
        <w:t>B．</w:t>
      </w:r>
      <w:r>
        <w:t>交易性金融资产</w:t>
        <w:tab/>
      </w:r>
      <w:r>
        <w:rPr>
          <w:spacing w:val="-4"/>
        </w:rPr>
        <w:t>C．</w:t>
      </w:r>
      <w:r>
        <w:t>投资收益</w:t>
        <w:tab/>
      </w:r>
      <w:r>
        <w:rPr>
          <w:spacing w:val="-4"/>
        </w:rPr>
        <w:t>D．</w:t>
      </w:r>
      <w:r>
        <w:t>财务费</w:t>
      </w:r>
      <w:r>
        <w:rPr>
          <w:spacing w:val="-16"/>
        </w:rPr>
        <w:t>用</w:t>
      </w:r>
      <w:r>
        <w:t>17．交易性金融资产期末计价采</w:t>
      </w:r>
      <w:r>
        <w:rPr>
          <w:spacing w:val="-21"/>
        </w:rPr>
        <w:t>用</w:t>
      </w:r>
      <w:r>
        <w:t>(</w:t>
        <w:tab/>
        <w:t>B</w:t>
      </w:r>
      <w:r>
        <w:rPr>
          <w:spacing w:val="3"/>
        </w:rPr>
        <w:t xml:space="preserve"> </w:t>
      </w:r>
      <w:r>
        <w:rPr>
          <w:spacing w:val="-7"/>
        </w:rPr>
        <w:t>)</w:t>
      </w:r>
      <w:r>
        <w:t>。</w:t>
      </w:r>
    </w:p>
    <w:p>
      <w:pPr>
        <w:pStyle w:val="BodyText"/>
        <w:tabs>
          <w:tab w:val="left" w:pos="6798"/>
        </w:tabs>
        <w:ind w:left="1423"/>
      </w:pPr>
      <w:r>
        <w:t>A．实际成本</w:t>
        <w:tab/>
      </w:r>
      <w:r>
        <w:rPr>
          <w:spacing w:val="-11"/>
        </w:rPr>
        <w:t>B．</w:t>
      </w:r>
      <w:r>
        <w:t>公允价值</w:t>
      </w:r>
    </w:p>
    <w:p>
      <w:pPr>
        <w:pStyle w:val="BodyText"/>
        <w:tabs>
          <w:tab w:val="left" w:pos="6788"/>
        </w:tabs>
        <w:spacing w:before="143"/>
        <w:ind w:left="1423"/>
      </w:pPr>
      <w:r>
        <w:t>C．成本与市价孰低法</w:t>
        <w:tab/>
      </w:r>
      <w:r>
        <w:rPr>
          <w:spacing w:val="-6"/>
        </w:rPr>
        <w:t>D．</w:t>
      </w:r>
      <w:r>
        <w:t>账面价值与可收回金融孰低法</w:t>
      </w:r>
    </w:p>
    <w:p>
      <w:pPr>
        <w:pStyle w:val="ListParagraph"/>
        <w:numPr>
          <w:ilvl w:val="0"/>
          <w:numId w:val="38"/>
        </w:numPr>
        <w:tabs>
          <w:tab w:val="left" w:pos="1424"/>
        </w:tabs>
        <w:spacing w:before="143" w:after="0" w:line="326" w:lineRule="auto"/>
        <w:ind w:left="159" w:right="255" w:firstLine="630"/>
        <w:jc w:val="both"/>
        <w:rPr>
          <w:sz w:val="31"/>
        </w:rPr>
      </w:pPr>
      <w:r>
        <w:rPr>
          <w:sz w:val="31"/>
        </w:rPr>
        <w:t>20×7</w:t>
      </w:r>
      <w:r>
        <w:rPr>
          <w:spacing w:val="-42"/>
          <w:sz w:val="31"/>
        </w:rPr>
        <w:t xml:space="preserve"> 年 </w:t>
      </w:r>
      <w:r>
        <w:rPr>
          <w:sz w:val="31"/>
        </w:rPr>
        <w:t>7</w:t>
      </w:r>
      <w:r>
        <w:rPr>
          <w:spacing w:val="-42"/>
          <w:sz w:val="31"/>
        </w:rPr>
        <w:t xml:space="preserve"> 月 </w:t>
      </w:r>
      <w:r>
        <w:rPr>
          <w:sz w:val="31"/>
        </w:rPr>
        <w:t>1</w:t>
      </w:r>
      <w:r>
        <w:rPr>
          <w:spacing w:val="-31"/>
          <w:sz w:val="31"/>
        </w:rPr>
        <w:t xml:space="preserve"> 日</w:t>
      </w:r>
      <w:r>
        <w:rPr>
          <w:sz w:val="31"/>
        </w:rPr>
        <w:t>，A</w:t>
      </w:r>
      <w:r>
        <w:rPr>
          <w:spacing w:val="-23"/>
          <w:sz w:val="31"/>
        </w:rPr>
        <w:t xml:space="preserve"> 公司以每 </w:t>
      </w:r>
      <w:r>
        <w:rPr>
          <w:sz w:val="31"/>
        </w:rPr>
        <w:t>20×7</w:t>
      </w:r>
      <w:r>
        <w:rPr>
          <w:spacing w:val="-42"/>
          <w:sz w:val="31"/>
        </w:rPr>
        <w:t xml:space="preserve"> 年 </w:t>
      </w:r>
      <w:r>
        <w:rPr>
          <w:sz w:val="31"/>
        </w:rPr>
        <w:t>7</w:t>
      </w:r>
      <w:r>
        <w:rPr>
          <w:spacing w:val="-41"/>
          <w:sz w:val="31"/>
        </w:rPr>
        <w:t xml:space="preserve"> 月 </w:t>
      </w:r>
      <w:r>
        <w:rPr>
          <w:sz w:val="31"/>
        </w:rPr>
        <w:t>1</w:t>
      </w:r>
      <w:r>
        <w:rPr>
          <w:spacing w:val="-32"/>
          <w:sz w:val="31"/>
        </w:rPr>
        <w:t xml:space="preserve"> 日张 </w:t>
      </w:r>
      <w:r>
        <w:rPr>
          <w:sz w:val="31"/>
        </w:rPr>
        <w:t>900</w:t>
      </w:r>
      <w:r>
        <w:rPr>
          <w:spacing w:val="1"/>
          <w:sz w:val="31"/>
        </w:rPr>
        <w:t xml:space="preserve"> 元的价格购入</w:t>
      </w:r>
      <w:r>
        <w:rPr>
          <w:sz w:val="31"/>
        </w:rPr>
        <w:t>B</w:t>
      </w:r>
      <w:r>
        <w:rPr>
          <w:spacing w:val="-32"/>
          <w:sz w:val="31"/>
        </w:rPr>
        <w:t xml:space="preserve"> 公司 </w:t>
      </w:r>
      <w:r>
        <w:rPr>
          <w:sz w:val="31"/>
        </w:rPr>
        <w:t>20×7</w:t>
      </w:r>
      <w:r>
        <w:rPr>
          <w:spacing w:val="-42"/>
          <w:sz w:val="31"/>
        </w:rPr>
        <w:t xml:space="preserve"> 年 </w:t>
      </w:r>
      <w:r>
        <w:rPr>
          <w:sz w:val="31"/>
        </w:rPr>
        <w:t>7</w:t>
      </w:r>
      <w:r>
        <w:rPr>
          <w:spacing w:val="-42"/>
          <w:sz w:val="31"/>
        </w:rPr>
        <w:t xml:space="preserve"> 月 </w:t>
      </w:r>
      <w:r>
        <w:rPr>
          <w:sz w:val="31"/>
        </w:rPr>
        <w:t>1</w:t>
      </w:r>
      <w:r>
        <w:rPr>
          <w:spacing w:val="-31"/>
          <w:sz w:val="31"/>
        </w:rPr>
        <w:t xml:space="preserve"> 日发行的面值 </w:t>
      </w:r>
      <w:r>
        <w:rPr>
          <w:sz w:val="31"/>
        </w:rPr>
        <w:t>1000</w:t>
      </w:r>
      <w:r>
        <w:rPr>
          <w:spacing w:val="-10"/>
          <w:sz w:val="31"/>
        </w:rPr>
        <w:t xml:space="preserve"> 元、票面利率 </w:t>
      </w:r>
      <w:r>
        <w:rPr>
          <w:sz w:val="31"/>
        </w:rPr>
        <w:t>3</w:t>
      </w:r>
      <w:r>
        <w:rPr>
          <w:spacing w:val="-4"/>
          <w:sz w:val="31"/>
        </w:rPr>
        <w:t>%、</w:t>
      </w:r>
      <w:r>
        <w:rPr>
          <w:sz w:val="31"/>
        </w:rPr>
        <w:t>3</w:t>
      </w:r>
      <w:r>
        <w:rPr>
          <w:spacing w:val="-2"/>
          <w:sz w:val="31"/>
        </w:rPr>
        <w:t xml:space="preserve"> 年期、到期一次还本付息的债券</w:t>
      </w:r>
      <w:r>
        <w:rPr>
          <w:sz w:val="31"/>
        </w:rPr>
        <w:t>50</w:t>
      </w:r>
      <w:r>
        <w:rPr>
          <w:spacing w:val="-6"/>
          <w:sz w:val="31"/>
        </w:rPr>
        <w:t xml:space="preserve"> 张，计划持有至到期。该项债券</w:t>
      </w:r>
      <w:r>
        <w:rPr>
          <w:spacing w:val="-2"/>
          <w:sz w:val="31"/>
        </w:rPr>
        <w:t xml:space="preserve">投资的折价金额应为( </w:t>
      </w:r>
      <w:r>
        <w:rPr>
          <w:sz w:val="31"/>
        </w:rPr>
        <w:t>C )元。</w:t>
      </w:r>
    </w:p>
    <w:p>
      <w:pPr>
        <w:pStyle w:val="BodyText"/>
        <w:tabs>
          <w:tab w:val="left" w:pos="4429"/>
          <w:tab w:val="left" w:pos="7421"/>
          <w:tab w:val="left" w:pos="10254"/>
        </w:tabs>
        <w:spacing w:line="397" w:lineRule="exact"/>
        <w:ind w:left="1423"/>
        <w:jc w:val="both"/>
      </w:pPr>
      <w:r>
        <w:t>A．5000</w:t>
        <w:tab/>
      </w:r>
      <w:r>
        <w:rPr>
          <w:spacing w:val="-3"/>
        </w:rPr>
        <w:t>B．5600</w:t>
        <w:tab/>
      </w:r>
      <w:r>
        <w:rPr>
          <w:spacing w:val="-4"/>
        </w:rPr>
        <w:t>C．5750</w:t>
        <w:tab/>
      </w:r>
      <w:r>
        <w:rPr>
          <w:spacing w:val="-3"/>
        </w:rPr>
        <w:t>D．4400</w:t>
      </w:r>
    </w:p>
    <w:p>
      <w:pPr>
        <w:pStyle w:val="ListParagraph"/>
        <w:numPr>
          <w:ilvl w:val="0"/>
          <w:numId w:val="38"/>
        </w:numPr>
        <w:tabs>
          <w:tab w:val="left" w:pos="1425"/>
          <w:tab w:val="left" w:pos="8833"/>
          <w:tab w:val="left" w:pos="9308"/>
        </w:tabs>
        <w:spacing w:before="142" w:after="0" w:line="326" w:lineRule="auto"/>
        <w:ind w:left="1423" w:right="4152" w:hanging="634"/>
        <w:jc w:val="left"/>
        <w:rPr>
          <w:sz w:val="31"/>
        </w:rPr>
      </w:pPr>
      <w:r>
        <w:rPr>
          <w:sz w:val="31"/>
        </w:rPr>
        <w:t>下列有关金融资产初始计量的表述中，不正确的</w:t>
      </w:r>
      <w:r>
        <w:rPr>
          <w:spacing w:val="-35"/>
          <w:sz w:val="31"/>
        </w:rPr>
        <w:t>是</w:t>
      </w:r>
      <w:r>
        <w:rPr>
          <w:sz w:val="31"/>
        </w:rPr>
        <w:t>(</w:t>
        <w:tab/>
        <w:t>D</w:t>
        <w:tab/>
      </w:r>
      <w:r>
        <w:rPr>
          <w:spacing w:val="-7"/>
          <w:sz w:val="31"/>
        </w:rPr>
        <w:t xml:space="preserve">) </w:t>
      </w:r>
      <w:r>
        <w:rPr>
          <w:sz w:val="31"/>
        </w:rPr>
        <w:t>。   A．交易性金融资产初始计量为公允价值，交易税费计入当期损益 B．可供出售金融资产初始计量为公允价值，交易税费计入初始成</w:t>
      </w:r>
      <w:r>
        <w:rPr>
          <w:spacing w:val="-18"/>
          <w:sz w:val="31"/>
        </w:rPr>
        <w:t>本</w:t>
      </w:r>
      <w:r>
        <w:rPr>
          <w:sz w:val="31"/>
        </w:rPr>
        <w:t>C．持有至到期投资初始计量为公允价值，交易税费计入初始成本 D．可供出售金融资产初始计量为公允价值，交易税费计入当期损</w:t>
      </w:r>
      <w:r>
        <w:rPr>
          <w:spacing w:val="-18"/>
          <w:sz w:val="31"/>
        </w:rPr>
        <w:t>益</w:t>
      </w:r>
    </w:p>
    <w:p>
      <w:pPr>
        <w:pStyle w:val="ListParagraph"/>
        <w:numPr>
          <w:ilvl w:val="0"/>
          <w:numId w:val="38"/>
        </w:numPr>
        <w:tabs>
          <w:tab w:val="left" w:pos="1425"/>
          <w:tab w:val="left" w:pos="5524"/>
          <w:tab w:val="left" w:pos="5999"/>
        </w:tabs>
        <w:spacing w:before="0" w:after="0" w:line="326" w:lineRule="auto"/>
        <w:ind w:left="159" w:right="188" w:firstLine="630"/>
        <w:jc w:val="left"/>
        <w:rPr>
          <w:sz w:val="31"/>
        </w:rPr>
      </w:pPr>
      <w:r>
        <w:rPr>
          <w:sz w:val="31"/>
        </w:rPr>
        <w:t>若将持有至到期投资重分类为可供出售金融资产，在重分类日，对持有至到期投资账面价值与</w:t>
      </w:r>
      <w:r>
        <w:rPr>
          <w:spacing w:val="-17"/>
          <w:sz w:val="31"/>
        </w:rPr>
        <w:t>公</w:t>
      </w:r>
      <w:r>
        <w:rPr>
          <w:sz w:val="31"/>
        </w:rPr>
        <w:t>允价值的差额，正确的处理方法</w:t>
      </w:r>
      <w:r>
        <w:rPr>
          <w:spacing w:val="-21"/>
          <w:sz w:val="31"/>
        </w:rPr>
        <w:t>是</w:t>
      </w:r>
      <w:r>
        <w:rPr>
          <w:sz w:val="31"/>
        </w:rPr>
        <w:t>(</w:t>
        <w:tab/>
        <w:t>A</w:t>
        <w:tab/>
      </w:r>
      <w:r>
        <w:rPr>
          <w:spacing w:val="-8"/>
          <w:sz w:val="31"/>
        </w:rPr>
        <w:t>)</w:t>
      </w:r>
      <w:r>
        <w:rPr>
          <w:sz w:val="31"/>
        </w:rPr>
        <w:t>。</w:t>
      </w:r>
    </w:p>
    <w:p>
      <w:pPr>
        <w:pStyle w:val="BodyText"/>
        <w:tabs>
          <w:tab w:val="left" w:pos="7727"/>
        </w:tabs>
        <w:spacing w:line="326" w:lineRule="auto"/>
        <w:ind w:left="1423" w:right="2603"/>
      </w:pPr>
      <w:r>
        <w:t>A．计入资本公积</w:t>
        <w:tab/>
      </w:r>
      <w:r>
        <w:rPr>
          <w:spacing w:val="-13"/>
        </w:rPr>
        <w:t>B．</w:t>
      </w:r>
      <w:r>
        <w:t>调整投资收益            C．作为公允价值变动损益计入当期利润</w:t>
        <w:tab/>
      </w:r>
      <w:r>
        <w:rPr>
          <w:spacing w:val="-4"/>
        </w:rPr>
        <w:t>D．</w:t>
      </w:r>
      <w:r>
        <w:t>调整持有至到期投资减值准</w:t>
      </w:r>
      <w:r>
        <w:rPr>
          <w:spacing w:val="-17"/>
        </w:rPr>
        <w:t>备</w:t>
      </w:r>
    </w:p>
    <w:p>
      <w:pPr>
        <w:pStyle w:val="BodyText"/>
        <w:tabs>
          <w:tab w:val="left" w:pos="4425"/>
          <w:tab w:val="left" w:pos="7573"/>
          <w:tab w:val="left" w:pos="10882"/>
          <w:tab w:val="left" w:pos="11972"/>
          <w:tab w:val="left" w:pos="12448"/>
        </w:tabs>
        <w:spacing w:line="326" w:lineRule="auto"/>
        <w:ind w:left="1423" w:right="1998" w:hanging="634"/>
      </w:pPr>
      <w:r>
        <w:t>21．20×7</w:t>
      </w:r>
      <w:r>
        <w:rPr>
          <w:spacing w:val="-45"/>
        </w:rPr>
        <w:t xml:space="preserve"> </w:t>
      </w:r>
      <w:r>
        <w:t>年初，A</w:t>
      </w:r>
      <w:r>
        <w:rPr>
          <w:spacing w:val="-45"/>
        </w:rPr>
        <w:t xml:space="preserve"> </w:t>
      </w:r>
      <w:r>
        <w:t>公司取</w:t>
      </w:r>
      <w:r>
        <w:rPr>
          <w:spacing w:val="72"/>
        </w:rPr>
        <w:t>得</w:t>
      </w:r>
      <w:r>
        <w:t>B</w:t>
      </w:r>
      <w:r>
        <w:rPr>
          <w:spacing w:val="-40"/>
        </w:rPr>
        <w:t xml:space="preserve"> </w:t>
      </w:r>
      <w:r>
        <w:t>公司有表决权的股份</w:t>
      </w:r>
      <w:r>
        <w:rPr>
          <w:spacing w:val="-68"/>
        </w:rPr>
        <w:t xml:space="preserve"> </w:t>
      </w:r>
      <w:r>
        <w:t>21%，B</w:t>
      </w:r>
      <w:r>
        <w:rPr>
          <w:spacing w:val="-39"/>
        </w:rPr>
        <w:t xml:space="preserve"> </w:t>
      </w:r>
      <w:r>
        <w:t>公司成</w:t>
      </w:r>
      <w:r>
        <w:rPr>
          <w:spacing w:val="72"/>
        </w:rPr>
        <w:t>为</w:t>
      </w:r>
      <w:r>
        <w:t>A</w:t>
      </w:r>
      <w:r>
        <w:rPr>
          <w:spacing w:val="-45"/>
        </w:rPr>
        <w:t xml:space="preserve"> </w:t>
      </w:r>
      <w:r>
        <w:t>公司</w:t>
      </w:r>
      <w:r>
        <w:rPr>
          <w:spacing w:val="-7"/>
        </w:rPr>
        <w:t>的</w:t>
      </w:r>
      <w:r>
        <w:t>(</w:t>
        <w:tab/>
        <w:t>A</w:t>
        <w:tab/>
      </w:r>
      <w:r>
        <w:rPr>
          <w:spacing w:val="-3"/>
        </w:rPr>
        <w:t>)</w:t>
      </w:r>
      <w:r>
        <w:rPr>
          <w:spacing w:val="-19"/>
        </w:rPr>
        <w:t>。</w:t>
      </w:r>
      <w:r>
        <w:t>A．子公司</w:t>
        <w:tab/>
      </w:r>
      <w:r>
        <w:rPr>
          <w:spacing w:val="-7"/>
        </w:rPr>
        <w:t>B．</w:t>
      </w:r>
      <w:r>
        <w:t>合营公司</w:t>
        <w:tab/>
      </w:r>
      <w:r>
        <w:rPr>
          <w:spacing w:val="-6"/>
        </w:rPr>
        <w:t>C．</w:t>
      </w:r>
      <w:r>
        <w:t>联营公司</w:t>
        <w:tab/>
      </w:r>
      <w:r>
        <w:rPr>
          <w:spacing w:val="-6"/>
        </w:rPr>
        <w:t>D．</w:t>
      </w:r>
      <w:r>
        <w:t>投资公司</w:t>
      </w:r>
    </w:p>
    <w:p>
      <w:pPr>
        <w:pStyle w:val="ListParagraph"/>
        <w:numPr>
          <w:ilvl w:val="0"/>
          <w:numId w:val="37"/>
        </w:numPr>
        <w:tabs>
          <w:tab w:val="left" w:pos="1425"/>
          <w:tab w:val="left" w:pos="8199"/>
          <w:tab w:val="left" w:pos="8674"/>
        </w:tabs>
        <w:spacing w:before="0" w:after="0" w:line="240" w:lineRule="auto"/>
        <w:ind w:left="1424" w:right="0" w:hanging="635"/>
        <w:jc w:val="left"/>
        <w:rPr>
          <w:sz w:val="31"/>
        </w:rPr>
      </w:pPr>
      <w:r>
        <w:rPr>
          <w:sz w:val="31"/>
        </w:rPr>
        <w:t>下列情况下的长期投资应采用成本法核算的</w:t>
      </w:r>
      <w:r>
        <w:rPr>
          <w:spacing w:val="-36"/>
          <w:sz w:val="31"/>
        </w:rPr>
        <w:t>是</w:t>
      </w:r>
      <w:r>
        <w:rPr>
          <w:sz w:val="31"/>
        </w:rPr>
        <w:t>(</w:t>
        <w:tab/>
        <w:t>A</w:t>
        <w:tab/>
      </w:r>
      <w:r>
        <w:rPr>
          <w:spacing w:val="-7"/>
          <w:sz w:val="31"/>
        </w:rPr>
        <w:t>)</w:t>
      </w:r>
      <w:r>
        <w:rPr>
          <w:sz w:val="31"/>
        </w:rPr>
        <w:t>。</w:t>
      </w:r>
    </w:p>
    <w:p>
      <w:pPr>
        <w:pStyle w:val="BodyText"/>
        <w:tabs>
          <w:tab w:val="left" w:pos="6243"/>
        </w:tabs>
        <w:spacing w:before="143"/>
        <w:ind w:left="1423"/>
      </w:pPr>
      <w:r>
        <w:t>A．持股比例</w:t>
      </w:r>
      <w:r>
        <w:rPr>
          <w:spacing w:val="-72"/>
        </w:rPr>
        <w:t xml:space="preserve"> </w:t>
      </w:r>
      <w:r>
        <w:t>10%</w:t>
        <w:tab/>
      </w:r>
      <w:r>
        <w:rPr>
          <w:spacing w:val="-11"/>
        </w:rPr>
        <w:t>B．</w:t>
      </w:r>
      <w:r>
        <w:t>持股比例</w:t>
      </w:r>
      <w:r>
        <w:rPr>
          <w:spacing w:val="-79"/>
        </w:rPr>
        <w:t xml:space="preserve"> </w:t>
      </w:r>
      <w:r>
        <w:t>18%，并向被投资方派出管理人员</w:t>
      </w:r>
    </w:p>
    <w:p>
      <w:pPr>
        <w:pStyle w:val="BodyText"/>
        <w:tabs>
          <w:tab w:val="left" w:pos="6243"/>
        </w:tabs>
        <w:spacing w:before="143" w:line="326" w:lineRule="auto"/>
        <w:ind w:right="188" w:firstLine="633"/>
      </w:pPr>
      <w:r>
        <w:t>C．持股比例</w:t>
      </w:r>
      <w:r>
        <w:rPr>
          <w:spacing w:val="-72"/>
        </w:rPr>
        <w:t xml:space="preserve"> </w:t>
      </w:r>
      <w:r>
        <w:t>40%</w:t>
        <w:tab/>
      </w:r>
      <w:r>
        <w:rPr>
          <w:spacing w:val="-11"/>
        </w:rPr>
        <w:t>D．</w:t>
      </w:r>
      <w:r>
        <w:t>投资合约规定投资各方共同控制补投资企业          23．长期股权投资采用权益法核算时，初始投资成本小于投资时应享有被投资单位可辨认净资产公</w:t>
      </w:r>
      <w:r>
        <w:rPr>
          <w:spacing w:val="-18"/>
        </w:rPr>
        <w:t>允</w:t>
      </w:r>
    </w:p>
    <w:p>
      <w:pPr>
        <w:pStyle w:val="BodyText"/>
        <w:tabs>
          <w:tab w:val="left" w:pos="6956"/>
          <w:tab w:val="left" w:leader="hyphen" w:pos="9298"/>
          <w:tab w:val="left" w:pos="11979"/>
          <w:tab w:val="left" w:pos="12455"/>
        </w:tabs>
        <w:spacing w:line="326" w:lineRule="auto"/>
        <w:ind w:left="1423" w:right="1993" w:hanging="1265"/>
      </w:pPr>
      <w:r>
        <w:t>价值份额的，应按其差额，借记“长期股权投</w:t>
      </w:r>
      <w:r>
        <w:rPr>
          <w:spacing w:val="-31"/>
        </w:rPr>
        <w:t>资</w:t>
      </w:r>
      <w:r>
        <w:t>----成本”账户，贷记的账户应</w:t>
      </w:r>
      <w:r>
        <w:rPr>
          <w:spacing w:val="-22"/>
        </w:rPr>
        <w:t>为</w:t>
      </w:r>
      <w:r>
        <w:t>(</w:t>
        <w:tab/>
        <w:t>D</w:t>
        <w:tab/>
      </w:r>
      <w:r>
        <w:rPr>
          <w:spacing w:val="-7"/>
        </w:rPr>
        <w:t>)</w:t>
      </w:r>
      <w:r>
        <w:rPr>
          <w:spacing w:val="-17"/>
        </w:rPr>
        <w:t>。</w:t>
      </w:r>
      <w:r>
        <w:t>A．投资收益</w:t>
        <w:tab/>
      </w:r>
      <w:r>
        <w:rPr>
          <w:spacing w:val="-13"/>
        </w:rPr>
        <w:t>B．</w:t>
      </w:r>
      <w:r>
        <w:t>资本公积</w:t>
        <w:tab/>
        <w:t>其他资本公积</w:t>
      </w:r>
    </w:p>
    <w:p>
      <w:pPr>
        <w:pStyle w:val="BodyText"/>
        <w:tabs>
          <w:tab w:val="left" w:pos="6939"/>
        </w:tabs>
        <w:spacing w:line="326" w:lineRule="auto"/>
        <w:ind w:right="188" w:firstLine="633"/>
      </w:pPr>
      <w:r>
        <w:t>C．长期股权投</w:t>
      </w:r>
      <w:r>
        <w:rPr>
          <w:spacing w:val="-11"/>
        </w:rPr>
        <w:t>资</w:t>
      </w:r>
      <w:r>
        <w:t>----其他权益变动</w:t>
        <w:tab/>
      </w:r>
      <w:r>
        <w:rPr>
          <w:spacing w:val="-4"/>
        </w:rPr>
        <w:t>D．</w:t>
      </w:r>
      <w:r>
        <w:t>营业外收入                                  24．出售采用权益法核算的长期股权投资时，应按出售该项投资的投资成本比例结转原计入资本公</w:t>
      </w:r>
      <w:r>
        <w:rPr>
          <w:spacing w:val="-18"/>
        </w:rPr>
        <w:t>积</w:t>
      </w:r>
    </w:p>
    <w:p>
      <w:pPr>
        <w:pStyle w:val="BodyText"/>
        <w:tabs>
          <w:tab w:val="left" w:pos="4263"/>
        </w:tabs>
        <w:spacing w:line="397" w:lineRule="exact"/>
        <w:ind w:left="159"/>
      </w:pPr>
      <w:r>
        <w:t>的金额，转入的项目</w:t>
      </w:r>
      <w:r>
        <w:rPr>
          <w:spacing w:val="-14"/>
        </w:rPr>
        <w:t>是</w:t>
      </w:r>
      <w:r>
        <w:t>(</w:t>
      </w:r>
      <w:r>
        <w:rPr>
          <w:spacing w:val="36"/>
        </w:rPr>
        <w:t xml:space="preserve"> </w:t>
      </w:r>
      <w:r>
        <w:t>B</w:t>
        <w:tab/>
      </w:r>
      <w:r>
        <w:rPr>
          <w:spacing w:val="-7"/>
        </w:rPr>
        <w:t>)</w:t>
      </w:r>
      <w:r>
        <w:t>。</w:t>
      </w:r>
    </w:p>
    <w:p>
      <w:pPr>
        <w:pStyle w:val="BodyText"/>
        <w:tabs>
          <w:tab w:val="left" w:pos="7105"/>
          <w:tab w:val="left" w:pos="7421"/>
          <w:tab w:val="left" w:leader="hyphen" w:pos="9456"/>
        </w:tabs>
        <w:spacing w:before="142" w:line="326" w:lineRule="auto"/>
        <w:ind w:left="1423" w:right="3560"/>
        <w:sectPr>
          <w:headerReference w:type="default" r:id="rId6"/>
          <w:footerReference w:type="default" r:id="rId7"/>
          <w:pgSz w:w="17860" w:h="25270"/>
          <w:pgMar w:top="1400" w:right="1400" w:bottom="2040" w:left="1540" w:header="1088" w:footer="1816"/>
          <w:pgNumType w:start="2"/>
          <w:cols w:space="708"/>
        </w:sectPr>
      </w:pPr>
      <w:r>
        <w:t>A．资本公</w:t>
      </w:r>
      <w:r>
        <w:rPr>
          <w:spacing w:val="-8"/>
        </w:rPr>
        <w:t>积</w:t>
      </w:r>
      <w:r>
        <w:t>----资本溢价</w:t>
        <w:tab/>
        <w:tab/>
      </w:r>
      <w:r>
        <w:rPr>
          <w:spacing w:val="-8"/>
        </w:rPr>
        <w:t>B．</w:t>
      </w:r>
      <w:r>
        <w:t>投资收益</w:t>
      </w:r>
      <w:r>
        <w:t xml:space="preserve"> </w:t>
      </w:r>
      <w:r>
        <w:t xml:space="preserve"> </w:t>
      </w:r>
      <w:r>
        <w:t xml:space="preserve"> </w:t>
      </w:r>
      <w:r>
        <w:t xml:space="preserve"> </w:t>
      </w:r>
      <w:r>
        <w:t xml:space="preserve"> </w:t>
      </w:r>
      <w:r>
        <w:t xml:space="preserve"> </w:t>
      </w:r>
      <w:r>
        <w:t xml:space="preserve"> </w:t>
      </w:r>
      <w:r>
        <w:t xml:space="preserve"> </w:t>
      </w:r>
      <w:r>
        <w:t xml:space="preserve"> </w:t>
      </w:r>
      <w:r>
        <w:t xml:space="preserve"> </w:t>
      </w:r>
      <w:r>
        <w:t xml:space="preserve"> </w:t>
      </w:r>
    </w:p>
    <w:p>
      <w:pPr>
        <w:pStyle w:val="BodyText"/>
        <w:tabs>
          <w:tab w:val="left" w:pos="7105"/>
          <w:tab w:val="left" w:pos="7421"/>
          <w:tab w:val="left" w:leader="hyphen" w:pos="9456"/>
        </w:tabs>
        <w:spacing w:before="142" w:line="326" w:lineRule="auto"/>
        <w:ind w:left="1423" w:right="3560"/>
      </w:pPr>
      <w:r>
        <w:t xml:space="preserve"> C．长期股权投</w:t>
      </w:r>
      <w:r>
        <w:rPr>
          <w:spacing w:val="-11"/>
        </w:rPr>
        <w:t>资</w:t>
      </w:r>
      <w:r>
        <w:t>----成本</w:t>
        <w:tab/>
      </w:r>
      <w:r>
        <w:rPr>
          <w:spacing w:val="-8"/>
        </w:rPr>
        <w:t>D．</w:t>
      </w:r>
      <w:r>
        <w:t>资本公积</w:t>
        <w:tab/>
        <w:t>其他资本公</w:t>
      </w:r>
      <w:r>
        <w:rPr>
          <w:spacing w:val="-18"/>
        </w:rPr>
        <w:t>积</w:t>
      </w:r>
    </w:p>
    <w:p>
      <w:pPr>
        <w:spacing w:after="0" w:line="326" w:lineRule="auto"/>
        <w:sectPr>
          <w:headerReference w:type="default" r:id="rId8"/>
          <w:footerReference w:type="default" r:id="rId9"/>
          <w:type w:val="nextPage"/>
          <w:pgSz w:w="17860" w:h="25270"/>
          <w:pgMar w:top="1400" w:right="1400" w:bottom="2040" w:left="1540" w:header="1088" w:footer="1816"/>
          <w:pgNumType w:start="3"/>
          <w:cols w:space="708"/>
          <w:titlePg w:val="0"/>
        </w:sectPr>
      </w:pPr>
    </w:p>
    <w:p>
      <w:pPr>
        <w:pStyle w:val="BodyText"/>
        <w:spacing w:before="2"/>
        <w:ind w:left="0"/>
        <w:rPr>
          <w:sz w:val="8"/>
        </w:rPr>
      </w:pPr>
    </w:p>
    <w:p>
      <w:pPr>
        <w:pStyle w:val="ListParagraph"/>
        <w:numPr>
          <w:ilvl w:val="0"/>
          <w:numId w:val="36"/>
        </w:numPr>
        <w:tabs>
          <w:tab w:val="left" w:pos="1425"/>
          <w:tab w:val="left" w:pos="2057"/>
        </w:tabs>
        <w:spacing w:before="62" w:after="0" w:line="326" w:lineRule="auto"/>
        <w:ind w:left="159" w:right="188" w:firstLine="630"/>
        <w:jc w:val="left"/>
        <w:rPr>
          <w:sz w:val="31"/>
        </w:rPr>
      </w:pPr>
      <w:r>
        <w:rPr>
          <w:sz w:val="31"/>
        </w:rPr>
        <w:t>长期股权投资采用权益法核算，被投资企业宣告分配现金股利时，投资企业对应收金额的正确</w:t>
      </w:r>
      <w:r>
        <w:rPr>
          <w:spacing w:val="-17"/>
          <w:sz w:val="31"/>
        </w:rPr>
        <w:t>处</w:t>
      </w:r>
      <w:r>
        <w:rPr>
          <w:sz w:val="31"/>
        </w:rPr>
        <w:t>理方法</w:t>
      </w:r>
      <w:r>
        <w:rPr>
          <w:spacing w:val="-3"/>
          <w:sz w:val="31"/>
        </w:rPr>
        <w:t>是</w:t>
      </w:r>
      <w:r>
        <w:rPr>
          <w:sz w:val="31"/>
        </w:rPr>
        <w:t>(</w:t>
        <w:tab/>
        <w:t>A</w:t>
      </w:r>
      <w:r>
        <w:rPr>
          <w:spacing w:val="3"/>
          <w:sz w:val="31"/>
        </w:rPr>
        <w:t xml:space="preserve"> </w:t>
      </w:r>
      <w:r>
        <w:rPr>
          <w:spacing w:val="-8"/>
          <w:sz w:val="31"/>
        </w:rPr>
        <w:t>)</w:t>
      </w:r>
      <w:r>
        <w:rPr>
          <w:sz w:val="31"/>
        </w:rPr>
        <w:t>。</w:t>
      </w:r>
    </w:p>
    <w:p>
      <w:pPr>
        <w:pStyle w:val="ListParagraph"/>
        <w:numPr>
          <w:ilvl w:val="1"/>
          <w:numId w:val="36"/>
        </w:numPr>
        <w:tabs>
          <w:tab w:val="left" w:pos="1896"/>
          <w:tab w:val="left" w:pos="7572"/>
          <w:tab w:val="left" w:leader="hyphen" w:pos="11188"/>
        </w:tabs>
        <w:spacing w:before="0" w:after="0" w:line="326" w:lineRule="auto"/>
        <w:ind w:left="1423" w:right="3095" w:firstLine="0"/>
        <w:jc w:val="left"/>
        <w:rPr>
          <w:sz w:val="31"/>
        </w:rPr>
      </w:pPr>
      <w:r>
        <w:rPr>
          <w:sz w:val="31"/>
        </w:rPr>
        <w:t>减少长期股权投</w:t>
      </w:r>
      <w:r>
        <w:rPr>
          <w:spacing w:val="-18"/>
          <w:sz w:val="31"/>
        </w:rPr>
        <w:t>资</w:t>
      </w:r>
      <w:r>
        <w:rPr>
          <w:sz w:val="31"/>
        </w:rPr>
        <w:t>----损益调整</w:t>
        <w:tab/>
      </w:r>
      <w:r>
        <w:rPr>
          <w:spacing w:val="-6"/>
          <w:sz w:val="31"/>
        </w:rPr>
        <w:t>B．</w:t>
      </w:r>
      <w:r>
        <w:rPr>
          <w:sz w:val="31"/>
        </w:rPr>
        <w:t>增加投资收益          C．减少应收股利</w:t>
        <w:tab/>
      </w:r>
      <w:r>
        <w:rPr>
          <w:spacing w:val="-13"/>
          <w:sz w:val="31"/>
        </w:rPr>
        <w:t>D．</w:t>
      </w:r>
      <w:r>
        <w:rPr>
          <w:sz w:val="31"/>
        </w:rPr>
        <w:t>减少长期股权投资</w:t>
        <w:tab/>
        <w:t>成</w:t>
      </w:r>
      <w:r>
        <w:rPr>
          <w:spacing w:val="-17"/>
          <w:sz w:val="31"/>
        </w:rPr>
        <w:t>本</w:t>
      </w:r>
    </w:p>
    <w:p>
      <w:pPr>
        <w:pStyle w:val="ListParagraph"/>
        <w:numPr>
          <w:ilvl w:val="0"/>
          <w:numId w:val="36"/>
        </w:numPr>
        <w:tabs>
          <w:tab w:val="left" w:pos="1425"/>
          <w:tab w:val="left" w:pos="8516"/>
        </w:tabs>
        <w:spacing w:before="0" w:after="0" w:line="326" w:lineRule="auto"/>
        <w:ind w:left="159" w:right="290" w:firstLine="630"/>
        <w:jc w:val="left"/>
        <w:rPr>
          <w:sz w:val="31"/>
        </w:rPr>
      </w:pPr>
      <w:r>
        <w:rPr>
          <w:sz w:val="31"/>
        </w:rPr>
        <w:t>一项固定资产以</w:t>
      </w:r>
      <w:r>
        <w:rPr>
          <w:spacing w:val="21"/>
          <w:sz w:val="31"/>
        </w:rPr>
        <w:t xml:space="preserve"> </w:t>
      </w:r>
      <w:r>
        <w:rPr>
          <w:sz w:val="31"/>
        </w:rPr>
        <w:t>20000</w:t>
      </w:r>
      <w:r>
        <w:rPr>
          <w:spacing w:val="27"/>
          <w:sz w:val="31"/>
        </w:rPr>
        <w:t xml:space="preserve"> </w:t>
      </w:r>
      <w:r>
        <w:rPr>
          <w:sz w:val="31"/>
        </w:rPr>
        <w:t>元价格转让出售，该固定资产已提折</w:t>
      </w:r>
      <w:r>
        <w:rPr>
          <w:spacing w:val="15"/>
          <w:sz w:val="31"/>
        </w:rPr>
        <w:t>旧</w:t>
      </w:r>
      <w:r>
        <w:rPr>
          <w:sz w:val="31"/>
        </w:rPr>
        <w:t>25000</w:t>
      </w:r>
      <w:r>
        <w:rPr>
          <w:spacing w:val="28"/>
          <w:sz w:val="31"/>
        </w:rPr>
        <w:t xml:space="preserve"> </w:t>
      </w:r>
      <w:r>
        <w:rPr>
          <w:sz w:val="31"/>
        </w:rPr>
        <w:t>元</w:t>
      </w:r>
      <w:r>
        <w:rPr>
          <w:spacing w:val="-44"/>
          <w:sz w:val="31"/>
        </w:rPr>
        <w:t>，</w:t>
      </w:r>
      <w:r>
        <w:rPr>
          <w:sz w:val="31"/>
        </w:rPr>
        <w:t xml:space="preserve">出售时获得净收益 </w:t>
      </w:r>
      <w:r>
        <w:rPr>
          <w:spacing w:val="-4"/>
          <w:sz w:val="31"/>
        </w:rPr>
        <w:t>4000</w:t>
      </w:r>
      <w:r>
        <w:rPr>
          <w:sz w:val="31"/>
        </w:rPr>
        <w:t>元，发生清理费用</w:t>
      </w:r>
      <w:r>
        <w:rPr>
          <w:spacing w:val="-45"/>
          <w:sz w:val="31"/>
        </w:rPr>
        <w:t xml:space="preserve"> </w:t>
      </w:r>
      <w:r>
        <w:rPr>
          <w:sz w:val="31"/>
        </w:rPr>
        <w:t>1000</w:t>
      </w:r>
      <w:r>
        <w:rPr>
          <w:spacing w:val="-40"/>
          <w:sz w:val="31"/>
        </w:rPr>
        <w:t xml:space="preserve"> </w:t>
      </w:r>
      <w:r>
        <w:rPr>
          <w:sz w:val="31"/>
        </w:rPr>
        <w:t>元，则该项固定资产的原值</w:t>
      </w:r>
      <w:r>
        <w:rPr>
          <w:spacing w:val="-21"/>
          <w:sz w:val="31"/>
        </w:rPr>
        <w:t>为</w:t>
      </w:r>
      <w:r>
        <w:rPr>
          <w:sz w:val="31"/>
        </w:rPr>
        <w:t>(</w:t>
      </w:r>
      <w:r>
        <w:rPr>
          <w:spacing w:val="98"/>
          <w:sz w:val="31"/>
        </w:rPr>
        <w:t xml:space="preserve"> </w:t>
      </w:r>
      <w:r>
        <w:rPr>
          <w:sz w:val="31"/>
        </w:rPr>
        <w:t>A</w:t>
        <w:tab/>
      </w:r>
      <w:r>
        <w:rPr>
          <w:spacing w:val="-7"/>
          <w:sz w:val="31"/>
        </w:rPr>
        <w:t>)</w:t>
      </w:r>
      <w:r>
        <w:rPr>
          <w:sz w:val="31"/>
        </w:rPr>
        <w:t>元。</w:t>
      </w:r>
    </w:p>
    <w:p>
      <w:pPr>
        <w:pStyle w:val="BodyText"/>
        <w:tabs>
          <w:tab w:val="left" w:pos="4270"/>
          <w:tab w:val="left" w:pos="7104"/>
          <w:tab w:val="left" w:pos="9941"/>
        </w:tabs>
        <w:spacing w:line="397" w:lineRule="exact"/>
        <w:ind w:left="1420"/>
      </w:pPr>
      <w:r>
        <w:t>A．40000</w:t>
        <w:tab/>
      </w:r>
      <w:r>
        <w:rPr>
          <w:spacing w:val="-3"/>
        </w:rPr>
        <w:t>B．41000</w:t>
        <w:tab/>
        <w:t>C．39000</w:t>
        <w:tab/>
        <w:t>D．35000</w:t>
      </w:r>
    </w:p>
    <w:p>
      <w:pPr>
        <w:pStyle w:val="ListParagraph"/>
        <w:numPr>
          <w:ilvl w:val="0"/>
          <w:numId w:val="36"/>
        </w:numPr>
        <w:tabs>
          <w:tab w:val="left" w:pos="1425"/>
          <w:tab w:val="left" w:pos="10093"/>
          <w:tab w:val="left" w:pos="10568"/>
        </w:tabs>
        <w:spacing w:before="143" w:after="0" w:line="240" w:lineRule="auto"/>
        <w:ind w:left="1424" w:right="0" w:hanging="635"/>
        <w:jc w:val="left"/>
        <w:rPr>
          <w:sz w:val="31"/>
        </w:rPr>
      </w:pPr>
      <w:r>
        <w:rPr>
          <w:sz w:val="31"/>
        </w:rPr>
        <w:t>计提固定资产折旧时，可以先不考虑固定资产残值的方法</w:t>
      </w:r>
      <w:r>
        <w:rPr>
          <w:spacing w:val="-42"/>
          <w:sz w:val="31"/>
        </w:rPr>
        <w:t>是</w:t>
      </w:r>
      <w:r>
        <w:rPr>
          <w:sz w:val="31"/>
        </w:rPr>
        <w:t>(</w:t>
        <w:tab/>
        <w:t>C</w:t>
        <w:tab/>
      </w:r>
      <w:r>
        <w:rPr>
          <w:spacing w:val="-7"/>
          <w:sz w:val="31"/>
        </w:rPr>
        <w:t>)</w:t>
      </w:r>
      <w:r>
        <w:rPr>
          <w:sz w:val="31"/>
        </w:rPr>
        <w:t>。</w:t>
      </w:r>
    </w:p>
    <w:p>
      <w:pPr>
        <w:pStyle w:val="ListParagraph"/>
        <w:numPr>
          <w:ilvl w:val="1"/>
          <w:numId w:val="36"/>
        </w:numPr>
        <w:tabs>
          <w:tab w:val="left" w:pos="1896"/>
          <w:tab w:val="left" w:pos="4580"/>
          <w:tab w:val="left" w:pos="7572"/>
          <w:tab w:val="left" w:pos="8516"/>
          <w:tab w:val="left" w:pos="8991"/>
          <w:tab w:val="left" w:pos="11508"/>
        </w:tabs>
        <w:spacing w:before="143" w:after="0" w:line="326" w:lineRule="auto"/>
        <w:ind w:left="790" w:right="1360" w:firstLine="633"/>
        <w:jc w:val="left"/>
        <w:rPr>
          <w:sz w:val="31"/>
        </w:rPr>
      </w:pPr>
      <w:r>
        <w:rPr>
          <w:sz w:val="31"/>
        </w:rPr>
        <w:t>平均年限法</w:t>
        <w:tab/>
      </w:r>
      <w:r>
        <w:rPr>
          <w:spacing w:val="-5"/>
          <w:sz w:val="31"/>
        </w:rPr>
        <w:t>B．</w:t>
      </w:r>
      <w:r>
        <w:rPr>
          <w:sz w:val="31"/>
        </w:rPr>
        <w:t>工作量法</w:t>
        <w:tab/>
      </w:r>
      <w:r>
        <w:rPr>
          <w:spacing w:val="-6"/>
          <w:sz w:val="31"/>
        </w:rPr>
        <w:t>C．</w:t>
      </w:r>
      <w:r>
        <w:rPr>
          <w:sz w:val="31"/>
        </w:rPr>
        <w:t>双倍余额递减法</w:t>
        <w:tab/>
      </w:r>
      <w:r>
        <w:rPr>
          <w:spacing w:val="-6"/>
          <w:sz w:val="31"/>
        </w:rPr>
        <w:t>D．</w:t>
      </w:r>
      <w:r>
        <w:rPr>
          <w:sz w:val="31"/>
        </w:rPr>
        <w:t>年数总和</w:t>
      </w:r>
      <w:r>
        <w:rPr>
          <w:spacing w:val="-17"/>
          <w:sz w:val="31"/>
        </w:rPr>
        <w:t>法</w:t>
      </w:r>
      <w:r>
        <w:rPr>
          <w:sz w:val="31"/>
        </w:rPr>
        <w:t>28．非正常报废的固定资产，清理期间的核算账户</w:t>
      </w:r>
      <w:r>
        <w:rPr>
          <w:spacing w:val="-35"/>
          <w:sz w:val="31"/>
        </w:rPr>
        <w:t>是</w:t>
      </w:r>
      <w:r>
        <w:rPr>
          <w:sz w:val="31"/>
        </w:rPr>
        <w:t>(</w:t>
        <w:tab/>
        <w:t>B</w:t>
        <w:tab/>
      </w:r>
      <w:r>
        <w:rPr>
          <w:spacing w:val="-8"/>
          <w:sz w:val="31"/>
        </w:rPr>
        <w:t>)</w:t>
      </w:r>
      <w:r>
        <w:rPr>
          <w:sz w:val="31"/>
        </w:rPr>
        <w:t>。</w:t>
      </w:r>
    </w:p>
    <w:p>
      <w:pPr>
        <w:pStyle w:val="BodyText"/>
        <w:tabs>
          <w:tab w:val="left" w:pos="5368"/>
          <w:tab w:val="left" w:pos="7101"/>
          <w:tab w:val="left" w:pos="8991"/>
          <w:tab w:val="left" w:pos="11983"/>
        </w:tabs>
        <w:spacing w:line="326" w:lineRule="auto"/>
        <w:ind w:right="884" w:firstLine="633"/>
      </w:pPr>
      <w:r>
        <w:t>A．待处理财产损溢</w:t>
        <w:tab/>
      </w:r>
      <w:r>
        <w:rPr>
          <w:spacing w:val="-5"/>
        </w:rPr>
        <w:t>B．</w:t>
      </w:r>
      <w:r>
        <w:t>固定资产清理</w:t>
        <w:tab/>
      </w:r>
      <w:r>
        <w:rPr>
          <w:spacing w:val="-6"/>
        </w:rPr>
        <w:t>C．</w:t>
      </w:r>
      <w:r>
        <w:t>在建工程</w:t>
        <w:tab/>
      </w:r>
      <w:r>
        <w:rPr>
          <w:spacing w:val="-5"/>
        </w:rPr>
        <w:t>D．</w:t>
      </w:r>
      <w:r>
        <w:t>营业外支</w:t>
      </w:r>
      <w:r>
        <w:rPr>
          <w:spacing w:val="-17"/>
        </w:rPr>
        <w:t>出</w:t>
      </w:r>
      <w:r>
        <w:t>29．下列固定资产中不应计提折旧的</w:t>
      </w:r>
      <w:r>
        <w:rPr>
          <w:spacing w:val="-25"/>
        </w:rPr>
        <w:t>是</w:t>
      </w:r>
      <w:r>
        <w:t>(</w:t>
      </w:r>
      <w:r>
        <w:rPr>
          <w:spacing w:val="125"/>
        </w:rPr>
        <w:t xml:space="preserve"> </w:t>
      </w:r>
      <w:r>
        <w:t>B</w:t>
        <w:tab/>
      </w:r>
      <w:r>
        <w:rPr>
          <w:spacing w:val="-7"/>
        </w:rPr>
        <w:t>)</w:t>
      </w:r>
      <w:r>
        <w:t>。</w:t>
      </w:r>
    </w:p>
    <w:p>
      <w:pPr>
        <w:pStyle w:val="BodyText"/>
        <w:tabs>
          <w:tab w:val="left" w:pos="7105"/>
        </w:tabs>
        <w:ind w:left="1423"/>
      </w:pPr>
      <w:r>
        <w:t>A．非生产经营用固定资产</w:t>
        <w:tab/>
      </w:r>
      <w:r>
        <w:rPr>
          <w:spacing w:val="-8"/>
        </w:rPr>
        <w:t>B．</w:t>
      </w:r>
      <w:r>
        <w:t>单独计价入账的土地</w:t>
      </w:r>
    </w:p>
    <w:p>
      <w:pPr>
        <w:pStyle w:val="BodyText"/>
        <w:tabs>
          <w:tab w:val="left" w:pos="6626"/>
          <w:tab w:val="left" w:pos="7101"/>
        </w:tabs>
        <w:spacing w:before="143" w:line="326" w:lineRule="auto"/>
        <w:ind w:right="4817" w:firstLine="633"/>
      </w:pPr>
      <w:r>
        <w:t>C．不需用固定资产</w:t>
        <w:tab/>
        <w:tab/>
      </w:r>
      <w:r>
        <w:rPr>
          <w:spacing w:val="-11"/>
        </w:rPr>
        <w:t>D．</w:t>
      </w:r>
      <w:r>
        <w:t>融资租入固定资</w:t>
      </w:r>
      <w:r>
        <w:rPr>
          <w:spacing w:val="-17"/>
        </w:rPr>
        <w:t>产</w:t>
      </w:r>
      <w:r>
        <w:t>30．企业的固定资产应当在期末时按</w:t>
      </w:r>
      <w:r>
        <w:rPr>
          <w:spacing w:val="-25"/>
        </w:rPr>
        <w:t>照</w:t>
      </w:r>
      <w:r>
        <w:t>(</w:t>
        <w:tab/>
        <w:t>C</w:t>
        <w:tab/>
      </w:r>
      <w:r>
        <w:rPr>
          <w:spacing w:val="-7"/>
        </w:rPr>
        <w:t>)</w:t>
      </w:r>
      <w:r>
        <w:t>计量。</w:t>
      </w:r>
    </w:p>
    <w:p>
      <w:pPr>
        <w:pStyle w:val="BodyText"/>
        <w:tabs>
          <w:tab w:val="left" w:pos="7353"/>
          <w:tab w:val="left" w:pos="7572"/>
        </w:tabs>
        <w:spacing w:line="326" w:lineRule="auto"/>
        <w:ind w:left="1207" w:right="2128" w:firstLine="216"/>
      </w:pPr>
      <w:r>
        <w:t>A．固定资产账面价值与净值孰低</w:t>
        <w:tab/>
        <w:tab/>
      </w:r>
      <w:r>
        <w:rPr>
          <w:spacing w:val="-6"/>
        </w:rPr>
        <w:t>B．</w:t>
      </w:r>
      <w:r>
        <w:t>固定资产账面价值与账面余额孰</w:t>
      </w:r>
      <w:r>
        <w:rPr>
          <w:spacing w:val="-17"/>
        </w:rPr>
        <w:t>低</w:t>
      </w:r>
      <w:r>
        <w:t>C．固定资产账面价值与可收回金额孰低</w:t>
        <w:tab/>
      </w:r>
      <w:r>
        <w:rPr>
          <w:spacing w:val="-4"/>
        </w:rPr>
        <w:t>D．</w:t>
      </w:r>
      <w:r>
        <w:t>固定资产账面价值与公允价值孰低</w:t>
      </w:r>
    </w:p>
    <w:p>
      <w:pPr>
        <w:pStyle w:val="ListParagraph"/>
        <w:numPr>
          <w:ilvl w:val="0"/>
          <w:numId w:val="35"/>
        </w:numPr>
        <w:tabs>
          <w:tab w:val="left" w:pos="1425"/>
          <w:tab w:val="left" w:pos="5679"/>
          <w:tab w:val="left" w:pos="6154"/>
        </w:tabs>
        <w:spacing w:before="0" w:after="0" w:line="397" w:lineRule="exact"/>
        <w:ind w:left="1424" w:right="0" w:hanging="635"/>
        <w:jc w:val="left"/>
        <w:rPr>
          <w:sz w:val="31"/>
        </w:rPr>
      </w:pPr>
      <w:r>
        <w:rPr>
          <w:sz w:val="31"/>
        </w:rPr>
        <w:t>投资性房地产的主要形式</w:t>
      </w:r>
      <w:r>
        <w:rPr>
          <w:spacing w:val="-21"/>
          <w:sz w:val="31"/>
        </w:rPr>
        <w:t>是</w:t>
      </w:r>
      <w:r>
        <w:rPr>
          <w:sz w:val="31"/>
        </w:rPr>
        <w:t>(</w:t>
        <w:tab/>
        <w:t>B</w:t>
        <w:tab/>
      </w:r>
      <w:r>
        <w:rPr>
          <w:spacing w:val="-8"/>
          <w:sz w:val="31"/>
        </w:rPr>
        <w:t>)</w:t>
      </w:r>
      <w:r>
        <w:rPr>
          <w:sz w:val="31"/>
        </w:rPr>
        <w:t>。</w:t>
      </w:r>
    </w:p>
    <w:p>
      <w:pPr>
        <w:pStyle w:val="BodyText"/>
        <w:tabs>
          <w:tab w:val="left" w:pos="7256"/>
        </w:tabs>
        <w:spacing w:before="142" w:line="326" w:lineRule="auto"/>
        <w:ind w:left="1423" w:right="3074"/>
      </w:pPr>
      <w:r>
        <w:t>A．购买建筑物、购买土地使用权</w:t>
        <w:tab/>
      </w:r>
      <w:r>
        <w:rPr>
          <w:spacing w:val="-4"/>
        </w:rPr>
        <w:t>B．</w:t>
      </w:r>
      <w:r>
        <w:t>出租建筑物、出租土地使用</w:t>
      </w:r>
      <w:r>
        <w:rPr>
          <w:spacing w:val="-18"/>
        </w:rPr>
        <w:t>权</w:t>
      </w:r>
      <w:r>
        <w:t>C．转让建筑物、转让土地使用权</w:t>
        <w:tab/>
      </w:r>
      <w:r>
        <w:rPr>
          <w:spacing w:val="-4"/>
        </w:rPr>
        <w:t>D．</w:t>
      </w:r>
      <w:r>
        <w:t>买卖建筑物、买卖土地使用</w:t>
      </w:r>
      <w:r>
        <w:rPr>
          <w:spacing w:val="-18"/>
        </w:rPr>
        <w:t>权</w:t>
      </w:r>
    </w:p>
    <w:p>
      <w:pPr>
        <w:pStyle w:val="ListParagraph"/>
        <w:numPr>
          <w:ilvl w:val="0"/>
          <w:numId w:val="35"/>
        </w:numPr>
        <w:tabs>
          <w:tab w:val="left" w:pos="1425"/>
          <w:tab w:val="left" w:pos="6626"/>
          <w:tab w:val="left" w:pos="7101"/>
          <w:tab w:val="left" w:pos="7421"/>
        </w:tabs>
        <w:spacing w:before="1" w:after="0" w:line="326" w:lineRule="auto"/>
        <w:ind w:left="1423" w:right="5134" w:hanging="634"/>
        <w:jc w:val="left"/>
        <w:rPr>
          <w:sz w:val="31"/>
        </w:rPr>
      </w:pPr>
      <w:r>
        <w:rPr>
          <w:sz w:val="31"/>
        </w:rPr>
        <w:t>企业生产经营用的土地使用权属</w:t>
      </w:r>
      <w:r>
        <w:rPr>
          <w:spacing w:val="-25"/>
          <w:sz w:val="31"/>
        </w:rPr>
        <w:t>于</w:t>
      </w:r>
      <w:r>
        <w:rPr>
          <w:sz w:val="31"/>
        </w:rPr>
        <w:t>(</w:t>
        <w:tab/>
        <w:t>D</w:t>
        <w:tab/>
      </w:r>
      <w:r>
        <w:rPr>
          <w:spacing w:val="-7"/>
          <w:sz w:val="31"/>
        </w:rPr>
        <w:t xml:space="preserve">) </w:t>
      </w:r>
      <w:r>
        <w:rPr>
          <w:sz w:val="31"/>
        </w:rPr>
        <w:t>。           A．作为存货的房地产</w:t>
        <w:tab/>
        <w:tab/>
        <w:tab/>
      </w:r>
      <w:r>
        <w:rPr>
          <w:spacing w:val="-8"/>
          <w:sz w:val="31"/>
        </w:rPr>
        <w:t>B．</w:t>
      </w:r>
      <w:r>
        <w:rPr>
          <w:sz w:val="31"/>
        </w:rPr>
        <w:t>经营性房地</w:t>
      </w:r>
      <w:r>
        <w:rPr>
          <w:spacing w:val="-17"/>
          <w:sz w:val="31"/>
        </w:rPr>
        <w:t>产</w:t>
      </w:r>
    </w:p>
    <w:p>
      <w:pPr>
        <w:pStyle w:val="BodyText"/>
        <w:tabs>
          <w:tab w:val="left" w:pos="7428"/>
          <w:tab w:val="left" w:pos="8516"/>
          <w:tab w:val="left" w:pos="8991"/>
        </w:tabs>
        <w:spacing w:line="326" w:lineRule="auto"/>
        <w:ind w:right="5452" w:firstLine="633"/>
      </w:pPr>
      <w:r>
        <w:t>C．投资性房地产</w:t>
        <w:tab/>
      </w:r>
      <w:r>
        <w:rPr>
          <w:spacing w:val="-11"/>
        </w:rPr>
        <w:t>D．</w:t>
      </w:r>
      <w:r>
        <w:t>自用房地</w:t>
      </w:r>
      <w:r>
        <w:rPr>
          <w:spacing w:val="-19"/>
        </w:rPr>
        <w:t>产</w:t>
      </w:r>
      <w:r>
        <w:t>33．采用公允价值模式进行后续计量的投资性房地</w:t>
      </w:r>
      <w:r>
        <w:rPr>
          <w:spacing w:val="-35"/>
        </w:rPr>
        <w:t>产</w:t>
      </w:r>
      <w:r>
        <w:t>(</w:t>
        <w:tab/>
        <w:t>D</w:t>
        <w:tab/>
      </w:r>
      <w:r>
        <w:rPr>
          <w:spacing w:val="-8"/>
        </w:rPr>
        <w:t>)</w:t>
      </w:r>
      <w:r>
        <w:rPr>
          <w:spacing w:val="-11"/>
        </w:rPr>
        <w:t>。</w:t>
      </w:r>
    </w:p>
    <w:p>
      <w:pPr>
        <w:pStyle w:val="BodyText"/>
        <w:tabs>
          <w:tab w:val="left" w:pos="5679"/>
        </w:tabs>
        <w:spacing w:line="326" w:lineRule="auto"/>
        <w:ind w:left="1423" w:right="5102"/>
      </w:pPr>
      <w:r>
        <w:t>A．应计提折旧或摊销</w:t>
        <w:tab/>
      </w:r>
      <w:r>
        <w:rPr>
          <w:spacing w:val="-4"/>
        </w:rPr>
        <w:t>B．</w:t>
      </w:r>
      <w:r>
        <w:t>不计提折旧但应进行摊销C．不计提折旧或摊销，但应进行减值测试并计提减值准备 D．不计提折旧或摊销，应当以资产负债表日的公允价值计</w:t>
      </w:r>
      <w:r>
        <w:rPr>
          <w:spacing w:val="-17"/>
        </w:rPr>
        <w:t>量</w:t>
      </w:r>
    </w:p>
    <w:p>
      <w:pPr>
        <w:pStyle w:val="ListParagraph"/>
        <w:numPr>
          <w:ilvl w:val="0"/>
          <w:numId w:val="34"/>
        </w:numPr>
        <w:tabs>
          <w:tab w:val="left" w:pos="1425"/>
          <w:tab w:val="left" w:pos="5366"/>
          <w:tab w:val="left" w:pos="5841"/>
        </w:tabs>
        <w:spacing w:before="0" w:after="0" w:line="397" w:lineRule="exact"/>
        <w:ind w:left="1424" w:right="0" w:hanging="635"/>
        <w:jc w:val="left"/>
        <w:rPr>
          <w:sz w:val="31"/>
        </w:rPr>
      </w:pPr>
      <w:r>
        <w:rPr>
          <w:sz w:val="31"/>
        </w:rPr>
        <w:t>无形资产的计量通常采</w:t>
      </w:r>
      <w:r>
        <w:rPr>
          <w:spacing w:val="-18"/>
          <w:sz w:val="31"/>
        </w:rPr>
        <w:t>用</w:t>
      </w:r>
      <w:r>
        <w:rPr>
          <w:sz w:val="31"/>
        </w:rPr>
        <w:t>(</w:t>
        <w:tab/>
        <w:t>A</w:t>
        <w:tab/>
      </w:r>
      <w:r>
        <w:rPr>
          <w:spacing w:val="-7"/>
          <w:sz w:val="31"/>
        </w:rPr>
        <w:t>)</w:t>
      </w:r>
      <w:r>
        <w:rPr>
          <w:sz w:val="31"/>
        </w:rPr>
        <w:t>。</w:t>
      </w:r>
    </w:p>
    <w:p>
      <w:pPr>
        <w:pStyle w:val="BodyText"/>
        <w:tabs>
          <w:tab w:val="left" w:pos="4580"/>
          <w:tab w:val="left" w:pos="6309"/>
          <w:tab w:val="left" w:pos="6784"/>
          <w:tab w:val="left" w:pos="7572"/>
          <w:tab w:val="left" w:pos="9935"/>
        </w:tabs>
        <w:spacing w:before="142" w:line="326" w:lineRule="auto"/>
        <w:ind w:right="2933" w:firstLine="633"/>
      </w:pPr>
      <w:r>
        <w:t>A．实际成本</w:t>
        <w:tab/>
      </w:r>
      <w:r>
        <w:rPr>
          <w:spacing w:val="-5"/>
        </w:rPr>
        <w:t>B．</w:t>
      </w:r>
      <w:r>
        <w:t>公允价值</w:t>
        <w:tab/>
        <w:tab/>
        <w:tab/>
      </w:r>
      <w:r>
        <w:rPr>
          <w:spacing w:val="-6"/>
        </w:rPr>
        <w:t>C．</w:t>
      </w:r>
      <w:r>
        <w:t>现值</w:t>
        <w:tab/>
      </w:r>
      <w:r>
        <w:rPr>
          <w:spacing w:val="-6"/>
        </w:rPr>
        <w:t>D．</w:t>
      </w:r>
      <w:r>
        <w:t>可收回金</w:t>
      </w:r>
      <w:r>
        <w:rPr>
          <w:spacing w:val="-17"/>
        </w:rPr>
        <w:t>额</w:t>
      </w:r>
      <w:r>
        <w:t>35．下列无形资产中不需要摊销的</w:t>
      </w:r>
      <w:r>
        <w:rPr>
          <w:spacing w:val="-25"/>
        </w:rPr>
        <w:t>是</w:t>
      </w:r>
      <w:r>
        <w:t>(</w:t>
        <w:tab/>
        <w:t>D</w:t>
        <w:tab/>
      </w:r>
      <w:r>
        <w:rPr>
          <w:spacing w:val="-8"/>
        </w:rPr>
        <w:t>)</w:t>
      </w:r>
      <w:r>
        <w:t>。</w:t>
      </w:r>
    </w:p>
    <w:p>
      <w:pPr>
        <w:pStyle w:val="BodyText"/>
        <w:tabs>
          <w:tab w:val="left" w:pos="7256"/>
        </w:tabs>
        <w:spacing w:line="326" w:lineRule="auto"/>
        <w:ind w:left="1423" w:right="2933"/>
      </w:pPr>
      <w:r>
        <w:t>A．使用寿命长于</w:t>
      </w:r>
      <w:r>
        <w:rPr>
          <w:spacing w:val="-69"/>
        </w:rPr>
        <w:t xml:space="preserve"> </w:t>
      </w:r>
      <w:r>
        <w:t>3</w:t>
      </w:r>
      <w:r>
        <w:rPr>
          <w:spacing w:val="-60"/>
        </w:rPr>
        <w:t xml:space="preserve"> </w:t>
      </w:r>
      <w:r>
        <w:t>年的无形资产</w:t>
        <w:tab/>
      </w:r>
      <w:r>
        <w:rPr>
          <w:spacing w:val="-4"/>
        </w:rPr>
        <w:t>B．</w:t>
      </w:r>
      <w:r>
        <w:t>使用寿命短于</w:t>
      </w:r>
      <w:r>
        <w:rPr>
          <w:spacing w:val="-50"/>
        </w:rPr>
        <w:t xml:space="preserve"> </w:t>
      </w:r>
      <w:r>
        <w:t>10</w:t>
      </w:r>
      <w:r>
        <w:rPr>
          <w:spacing w:val="-32"/>
        </w:rPr>
        <w:t xml:space="preserve"> </w:t>
      </w:r>
      <w:r>
        <w:t>年的无形资</w:t>
      </w:r>
      <w:r>
        <w:rPr>
          <w:spacing w:val="-17"/>
        </w:rPr>
        <w:t>产</w:t>
      </w:r>
      <w:r>
        <w:t>C．使用寿命有限的无形资产</w:t>
        <w:tab/>
      </w:r>
      <w:r>
        <w:rPr>
          <w:spacing w:val="-6"/>
        </w:rPr>
        <w:t>D．</w:t>
      </w:r>
      <w:r>
        <w:t>使用寿命不确定的无形资产</w:t>
      </w:r>
    </w:p>
    <w:p>
      <w:pPr>
        <w:pStyle w:val="ListParagraph"/>
        <w:numPr>
          <w:ilvl w:val="0"/>
          <w:numId w:val="33"/>
        </w:numPr>
        <w:tabs>
          <w:tab w:val="left" w:pos="1425"/>
          <w:tab w:val="left" w:pos="4422"/>
          <w:tab w:val="left" w:pos="7572"/>
          <w:tab w:val="left" w:pos="9463"/>
          <w:tab w:val="left" w:pos="9938"/>
          <w:tab w:val="left" w:pos="10565"/>
        </w:tabs>
        <w:spacing w:before="0" w:after="0" w:line="326" w:lineRule="auto"/>
        <w:ind w:left="1423" w:right="2620" w:hanging="634"/>
        <w:jc w:val="left"/>
        <w:rPr>
          <w:sz w:val="31"/>
        </w:rPr>
      </w:pPr>
      <w:r>
        <w:rPr>
          <w:sz w:val="31"/>
        </w:rPr>
        <w:t>资产负债表日，对予提的短期借款利息，贷记的账户</w:t>
      </w:r>
      <w:r>
        <w:rPr>
          <w:spacing w:val="-39"/>
          <w:sz w:val="31"/>
        </w:rPr>
        <w:t>是</w:t>
      </w:r>
      <w:r>
        <w:rPr>
          <w:sz w:val="31"/>
        </w:rPr>
        <w:t>(</w:t>
        <w:tab/>
        <w:t>D</w:t>
        <w:tab/>
      </w:r>
      <w:r>
        <w:rPr>
          <w:spacing w:val="-7"/>
          <w:sz w:val="31"/>
        </w:rPr>
        <w:t xml:space="preserve">) </w:t>
      </w:r>
      <w:r>
        <w:rPr>
          <w:sz w:val="31"/>
        </w:rPr>
        <w:t>。         A．短期借款</w:t>
        <w:tab/>
      </w:r>
      <w:r>
        <w:rPr>
          <w:spacing w:val="-5"/>
          <w:sz w:val="31"/>
        </w:rPr>
        <w:t>B．</w:t>
      </w:r>
      <w:r>
        <w:rPr>
          <w:sz w:val="31"/>
        </w:rPr>
        <w:t>其他应付款</w:t>
        <w:tab/>
      </w:r>
      <w:r>
        <w:rPr>
          <w:spacing w:val="-6"/>
          <w:sz w:val="31"/>
        </w:rPr>
        <w:t>C．</w:t>
      </w:r>
      <w:r>
        <w:rPr>
          <w:sz w:val="31"/>
        </w:rPr>
        <w:t>财务费用</w:t>
        <w:tab/>
        <w:tab/>
        <w:tab/>
      </w:r>
      <w:r>
        <w:rPr>
          <w:spacing w:val="-6"/>
          <w:sz w:val="31"/>
        </w:rPr>
        <w:t>D．</w:t>
      </w:r>
      <w:r>
        <w:rPr>
          <w:sz w:val="31"/>
        </w:rPr>
        <w:t>应付利</w:t>
      </w:r>
      <w:r>
        <w:rPr>
          <w:spacing w:val="-17"/>
          <w:sz w:val="31"/>
        </w:rPr>
        <w:t>息</w:t>
      </w:r>
    </w:p>
    <w:p>
      <w:pPr>
        <w:pStyle w:val="ListParagraph"/>
        <w:numPr>
          <w:ilvl w:val="0"/>
          <w:numId w:val="33"/>
        </w:numPr>
        <w:tabs>
          <w:tab w:val="left" w:pos="1425"/>
          <w:tab w:val="left" w:pos="6626"/>
          <w:tab w:val="left" w:pos="7256"/>
          <w:tab w:val="left" w:pos="7731"/>
        </w:tabs>
        <w:spacing w:before="0" w:after="0" w:line="326" w:lineRule="auto"/>
        <w:ind w:left="1423" w:right="5922" w:hanging="634"/>
        <w:jc w:val="left"/>
        <w:rPr>
          <w:sz w:val="31"/>
        </w:rPr>
      </w:pPr>
      <w:r>
        <w:rPr>
          <w:sz w:val="31"/>
        </w:rPr>
        <w:t>下列各项中，不属于职工薪酬内容的</w:t>
      </w:r>
      <w:r>
        <w:rPr>
          <w:spacing w:val="-29"/>
          <w:sz w:val="31"/>
        </w:rPr>
        <w:t>是</w:t>
      </w:r>
      <w:r>
        <w:rPr>
          <w:sz w:val="31"/>
        </w:rPr>
        <w:t>(</w:t>
        <w:tab/>
        <w:t>D</w:t>
        <w:tab/>
      </w:r>
      <w:r>
        <w:rPr>
          <w:spacing w:val="-11"/>
          <w:sz w:val="31"/>
        </w:rPr>
        <w:t xml:space="preserve">) </w:t>
      </w:r>
      <w:r>
        <w:rPr>
          <w:sz w:val="31"/>
        </w:rPr>
        <w:t>。  A．医疗保险费等社会保险费</w:t>
        <w:tab/>
      </w:r>
      <w:r>
        <w:rPr>
          <w:spacing w:val="-4"/>
          <w:sz w:val="31"/>
        </w:rPr>
        <w:t>B．</w:t>
      </w:r>
      <w:r>
        <w:rPr>
          <w:sz w:val="31"/>
        </w:rPr>
        <w:t>住房公积金C．工会经费和职工教育经费</w:t>
        <w:tab/>
      </w:r>
      <w:r>
        <w:rPr>
          <w:spacing w:val="-4"/>
          <w:sz w:val="31"/>
        </w:rPr>
        <w:t>D．</w:t>
      </w:r>
      <w:r>
        <w:rPr>
          <w:sz w:val="31"/>
        </w:rPr>
        <w:t>职工困难补</w:t>
      </w:r>
      <w:r>
        <w:rPr>
          <w:spacing w:val="-18"/>
          <w:sz w:val="31"/>
        </w:rPr>
        <w:t>助</w:t>
      </w:r>
    </w:p>
    <w:p>
      <w:pPr>
        <w:pStyle w:val="ListParagraph"/>
        <w:numPr>
          <w:ilvl w:val="0"/>
          <w:numId w:val="33"/>
        </w:numPr>
        <w:tabs>
          <w:tab w:val="left" w:pos="1425"/>
          <w:tab w:val="left" w:pos="8498"/>
          <w:tab w:val="left" w:pos="13406"/>
        </w:tabs>
        <w:spacing w:before="0" w:after="0" w:line="326" w:lineRule="auto"/>
        <w:ind w:left="1423" w:right="248" w:hanging="634"/>
        <w:jc w:val="left"/>
        <w:rPr>
          <w:sz w:val="31"/>
        </w:rPr>
        <w:sectPr>
          <w:headerReference w:type="default" r:id="rId10"/>
          <w:footerReference w:type="default" r:id="rId11"/>
          <w:pgSz w:w="17860" w:h="25270"/>
          <w:pgMar w:top="1400" w:right="1400" w:bottom="2040" w:left="1540" w:header="1088" w:footer="1816"/>
          <w:pgNumType w:start="4"/>
          <w:cols w:space="708"/>
        </w:sectPr>
      </w:pPr>
      <w:r>
        <w:rPr>
          <w:sz w:val="31"/>
        </w:rPr>
        <w:t>月末，一般纳税企业对本月尚未抵扣的增值税进项税额，正确的会计处理方法</w:t>
      </w:r>
      <w:r>
        <w:rPr>
          <w:spacing w:val="-56"/>
          <w:sz w:val="31"/>
        </w:rPr>
        <w:t>是</w:t>
      </w:r>
      <w:r>
        <w:rPr>
          <w:sz w:val="31"/>
        </w:rPr>
        <w:t xml:space="preserve">( </w:t>
      </w:r>
      <w:r>
        <w:rPr>
          <w:spacing w:val="92"/>
          <w:sz w:val="31"/>
        </w:rPr>
        <w:t xml:space="preserve"> </w:t>
      </w:r>
      <w:r>
        <w:rPr>
          <w:sz w:val="31"/>
        </w:rPr>
        <w:t>A</w:t>
        <w:tab/>
      </w:r>
      <w:r>
        <w:rPr>
          <w:spacing w:val="-8"/>
          <w:sz w:val="31"/>
        </w:rPr>
        <w:t xml:space="preserve">) </w:t>
      </w:r>
      <w:r>
        <w:rPr>
          <w:sz w:val="31"/>
        </w:rPr>
        <w:t xml:space="preserve">。 </w:t>
      </w:r>
    </w:p>
    <w:p>
      <w:pPr>
        <w:pStyle w:val="ListParagraph"/>
        <w:numPr>
          <w:ilvl w:val="0"/>
          <w:numId w:val="0"/>
        </w:numPr>
        <w:tabs>
          <w:tab w:val="left" w:pos="1425"/>
          <w:tab w:val="left" w:pos="8498"/>
          <w:tab w:val="left" w:pos="13406"/>
        </w:tabs>
        <w:spacing w:before="0" w:after="0" w:line="326" w:lineRule="auto"/>
        <w:ind w:left="1423" w:right="248" w:hanging="634"/>
        <w:jc w:val="left"/>
        <w:rPr>
          <w:sz w:val="31"/>
        </w:rPr>
      </w:pPr>
      <w:r>
        <w:rPr>
          <w:sz w:val="31"/>
        </w:rPr>
        <w:t xml:space="preserve"> A．保留在“应交增值税”明细账户的借方</w:t>
        <w:tab/>
        <w:t>B．保留在“应交增值税”明细账户的贷方C．将其转入“未交增值税”明细账户的借方</w:t>
        <w:tab/>
      </w:r>
      <w:r>
        <w:rPr>
          <w:spacing w:val="-4"/>
          <w:sz w:val="31"/>
        </w:rPr>
        <w:t>D．</w:t>
      </w:r>
      <w:r>
        <w:rPr>
          <w:sz w:val="31"/>
        </w:rPr>
        <w:t>将其转入“未交增值税”明细账户的贷</w:t>
      </w:r>
      <w:r>
        <w:rPr>
          <w:spacing w:val="-18"/>
          <w:sz w:val="31"/>
        </w:rPr>
        <w:t>方</w:t>
      </w:r>
    </w:p>
    <w:p>
      <w:pPr>
        <w:spacing w:after="0" w:line="326" w:lineRule="auto"/>
        <w:jc w:val="left"/>
        <w:rPr>
          <w:sz w:val="31"/>
        </w:rPr>
        <w:sectPr>
          <w:headerReference w:type="default" r:id="rId12"/>
          <w:footerReference w:type="default" r:id="rId13"/>
          <w:type w:val="nextPage"/>
          <w:pgSz w:w="17860" w:h="25270"/>
          <w:pgMar w:top="1400" w:right="1400" w:bottom="2040" w:left="1540" w:header="1088" w:footer="1816"/>
          <w:pgNumType w:start="5"/>
          <w:cols w:space="708"/>
          <w:titlePg w:val="0"/>
        </w:sectPr>
      </w:pPr>
    </w:p>
    <w:p>
      <w:pPr>
        <w:pStyle w:val="BodyText"/>
        <w:spacing w:before="2"/>
        <w:ind w:left="0"/>
        <w:rPr>
          <w:sz w:val="8"/>
        </w:rPr>
      </w:pPr>
    </w:p>
    <w:p>
      <w:pPr>
        <w:pStyle w:val="ListParagraph"/>
        <w:numPr>
          <w:ilvl w:val="0"/>
          <w:numId w:val="33"/>
        </w:numPr>
        <w:tabs>
          <w:tab w:val="left" w:pos="1425"/>
          <w:tab w:val="left" w:pos="4108"/>
          <w:tab w:val="left" w:pos="6629"/>
          <w:tab w:val="left" w:pos="9308"/>
          <w:tab w:val="left" w:pos="11353"/>
          <w:tab w:val="left" w:pos="11828"/>
        </w:tabs>
        <w:spacing w:before="62" w:after="0" w:line="326" w:lineRule="auto"/>
        <w:ind w:left="1423" w:right="2619" w:hanging="634"/>
        <w:jc w:val="left"/>
        <w:rPr>
          <w:sz w:val="31"/>
        </w:rPr>
      </w:pPr>
      <w:r>
        <w:rPr>
          <w:sz w:val="31"/>
        </w:rPr>
        <w:t>企业经营业务发生的下列税金中，不通过“应交税金”账户核算的</w:t>
      </w:r>
      <w:r>
        <w:rPr>
          <w:spacing w:val="-50"/>
          <w:sz w:val="31"/>
        </w:rPr>
        <w:t>是</w:t>
      </w:r>
      <w:r>
        <w:rPr>
          <w:sz w:val="31"/>
        </w:rPr>
        <w:t>(</w:t>
        <w:tab/>
        <w:t>C</w:t>
        <w:tab/>
      </w:r>
      <w:r>
        <w:rPr>
          <w:spacing w:val="-7"/>
          <w:sz w:val="31"/>
        </w:rPr>
        <w:t>)</w:t>
      </w:r>
      <w:r>
        <w:rPr>
          <w:spacing w:val="-16"/>
          <w:sz w:val="31"/>
        </w:rPr>
        <w:t>。</w:t>
      </w:r>
      <w:r>
        <w:rPr>
          <w:sz w:val="31"/>
        </w:rPr>
        <w:t>A．增值税</w:t>
        <w:tab/>
      </w:r>
      <w:r>
        <w:rPr>
          <w:spacing w:val="-5"/>
          <w:sz w:val="31"/>
        </w:rPr>
        <w:t>B．</w:t>
      </w:r>
      <w:r>
        <w:rPr>
          <w:sz w:val="31"/>
        </w:rPr>
        <w:t>营业税</w:t>
        <w:tab/>
      </w:r>
      <w:r>
        <w:rPr>
          <w:spacing w:val="-4"/>
          <w:sz w:val="31"/>
        </w:rPr>
        <w:t>C．</w:t>
      </w:r>
      <w:r>
        <w:rPr>
          <w:sz w:val="31"/>
        </w:rPr>
        <w:t>印花税</w:t>
        <w:tab/>
      </w:r>
      <w:r>
        <w:rPr>
          <w:spacing w:val="-4"/>
          <w:sz w:val="31"/>
        </w:rPr>
        <w:t>D．</w:t>
      </w:r>
      <w:r>
        <w:rPr>
          <w:sz w:val="31"/>
        </w:rPr>
        <w:t>城市维护建设税</w:t>
      </w:r>
    </w:p>
    <w:p>
      <w:pPr>
        <w:pStyle w:val="ListParagraph"/>
        <w:numPr>
          <w:ilvl w:val="0"/>
          <w:numId w:val="33"/>
        </w:numPr>
        <w:tabs>
          <w:tab w:val="left" w:pos="1425"/>
          <w:tab w:val="left" w:pos="4263"/>
          <w:tab w:val="left" w:pos="7882"/>
          <w:tab w:val="left" w:pos="11353"/>
          <w:tab w:val="left" w:pos="12614"/>
          <w:tab w:val="left" w:pos="13089"/>
        </w:tabs>
        <w:spacing w:before="0" w:after="0" w:line="326" w:lineRule="auto"/>
        <w:ind w:left="1423" w:right="1359" w:hanging="634"/>
        <w:jc w:val="left"/>
        <w:rPr>
          <w:sz w:val="31"/>
        </w:rPr>
      </w:pPr>
      <w:r>
        <w:rPr>
          <w:sz w:val="31"/>
        </w:rPr>
        <w:t>进行债务重组时，债务企业对所发生的债务重组收益，正确的处理方法是计</w:t>
      </w:r>
      <w:r>
        <w:rPr>
          <w:spacing w:val="-56"/>
          <w:sz w:val="31"/>
        </w:rPr>
        <w:t>入</w:t>
      </w:r>
      <w:r>
        <w:rPr>
          <w:sz w:val="31"/>
        </w:rPr>
        <w:t>(</w:t>
        <w:tab/>
        <w:t>B</w:t>
        <w:tab/>
      </w:r>
      <w:r>
        <w:rPr>
          <w:spacing w:val="-8"/>
          <w:sz w:val="31"/>
        </w:rPr>
        <w:t>)</w:t>
      </w:r>
      <w:r>
        <w:rPr>
          <w:spacing w:val="-16"/>
          <w:sz w:val="31"/>
        </w:rPr>
        <w:t>。</w:t>
      </w:r>
      <w:r>
        <w:rPr>
          <w:sz w:val="31"/>
        </w:rPr>
        <w:t>A．资本公积</w:t>
        <w:tab/>
      </w:r>
      <w:r>
        <w:rPr>
          <w:spacing w:val="-5"/>
          <w:sz w:val="31"/>
        </w:rPr>
        <w:t>B．</w:t>
      </w:r>
      <w:r>
        <w:rPr>
          <w:sz w:val="31"/>
        </w:rPr>
        <w:t>营业外收入</w:t>
        <w:tab/>
      </w:r>
      <w:r>
        <w:rPr>
          <w:spacing w:val="-4"/>
          <w:sz w:val="31"/>
        </w:rPr>
        <w:t>C．</w:t>
      </w:r>
      <w:r>
        <w:rPr>
          <w:sz w:val="31"/>
        </w:rPr>
        <w:t>营业外支出</w:t>
        <w:tab/>
      </w:r>
      <w:r>
        <w:rPr>
          <w:spacing w:val="-6"/>
          <w:sz w:val="31"/>
        </w:rPr>
        <w:t>D．</w:t>
      </w:r>
      <w:r>
        <w:rPr>
          <w:sz w:val="31"/>
        </w:rPr>
        <w:t>投资收益</w:t>
      </w:r>
    </w:p>
    <w:p>
      <w:pPr>
        <w:pStyle w:val="ListParagraph"/>
        <w:numPr>
          <w:ilvl w:val="0"/>
          <w:numId w:val="33"/>
        </w:numPr>
        <w:tabs>
          <w:tab w:val="left" w:pos="634"/>
          <w:tab w:val="left" w:pos="1109"/>
          <w:tab w:val="left" w:pos="1425"/>
        </w:tabs>
        <w:spacing w:before="0" w:after="0" w:line="326" w:lineRule="auto"/>
        <w:ind w:left="159" w:right="188" w:firstLine="630"/>
        <w:jc w:val="left"/>
        <w:rPr>
          <w:sz w:val="31"/>
        </w:rPr>
      </w:pPr>
      <w:r>
        <w:rPr>
          <w:sz w:val="31"/>
        </w:rPr>
        <w:t>应付账款按总价法核算时，如果在折扣期内付款，对所取得的现金折扣收入，正确的处理方法</w:t>
      </w:r>
      <w:r>
        <w:rPr>
          <w:spacing w:val="-17"/>
          <w:sz w:val="31"/>
        </w:rPr>
        <w:t xml:space="preserve">是  </w:t>
      </w:r>
      <w:r>
        <w:rPr>
          <w:sz w:val="31"/>
        </w:rPr>
        <w:t>(</w:t>
        <w:tab/>
        <w:t>A</w:t>
        <w:tab/>
      </w:r>
      <w:r>
        <w:rPr>
          <w:spacing w:val="-3"/>
          <w:sz w:val="31"/>
        </w:rPr>
        <w:t>)</w:t>
      </w:r>
      <w:r>
        <w:rPr>
          <w:sz w:val="31"/>
        </w:rPr>
        <w:t>。</w:t>
      </w:r>
    </w:p>
    <w:p>
      <w:pPr>
        <w:pStyle w:val="ListParagraph"/>
        <w:numPr>
          <w:ilvl w:val="1"/>
          <w:numId w:val="33"/>
        </w:numPr>
        <w:tabs>
          <w:tab w:val="left" w:pos="1896"/>
          <w:tab w:val="left" w:pos="6943"/>
        </w:tabs>
        <w:spacing w:before="0" w:after="0" w:line="326" w:lineRule="auto"/>
        <w:ind w:left="1423" w:right="3708" w:firstLine="0"/>
        <w:jc w:val="left"/>
        <w:rPr>
          <w:sz w:val="31"/>
        </w:rPr>
      </w:pPr>
      <w:r>
        <w:rPr>
          <w:sz w:val="31"/>
        </w:rPr>
        <w:t>作为理财收益减少财务费用</w:t>
        <w:tab/>
      </w:r>
      <w:r>
        <w:rPr>
          <w:spacing w:val="-6"/>
          <w:sz w:val="31"/>
        </w:rPr>
        <w:t>B．</w:t>
      </w:r>
      <w:r>
        <w:rPr>
          <w:sz w:val="31"/>
        </w:rPr>
        <w:t>作为理财损失增加财务费</w:t>
      </w:r>
      <w:r>
        <w:rPr>
          <w:spacing w:val="-18"/>
          <w:sz w:val="31"/>
        </w:rPr>
        <w:t>用</w:t>
      </w:r>
      <w:r>
        <w:rPr>
          <w:sz w:val="31"/>
        </w:rPr>
        <w:t>C．直接计入管理费用</w:t>
        <w:tab/>
      </w:r>
      <w:r>
        <w:rPr>
          <w:spacing w:val="-8"/>
          <w:sz w:val="31"/>
        </w:rPr>
        <w:t>D．</w:t>
      </w:r>
      <w:r>
        <w:rPr>
          <w:sz w:val="31"/>
        </w:rPr>
        <w:t>前三项均不正确</w:t>
      </w:r>
    </w:p>
    <w:p>
      <w:pPr>
        <w:pStyle w:val="ListParagraph"/>
        <w:numPr>
          <w:ilvl w:val="0"/>
          <w:numId w:val="33"/>
        </w:numPr>
        <w:tabs>
          <w:tab w:val="left" w:pos="1425"/>
          <w:tab w:val="left" w:pos="8498"/>
          <w:tab w:val="left" w:pos="8833"/>
          <w:tab w:val="left" w:pos="9308"/>
        </w:tabs>
        <w:spacing w:before="0" w:after="0" w:line="326" w:lineRule="auto"/>
        <w:ind w:left="1423" w:right="248" w:hanging="634"/>
        <w:jc w:val="left"/>
        <w:rPr>
          <w:sz w:val="31"/>
        </w:rPr>
      </w:pPr>
      <w:r>
        <w:rPr>
          <w:sz w:val="31"/>
        </w:rPr>
        <w:t>折价发行债券时，债券折价金额实质上是发行企</w:t>
      </w:r>
      <w:r>
        <w:rPr>
          <w:spacing w:val="-35"/>
          <w:sz w:val="31"/>
        </w:rPr>
        <w:t>业</w:t>
      </w:r>
      <w:r>
        <w:rPr>
          <w:sz w:val="31"/>
        </w:rPr>
        <w:t>(</w:t>
        <w:tab/>
        <w:tab/>
        <w:t>B</w:t>
        <w:tab/>
      </w:r>
      <w:r>
        <w:rPr>
          <w:spacing w:val="-7"/>
          <w:sz w:val="31"/>
        </w:rPr>
        <w:t xml:space="preserve">) </w:t>
      </w:r>
      <w:r>
        <w:rPr>
          <w:sz w:val="31"/>
        </w:rPr>
        <w:t>。                            A．由于未来多付利息而预先收回的补偿</w:t>
        <w:tab/>
      </w:r>
      <w:r>
        <w:rPr>
          <w:spacing w:val="-4"/>
          <w:sz w:val="31"/>
        </w:rPr>
        <w:t>B．</w:t>
      </w:r>
      <w:r>
        <w:rPr>
          <w:sz w:val="31"/>
        </w:rPr>
        <w:t>由于未来少付利息而预先对投资者的补</w:t>
      </w:r>
      <w:r>
        <w:rPr>
          <w:spacing w:val="-18"/>
          <w:sz w:val="31"/>
        </w:rPr>
        <w:t>偿</w:t>
      </w:r>
      <w:r>
        <w:rPr>
          <w:sz w:val="31"/>
        </w:rPr>
        <w:t>C．由于未来多得利息而预先支付的代价</w:t>
        <w:tab/>
        <w:t>D．由于未来少得利息面预先取得的补偿</w:t>
      </w:r>
    </w:p>
    <w:p>
      <w:pPr>
        <w:pStyle w:val="ListParagraph"/>
        <w:numPr>
          <w:ilvl w:val="0"/>
          <w:numId w:val="33"/>
        </w:numPr>
        <w:tabs>
          <w:tab w:val="left" w:pos="1425"/>
          <w:tab w:val="left" w:pos="9776"/>
          <w:tab w:val="left" w:pos="10252"/>
        </w:tabs>
        <w:spacing w:before="0" w:after="0" w:line="240" w:lineRule="auto"/>
        <w:ind w:left="1424" w:right="0" w:hanging="635"/>
        <w:jc w:val="left"/>
        <w:rPr>
          <w:sz w:val="31"/>
        </w:rPr>
      </w:pPr>
      <w:r>
        <w:rPr>
          <w:sz w:val="31"/>
        </w:rPr>
        <w:t>发行期限为</w:t>
      </w:r>
      <w:r>
        <w:rPr>
          <w:spacing w:val="-5"/>
          <w:sz w:val="31"/>
        </w:rPr>
        <w:t xml:space="preserve"> </w:t>
      </w:r>
      <w:r>
        <w:rPr>
          <w:sz w:val="31"/>
        </w:rPr>
        <w:t>9</w:t>
      </w:r>
      <w:r>
        <w:rPr>
          <w:spacing w:val="12"/>
          <w:sz w:val="31"/>
        </w:rPr>
        <w:t xml:space="preserve"> </w:t>
      </w:r>
      <w:r>
        <w:rPr>
          <w:sz w:val="31"/>
        </w:rPr>
        <w:t>个月人公司债券，该项负债的可计算账户</w:t>
      </w:r>
      <w:r>
        <w:rPr>
          <w:spacing w:val="-31"/>
          <w:sz w:val="31"/>
        </w:rPr>
        <w:t>为</w:t>
      </w:r>
      <w:r>
        <w:rPr>
          <w:sz w:val="31"/>
        </w:rPr>
        <w:t>(</w:t>
        <w:tab/>
        <w:t>D</w:t>
        <w:tab/>
      </w:r>
      <w:r>
        <w:rPr>
          <w:spacing w:val="-8"/>
          <w:sz w:val="31"/>
        </w:rPr>
        <w:t>)</w:t>
      </w:r>
      <w:r>
        <w:rPr>
          <w:sz w:val="31"/>
        </w:rPr>
        <w:t>。</w:t>
      </w:r>
    </w:p>
    <w:p>
      <w:pPr>
        <w:pStyle w:val="ListParagraph"/>
        <w:numPr>
          <w:ilvl w:val="1"/>
          <w:numId w:val="33"/>
        </w:numPr>
        <w:tabs>
          <w:tab w:val="left" w:pos="1896"/>
          <w:tab w:val="left" w:pos="4422"/>
          <w:tab w:val="left" w:pos="7256"/>
          <w:tab w:val="left" w:pos="10248"/>
          <w:tab w:val="left" w:pos="11666"/>
          <w:tab w:val="left" w:pos="12142"/>
        </w:tabs>
        <w:spacing w:before="143" w:after="0" w:line="326" w:lineRule="auto"/>
        <w:ind w:left="790" w:right="2300" w:firstLine="633"/>
        <w:jc w:val="left"/>
        <w:rPr>
          <w:sz w:val="31"/>
        </w:rPr>
      </w:pPr>
      <w:r>
        <w:rPr>
          <w:sz w:val="31"/>
        </w:rPr>
        <w:t>应收债券</w:t>
        <w:tab/>
      </w:r>
      <w:r>
        <w:rPr>
          <w:spacing w:val="-5"/>
          <w:sz w:val="31"/>
        </w:rPr>
        <w:t>B．</w:t>
      </w:r>
      <w:r>
        <w:rPr>
          <w:sz w:val="31"/>
        </w:rPr>
        <w:t>短期借款</w:t>
        <w:tab/>
      </w:r>
      <w:r>
        <w:rPr>
          <w:spacing w:val="-4"/>
          <w:sz w:val="31"/>
        </w:rPr>
        <w:t>C．</w:t>
      </w:r>
      <w:r>
        <w:rPr>
          <w:sz w:val="31"/>
        </w:rPr>
        <w:t>应付票据</w:t>
        <w:tab/>
      </w:r>
      <w:r>
        <w:rPr>
          <w:spacing w:val="-4"/>
          <w:sz w:val="31"/>
        </w:rPr>
        <w:t>D．</w:t>
      </w:r>
      <w:r>
        <w:rPr>
          <w:sz w:val="31"/>
        </w:rPr>
        <w:t>短期应付债</w:t>
      </w:r>
      <w:r>
        <w:rPr>
          <w:spacing w:val="-17"/>
          <w:sz w:val="31"/>
        </w:rPr>
        <w:t>券</w:t>
      </w:r>
      <w:r>
        <w:rPr>
          <w:sz w:val="31"/>
        </w:rPr>
        <w:t>44．根据我国借款费用准则的规定，下列借款利息中应予以资本化处理的</w:t>
      </w:r>
      <w:r>
        <w:rPr>
          <w:spacing w:val="-53"/>
          <w:sz w:val="31"/>
        </w:rPr>
        <w:t>是</w:t>
      </w:r>
      <w:r>
        <w:rPr>
          <w:sz w:val="31"/>
        </w:rPr>
        <w:t>(</w:t>
        <w:tab/>
        <w:t>C</w:t>
        <w:tab/>
      </w:r>
      <w:r>
        <w:rPr>
          <w:spacing w:val="-7"/>
          <w:sz w:val="31"/>
        </w:rPr>
        <w:t>)</w:t>
      </w:r>
      <w:r>
        <w:rPr>
          <w:spacing w:val="-11"/>
          <w:sz w:val="31"/>
        </w:rPr>
        <w:t>。</w:t>
      </w:r>
    </w:p>
    <w:p>
      <w:pPr>
        <w:pStyle w:val="BodyText"/>
        <w:tabs>
          <w:tab w:val="left" w:pos="8044"/>
        </w:tabs>
        <w:spacing w:after="37" w:line="326" w:lineRule="auto"/>
        <w:ind w:left="1423" w:right="2606"/>
      </w:pPr>
      <w:r>
        <w:t>A．因企业并购所发生的长期借款利息</w:t>
        <w:tab/>
      </w:r>
      <w:r>
        <w:rPr>
          <w:spacing w:val="-6"/>
        </w:rPr>
        <w:t>B．</w:t>
      </w:r>
      <w:r>
        <w:t>购入存货而发生的借款利</w:t>
      </w:r>
      <w:r>
        <w:rPr>
          <w:spacing w:val="-17"/>
        </w:rPr>
        <w:t>息</w:t>
      </w:r>
      <w:r>
        <w:t>C．建造生产车间在资产达到预定可使用状态前发生的长期借款利息         D．进行新产品研发在研究阶段所发生的长期借款利息</w:t>
      </w:r>
    </w:p>
    <w:tbl>
      <w:tblPr>
        <w:tblStyle w:val="TableNormal0"/>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81"/>
        <w:gridCol w:w="475"/>
        <w:gridCol w:w="3841"/>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4781" w:type="dxa"/>
          </w:tcPr>
          <w:p>
            <w:pPr>
              <w:pStyle w:val="TableParagraph"/>
              <w:spacing w:before="0" w:line="359" w:lineRule="exact"/>
              <w:ind w:left="70" w:right="176"/>
              <w:jc w:val="center"/>
              <w:rPr>
                <w:sz w:val="31"/>
              </w:rPr>
            </w:pPr>
            <w:r>
              <w:rPr>
                <w:sz w:val="31"/>
              </w:rPr>
              <w:t>45．溢价发行债券晨，市场利率(</w:t>
            </w:r>
          </w:p>
        </w:tc>
        <w:tc>
          <w:tcPr>
            <w:tcW w:w="475" w:type="dxa"/>
          </w:tcPr>
          <w:p>
            <w:pPr>
              <w:pStyle w:val="TableParagraph"/>
              <w:spacing w:before="0" w:line="359" w:lineRule="exact"/>
              <w:ind w:left="158"/>
              <w:rPr>
                <w:sz w:val="31"/>
              </w:rPr>
            </w:pPr>
            <w:r>
              <w:rPr>
                <w:w w:val="102"/>
                <w:sz w:val="31"/>
              </w:rPr>
              <w:t>A</w:t>
            </w:r>
          </w:p>
        </w:tc>
        <w:tc>
          <w:tcPr>
            <w:tcW w:w="3841" w:type="dxa"/>
          </w:tcPr>
          <w:p>
            <w:pPr>
              <w:pStyle w:val="TableParagraph"/>
              <w:spacing w:before="0" w:line="359" w:lineRule="exact"/>
              <w:ind w:left="158"/>
              <w:rPr>
                <w:sz w:val="31"/>
              </w:rPr>
            </w:pPr>
            <w:r>
              <w:rPr>
                <w:sz w:val="31"/>
              </w:rPr>
              <w:t>)。</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4781" w:type="dxa"/>
          </w:tcPr>
          <w:p>
            <w:pPr>
              <w:pStyle w:val="TableParagraph"/>
              <w:ind w:left="70" w:right="159"/>
              <w:jc w:val="center"/>
              <w:rPr>
                <w:sz w:val="31"/>
              </w:rPr>
            </w:pPr>
            <w:r>
              <w:rPr>
                <w:sz w:val="31"/>
              </w:rPr>
              <w:t>A．低于债券的票面利率</w:t>
            </w:r>
          </w:p>
        </w:tc>
        <w:tc>
          <w:tcPr>
            <w:tcW w:w="475" w:type="dxa"/>
          </w:tcPr>
          <w:p>
            <w:pPr>
              <w:pStyle w:val="TableParagraph"/>
              <w:spacing w:before="0"/>
              <w:rPr>
                <w:rFonts w:ascii="Times New Roman"/>
                <w:sz w:val="30"/>
              </w:rPr>
            </w:pPr>
          </w:p>
        </w:tc>
        <w:tc>
          <w:tcPr>
            <w:tcW w:w="3841" w:type="dxa"/>
          </w:tcPr>
          <w:p>
            <w:pPr>
              <w:pStyle w:val="TableParagraph"/>
              <w:ind w:left="475"/>
              <w:rPr>
                <w:sz w:val="31"/>
              </w:rPr>
            </w:pPr>
            <w:r>
              <w:rPr>
                <w:sz w:val="31"/>
              </w:rPr>
              <w:t>B．高于债券的票面利率</w:t>
            </w: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4781" w:type="dxa"/>
          </w:tcPr>
          <w:p>
            <w:pPr>
              <w:pStyle w:val="TableParagraph"/>
              <w:spacing w:line="335" w:lineRule="exact"/>
              <w:ind w:left="70" w:right="159"/>
              <w:jc w:val="center"/>
              <w:rPr>
                <w:sz w:val="31"/>
              </w:rPr>
            </w:pPr>
            <w:r>
              <w:rPr>
                <w:sz w:val="31"/>
              </w:rPr>
              <w:t>C．等于债券的票面利率</w:t>
            </w:r>
          </w:p>
        </w:tc>
        <w:tc>
          <w:tcPr>
            <w:tcW w:w="475" w:type="dxa"/>
          </w:tcPr>
          <w:p>
            <w:pPr>
              <w:pStyle w:val="TableParagraph"/>
              <w:spacing w:before="0"/>
              <w:rPr>
                <w:rFonts w:ascii="Times New Roman"/>
                <w:sz w:val="30"/>
              </w:rPr>
            </w:pPr>
          </w:p>
        </w:tc>
        <w:tc>
          <w:tcPr>
            <w:tcW w:w="3841" w:type="dxa"/>
          </w:tcPr>
          <w:p>
            <w:pPr>
              <w:pStyle w:val="TableParagraph"/>
              <w:spacing w:line="335" w:lineRule="exact"/>
              <w:ind w:left="475"/>
              <w:rPr>
                <w:sz w:val="31"/>
              </w:rPr>
            </w:pPr>
            <w:r>
              <w:rPr>
                <w:sz w:val="31"/>
              </w:rPr>
              <w:t>D．无法判断</w:t>
            </w:r>
          </w:p>
        </w:tc>
      </w:tr>
    </w:tbl>
    <w:p>
      <w:pPr>
        <w:pStyle w:val="ListParagraph"/>
        <w:numPr>
          <w:ilvl w:val="0"/>
          <w:numId w:val="32"/>
        </w:numPr>
        <w:tabs>
          <w:tab w:val="left" w:pos="1425"/>
          <w:tab w:val="left" w:pos="3950"/>
          <w:tab w:val="left" w:pos="6943"/>
          <w:tab w:val="left" w:pos="10251"/>
          <w:tab w:val="left" w:pos="12614"/>
          <w:tab w:val="left" w:pos="13089"/>
        </w:tabs>
        <w:spacing w:before="186" w:after="0" w:line="326" w:lineRule="auto"/>
        <w:ind w:left="1423" w:right="1359" w:hanging="634"/>
        <w:jc w:val="left"/>
        <w:rPr>
          <w:sz w:val="31"/>
        </w:rPr>
      </w:pPr>
      <w:r>
        <w:rPr>
          <w:sz w:val="31"/>
        </w:rPr>
        <w:t>企业为减少注册资本而回购本公司股份，按实际支付的金额，应借记的账户</w:t>
      </w:r>
      <w:r>
        <w:rPr>
          <w:spacing w:val="-56"/>
          <w:sz w:val="31"/>
        </w:rPr>
        <w:t>是</w:t>
      </w:r>
      <w:r>
        <w:rPr>
          <w:sz w:val="31"/>
        </w:rPr>
        <w:t>(</w:t>
        <w:tab/>
        <w:t>D</w:t>
        <w:tab/>
      </w:r>
      <w:r>
        <w:rPr>
          <w:spacing w:val="-8"/>
          <w:sz w:val="31"/>
        </w:rPr>
        <w:t>)</w:t>
      </w:r>
      <w:r>
        <w:rPr>
          <w:spacing w:val="-16"/>
          <w:sz w:val="31"/>
        </w:rPr>
        <w:t>。</w:t>
      </w:r>
      <w:r>
        <w:rPr>
          <w:sz w:val="31"/>
        </w:rPr>
        <w:t>A．股本</w:t>
        <w:tab/>
      </w:r>
      <w:r>
        <w:rPr>
          <w:spacing w:val="-6"/>
          <w:sz w:val="31"/>
        </w:rPr>
        <w:t>B．</w:t>
      </w:r>
      <w:r>
        <w:rPr>
          <w:sz w:val="31"/>
        </w:rPr>
        <w:t>盈余公积</w:t>
        <w:tab/>
      </w:r>
      <w:r>
        <w:rPr>
          <w:spacing w:val="-6"/>
          <w:sz w:val="31"/>
        </w:rPr>
        <w:t>C．</w:t>
      </w:r>
      <w:r>
        <w:rPr>
          <w:sz w:val="31"/>
        </w:rPr>
        <w:t>资本公积</w:t>
        <w:tab/>
      </w:r>
      <w:r>
        <w:rPr>
          <w:spacing w:val="-6"/>
          <w:sz w:val="31"/>
        </w:rPr>
        <w:t>D．</w:t>
      </w:r>
      <w:r>
        <w:rPr>
          <w:sz w:val="31"/>
        </w:rPr>
        <w:t>库存股</w:t>
      </w:r>
    </w:p>
    <w:p>
      <w:pPr>
        <w:pStyle w:val="ListParagraph"/>
        <w:numPr>
          <w:ilvl w:val="0"/>
          <w:numId w:val="32"/>
        </w:numPr>
        <w:tabs>
          <w:tab w:val="left" w:pos="1425"/>
          <w:tab w:val="left" w:pos="5207"/>
        </w:tabs>
        <w:spacing w:before="0" w:after="0" w:line="326" w:lineRule="auto"/>
        <w:ind w:left="159" w:right="278" w:firstLine="630"/>
        <w:jc w:val="left"/>
        <w:rPr>
          <w:sz w:val="31"/>
        </w:rPr>
      </w:pPr>
      <w:r>
        <w:rPr>
          <w:sz w:val="31"/>
        </w:rPr>
        <w:t>公司将股票面值</w:t>
      </w:r>
      <w:r>
        <w:rPr>
          <w:spacing w:val="-28"/>
          <w:sz w:val="31"/>
        </w:rPr>
        <w:t xml:space="preserve"> </w:t>
      </w:r>
      <w:r>
        <w:rPr>
          <w:sz w:val="31"/>
        </w:rPr>
        <w:t>1000</w:t>
      </w:r>
      <w:r>
        <w:rPr>
          <w:spacing w:val="-15"/>
          <w:sz w:val="31"/>
        </w:rPr>
        <w:t xml:space="preserve"> </w:t>
      </w:r>
      <w:r>
        <w:rPr>
          <w:sz w:val="31"/>
        </w:rPr>
        <w:t>万元的股票按</w:t>
      </w:r>
      <w:r>
        <w:rPr>
          <w:spacing w:val="-17"/>
          <w:sz w:val="31"/>
        </w:rPr>
        <w:t xml:space="preserve"> </w:t>
      </w:r>
      <w:r>
        <w:rPr>
          <w:sz w:val="31"/>
        </w:rPr>
        <w:t>1100</w:t>
      </w:r>
      <w:r>
        <w:rPr>
          <w:spacing w:val="-16"/>
          <w:sz w:val="31"/>
        </w:rPr>
        <w:t xml:space="preserve"> </w:t>
      </w:r>
      <w:r>
        <w:rPr>
          <w:sz w:val="31"/>
        </w:rPr>
        <w:t>万元的价格发行，发行费用</w:t>
      </w:r>
      <w:r>
        <w:rPr>
          <w:spacing w:val="-38"/>
          <w:sz w:val="31"/>
        </w:rPr>
        <w:t xml:space="preserve"> </w:t>
      </w:r>
      <w:r>
        <w:rPr>
          <w:sz w:val="31"/>
        </w:rPr>
        <w:t>35</w:t>
      </w:r>
      <w:r>
        <w:rPr>
          <w:spacing w:val="-11"/>
          <w:sz w:val="31"/>
        </w:rPr>
        <w:t xml:space="preserve"> </w:t>
      </w:r>
      <w:r>
        <w:rPr>
          <w:sz w:val="31"/>
        </w:rPr>
        <w:t>万元。则应计“资本</w:t>
      </w:r>
      <w:r>
        <w:rPr>
          <w:spacing w:val="-16"/>
          <w:sz w:val="31"/>
        </w:rPr>
        <w:t>公</w:t>
      </w:r>
      <w:r>
        <w:rPr>
          <w:sz w:val="31"/>
        </w:rPr>
        <w:t>积----股票溢价”账户的金额</w:t>
      </w:r>
      <w:r>
        <w:rPr>
          <w:spacing w:val="-18"/>
          <w:sz w:val="31"/>
        </w:rPr>
        <w:t>为</w:t>
      </w:r>
      <w:r>
        <w:rPr>
          <w:sz w:val="31"/>
        </w:rPr>
        <w:t>(</w:t>
        <w:tab/>
        <w:t>B</w:t>
      </w:r>
      <w:r>
        <w:rPr>
          <w:spacing w:val="3"/>
          <w:sz w:val="31"/>
        </w:rPr>
        <w:t xml:space="preserve"> </w:t>
      </w:r>
      <w:r>
        <w:rPr>
          <w:spacing w:val="-7"/>
          <w:sz w:val="31"/>
        </w:rPr>
        <w:t>)</w:t>
      </w:r>
      <w:r>
        <w:rPr>
          <w:sz w:val="31"/>
        </w:rPr>
        <w:t>万元。</w:t>
      </w:r>
    </w:p>
    <w:p>
      <w:pPr>
        <w:pStyle w:val="BodyText"/>
        <w:tabs>
          <w:tab w:val="left" w:pos="3954"/>
          <w:tab w:val="left" w:pos="6471"/>
          <w:tab w:val="left" w:pos="9311"/>
        </w:tabs>
        <w:spacing w:line="397" w:lineRule="exact"/>
        <w:ind w:left="1423"/>
      </w:pPr>
      <w:r>
        <w:t>A．100</w:t>
        <w:tab/>
      </w:r>
      <w:r>
        <w:rPr>
          <w:spacing w:val="-5"/>
        </w:rPr>
        <w:t>B．65</w:t>
        <w:tab/>
      </w:r>
      <w:r>
        <w:rPr>
          <w:spacing w:val="-3"/>
        </w:rPr>
        <w:t>C．135</w:t>
        <w:tab/>
      </w:r>
      <w:r>
        <w:rPr>
          <w:spacing w:val="-5"/>
        </w:rPr>
        <w:t>D．35</w:t>
      </w:r>
    </w:p>
    <w:p>
      <w:pPr>
        <w:pStyle w:val="ListParagraph"/>
        <w:numPr>
          <w:ilvl w:val="0"/>
          <w:numId w:val="32"/>
        </w:numPr>
        <w:tabs>
          <w:tab w:val="left" w:pos="1425"/>
          <w:tab w:val="left" w:pos="7104"/>
          <w:tab w:val="left" w:pos="8675"/>
        </w:tabs>
        <w:spacing w:before="142" w:after="0" w:line="326" w:lineRule="auto"/>
        <w:ind w:left="1423" w:right="5134" w:hanging="634"/>
        <w:jc w:val="left"/>
        <w:rPr>
          <w:sz w:val="31"/>
        </w:rPr>
      </w:pPr>
      <w:r>
        <w:rPr>
          <w:sz w:val="31"/>
        </w:rPr>
        <w:t>下列各项中，会引起留存收益总额发生变动的</w:t>
      </w:r>
      <w:r>
        <w:rPr>
          <w:spacing w:val="-35"/>
          <w:sz w:val="31"/>
        </w:rPr>
        <w:t>是</w:t>
      </w:r>
      <w:r>
        <w:rPr>
          <w:sz w:val="31"/>
        </w:rPr>
        <w:t>(</w:t>
        <w:tab/>
        <w:t>A</w:t>
      </w:r>
      <w:r>
        <w:rPr>
          <w:spacing w:val="7"/>
          <w:sz w:val="31"/>
        </w:rPr>
        <w:t xml:space="preserve"> </w:t>
      </w:r>
      <w:r>
        <w:rPr>
          <w:spacing w:val="-8"/>
          <w:sz w:val="31"/>
        </w:rPr>
        <w:t>)</w:t>
      </w:r>
      <w:r>
        <w:rPr>
          <w:sz w:val="31"/>
        </w:rPr>
        <w:t>。A．用盈余公积转增资本</w:t>
        <w:tab/>
      </w:r>
      <w:r>
        <w:rPr>
          <w:spacing w:val="-8"/>
          <w:sz w:val="31"/>
        </w:rPr>
        <w:t>B．</w:t>
      </w:r>
      <w:r>
        <w:rPr>
          <w:sz w:val="31"/>
        </w:rPr>
        <w:t>用盈余公积补</w:t>
      </w:r>
      <w:r>
        <w:rPr>
          <w:spacing w:val="-17"/>
          <w:sz w:val="31"/>
        </w:rPr>
        <w:t>亏</w:t>
      </w:r>
    </w:p>
    <w:p>
      <w:pPr>
        <w:pStyle w:val="BodyText"/>
        <w:tabs>
          <w:tab w:val="left" w:pos="7104"/>
          <w:tab w:val="left" w:pos="8354"/>
          <w:tab w:val="left" w:pos="8829"/>
        </w:tabs>
        <w:spacing w:after="38" w:line="326" w:lineRule="auto"/>
        <w:ind w:right="5134" w:firstLine="633"/>
      </w:pPr>
      <w:r>
        <w:t>C．用资本公积转增资本</w:t>
        <w:tab/>
      </w:r>
      <w:r>
        <w:rPr>
          <w:spacing w:val="-8"/>
        </w:rPr>
        <w:t>D．</w:t>
      </w:r>
      <w:r>
        <w:t>用税后利润补</w:t>
      </w:r>
      <w:r>
        <w:rPr>
          <w:spacing w:val="-17"/>
        </w:rPr>
        <w:t>亏</w:t>
      </w:r>
      <w:r>
        <w:rPr>
          <w:w w:val="102"/>
        </w:rPr>
        <w:t>49．年末结转后</w:t>
      </w:r>
      <w:r>
        <w:rPr>
          <w:spacing w:val="-169"/>
          <w:w w:val="102"/>
        </w:rPr>
        <w:t>，</w:t>
      </w:r>
      <w:r>
        <w:rPr>
          <w:w w:val="102"/>
        </w:rPr>
        <w:t>“利润分配”账户的贷方余额表</w:t>
      </w:r>
      <w:r>
        <w:rPr>
          <w:spacing w:val="-29"/>
          <w:w w:val="102"/>
        </w:rPr>
        <w:t>示</w:t>
      </w:r>
      <w:r>
        <w:rPr>
          <w:w w:val="102"/>
        </w:rPr>
        <w:t>(</w:t>
      </w:r>
      <w:r>
        <w:tab/>
      </w:r>
      <w:r>
        <w:rPr>
          <w:w w:val="102"/>
        </w:rPr>
        <w:t>C</w:t>
      </w:r>
      <w:r>
        <w:tab/>
      </w:r>
      <w:r>
        <w:rPr>
          <w:spacing w:val="-7"/>
          <w:w w:val="102"/>
        </w:rPr>
        <w:t>)</w:t>
      </w:r>
      <w:r>
        <w:rPr>
          <w:w w:val="102"/>
        </w:rPr>
        <w:t>。</w:t>
      </w:r>
    </w:p>
    <w:tbl>
      <w:tblPr>
        <w:tblStyle w:val="TableNormal0"/>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69"/>
        <w:gridCol w:w="316"/>
        <w:gridCol w:w="4628"/>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5569" w:type="dxa"/>
          </w:tcPr>
          <w:p>
            <w:pPr>
              <w:pStyle w:val="TableParagraph"/>
              <w:spacing w:before="0" w:line="359" w:lineRule="exact"/>
              <w:ind w:left="683"/>
              <w:rPr>
                <w:sz w:val="31"/>
              </w:rPr>
            </w:pPr>
            <w:r>
              <w:rPr>
                <w:sz w:val="31"/>
              </w:rPr>
              <w:t>A．累计利润分配额</w:t>
            </w:r>
          </w:p>
        </w:tc>
        <w:tc>
          <w:tcPr>
            <w:tcW w:w="316" w:type="dxa"/>
          </w:tcPr>
          <w:p>
            <w:pPr>
              <w:pStyle w:val="TableParagraph"/>
              <w:spacing w:before="0"/>
              <w:rPr>
                <w:rFonts w:ascii="Times New Roman"/>
                <w:sz w:val="30"/>
              </w:rPr>
            </w:pPr>
          </w:p>
        </w:tc>
        <w:tc>
          <w:tcPr>
            <w:tcW w:w="4628" w:type="dxa"/>
          </w:tcPr>
          <w:p>
            <w:pPr>
              <w:pStyle w:val="TableParagraph"/>
              <w:spacing w:before="0" w:line="359" w:lineRule="exact"/>
              <w:ind w:left="486"/>
              <w:rPr>
                <w:sz w:val="31"/>
              </w:rPr>
            </w:pPr>
            <w:r>
              <w:rPr>
                <w:sz w:val="31"/>
              </w:rPr>
              <w:t>B．当年实现利润额</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5569" w:type="dxa"/>
          </w:tcPr>
          <w:p>
            <w:pPr>
              <w:pStyle w:val="TableParagraph"/>
              <w:ind w:left="683"/>
              <w:rPr>
                <w:sz w:val="31"/>
              </w:rPr>
            </w:pPr>
            <w:r>
              <w:rPr>
                <w:sz w:val="31"/>
              </w:rPr>
              <w:t>C．未分配利润</w:t>
            </w:r>
          </w:p>
        </w:tc>
        <w:tc>
          <w:tcPr>
            <w:tcW w:w="316" w:type="dxa"/>
          </w:tcPr>
          <w:p>
            <w:pPr>
              <w:pStyle w:val="TableParagraph"/>
              <w:spacing w:before="0"/>
              <w:rPr>
                <w:rFonts w:ascii="Times New Roman"/>
                <w:sz w:val="30"/>
              </w:rPr>
            </w:pPr>
          </w:p>
        </w:tc>
        <w:tc>
          <w:tcPr>
            <w:tcW w:w="4628" w:type="dxa"/>
          </w:tcPr>
          <w:p>
            <w:pPr>
              <w:pStyle w:val="TableParagraph"/>
              <w:ind w:left="490"/>
              <w:rPr>
                <w:sz w:val="31"/>
              </w:rPr>
            </w:pPr>
            <w:r>
              <w:rPr>
                <w:sz w:val="31"/>
              </w:rPr>
              <w:t>D．未弥补亏损</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5569" w:type="dxa"/>
          </w:tcPr>
          <w:p>
            <w:pPr>
              <w:pStyle w:val="TableParagraph"/>
              <w:ind w:left="50"/>
              <w:rPr>
                <w:sz w:val="31"/>
              </w:rPr>
            </w:pPr>
            <w:r>
              <w:rPr>
                <w:sz w:val="31"/>
              </w:rPr>
              <w:t>50．下列各项中不属于收入要素的是(</w:t>
            </w:r>
          </w:p>
        </w:tc>
        <w:tc>
          <w:tcPr>
            <w:tcW w:w="316" w:type="dxa"/>
          </w:tcPr>
          <w:p>
            <w:pPr>
              <w:pStyle w:val="TableParagraph"/>
              <w:rPr>
                <w:sz w:val="31"/>
              </w:rPr>
            </w:pPr>
            <w:r>
              <w:rPr>
                <w:w w:val="102"/>
                <w:sz w:val="31"/>
              </w:rPr>
              <w:t>D</w:t>
            </w:r>
          </w:p>
        </w:tc>
        <w:tc>
          <w:tcPr>
            <w:tcW w:w="4628" w:type="dxa"/>
          </w:tcPr>
          <w:p>
            <w:pPr>
              <w:pStyle w:val="TableParagraph"/>
              <w:ind w:left="159"/>
              <w:rPr>
                <w:sz w:val="31"/>
              </w:rPr>
            </w:pPr>
            <w:r>
              <w:rPr>
                <w:sz w:val="31"/>
              </w:rPr>
              <w:t>)。</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5569" w:type="dxa"/>
          </w:tcPr>
          <w:p>
            <w:pPr>
              <w:pStyle w:val="TableParagraph"/>
              <w:ind w:left="683" w:right="-29"/>
              <w:rPr>
                <w:sz w:val="31"/>
              </w:rPr>
            </w:pPr>
            <w:r>
              <w:rPr>
                <w:sz w:val="31"/>
              </w:rPr>
              <w:t>A</w:t>
            </w:r>
            <w:r>
              <w:rPr>
                <w:spacing w:val="-1"/>
                <w:sz w:val="31"/>
              </w:rPr>
              <w:t>．投资性房地产取得的备用金收入</w:t>
            </w:r>
          </w:p>
        </w:tc>
        <w:tc>
          <w:tcPr>
            <w:tcW w:w="316" w:type="dxa"/>
          </w:tcPr>
          <w:p>
            <w:pPr>
              <w:pStyle w:val="TableParagraph"/>
              <w:spacing w:before="0"/>
              <w:rPr>
                <w:rFonts w:ascii="Times New Roman"/>
                <w:sz w:val="30"/>
              </w:rPr>
            </w:pPr>
          </w:p>
        </w:tc>
        <w:tc>
          <w:tcPr>
            <w:tcW w:w="4628" w:type="dxa"/>
          </w:tcPr>
          <w:p>
            <w:pPr>
              <w:pStyle w:val="TableParagraph"/>
              <w:ind w:right="45"/>
              <w:jc w:val="right"/>
              <w:rPr>
                <w:sz w:val="31"/>
              </w:rPr>
            </w:pPr>
            <w:r>
              <w:rPr>
                <w:sz w:val="31"/>
              </w:rPr>
              <w:t>B．出售多余原材料的收入</w:t>
            </w: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5569" w:type="dxa"/>
          </w:tcPr>
          <w:p>
            <w:pPr>
              <w:pStyle w:val="TableParagraph"/>
              <w:spacing w:line="335" w:lineRule="exact"/>
              <w:ind w:left="683"/>
              <w:rPr>
                <w:sz w:val="31"/>
              </w:rPr>
            </w:pPr>
            <w:r>
              <w:rPr>
                <w:sz w:val="31"/>
              </w:rPr>
              <w:t>C．商品销售收入</w:t>
            </w:r>
          </w:p>
        </w:tc>
        <w:tc>
          <w:tcPr>
            <w:tcW w:w="316" w:type="dxa"/>
          </w:tcPr>
          <w:p>
            <w:pPr>
              <w:pStyle w:val="TableParagraph"/>
              <w:spacing w:before="0"/>
              <w:rPr>
                <w:rFonts w:ascii="Times New Roman"/>
                <w:sz w:val="30"/>
              </w:rPr>
            </w:pPr>
          </w:p>
        </w:tc>
        <w:tc>
          <w:tcPr>
            <w:tcW w:w="4628" w:type="dxa"/>
          </w:tcPr>
          <w:p>
            <w:pPr>
              <w:pStyle w:val="TableParagraph"/>
              <w:spacing w:line="335" w:lineRule="exact"/>
              <w:ind w:right="45"/>
              <w:jc w:val="right"/>
              <w:rPr>
                <w:sz w:val="31"/>
              </w:rPr>
            </w:pPr>
            <w:r>
              <w:rPr>
                <w:sz w:val="31"/>
              </w:rPr>
              <w:t>D．出售固定资产的净收入</w:t>
            </w:r>
          </w:p>
        </w:tc>
      </w:tr>
    </w:tbl>
    <w:p>
      <w:pPr>
        <w:pStyle w:val="BodyText"/>
        <w:tabs>
          <w:tab w:val="left" w:pos="7580"/>
          <w:tab w:val="left" w:pos="7886"/>
          <w:tab w:val="left" w:pos="8361"/>
        </w:tabs>
        <w:spacing w:before="185" w:line="326" w:lineRule="auto"/>
        <w:ind w:left="1423" w:right="5614" w:hanging="634"/>
      </w:pPr>
      <w:r>
        <w:t>51．下列各项中，不应作为营业外支出核算的</w:t>
      </w:r>
      <w:r>
        <w:rPr>
          <w:spacing w:val="-32"/>
        </w:rPr>
        <w:t>是</w:t>
      </w:r>
      <w:r>
        <w:t>(</w:t>
        <w:tab/>
        <w:tab/>
        <w:t>D</w:t>
        <w:tab/>
      </w:r>
      <w:r>
        <w:rPr>
          <w:spacing w:val="-7"/>
        </w:rPr>
        <w:t xml:space="preserve">) </w:t>
      </w:r>
      <w:r>
        <w:t>。 A．处置固定资产净损失</w:t>
        <w:tab/>
      </w:r>
      <w:r>
        <w:rPr>
          <w:spacing w:val="-9"/>
        </w:rPr>
        <w:t>B．</w:t>
      </w:r>
      <w:r>
        <w:t>罚款支</w:t>
      </w:r>
      <w:r>
        <w:rPr>
          <w:spacing w:val="-19"/>
        </w:rPr>
        <w:t>出</w:t>
      </w:r>
    </w:p>
    <w:p>
      <w:pPr>
        <w:pStyle w:val="BodyText"/>
        <w:tabs>
          <w:tab w:val="left" w:pos="7586"/>
          <w:tab w:val="left" w:pos="7731"/>
        </w:tabs>
        <w:spacing w:line="326" w:lineRule="auto"/>
        <w:ind w:right="4030" w:firstLine="633"/>
      </w:pPr>
      <w:r>
        <w:t>C．债务重组损失</w:t>
        <w:tab/>
      </w:r>
      <w:r>
        <w:rPr>
          <w:spacing w:val="-13"/>
        </w:rPr>
        <w:t>D．</w:t>
      </w:r>
      <w:r>
        <w:t>计提的存货跌价准</w:t>
      </w:r>
      <w:r>
        <w:rPr>
          <w:spacing w:val="-18"/>
        </w:rPr>
        <w:t>备</w:t>
      </w:r>
      <w:r>
        <w:t>52．分期收款销售商品，收入的入账金额</w:t>
      </w:r>
      <w:r>
        <w:rPr>
          <w:spacing w:val="-29"/>
        </w:rPr>
        <w:t>为</w:t>
      </w:r>
      <w:r>
        <w:t>(</w:t>
      </w:r>
      <w:r>
        <w:rPr>
          <w:spacing w:val="63"/>
        </w:rPr>
        <w:t xml:space="preserve"> </w:t>
      </w:r>
      <w:r>
        <w:t>B</w:t>
        <w:tab/>
        <w:tab/>
      </w:r>
      <w:r>
        <w:rPr>
          <w:spacing w:val="-11"/>
        </w:rPr>
        <w:t>)</w:t>
      </w:r>
      <w:r>
        <w:t>。</w:t>
      </w:r>
    </w:p>
    <w:p>
      <w:pPr>
        <w:pStyle w:val="BodyText"/>
        <w:tabs>
          <w:tab w:val="left" w:pos="6939"/>
        </w:tabs>
        <w:spacing w:line="326" w:lineRule="auto"/>
        <w:ind w:left="1423" w:right="2124"/>
      </w:pPr>
      <w:r>
        <w:t>A．合同或协议规定的应收金额总额</w:t>
        <w:tab/>
      </w:r>
      <w:r>
        <w:rPr>
          <w:spacing w:val="-4"/>
        </w:rPr>
        <w:t>B．</w:t>
      </w:r>
      <w:r>
        <w:t>合同或协议规定的应收金额的公允价</w:t>
      </w:r>
      <w:r>
        <w:rPr>
          <w:spacing w:val="-17"/>
        </w:rPr>
        <w:t>值</w:t>
      </w:r>
      <w:r>
        <w:t>C．各期平均收款金额</w:t>
        <w:tab/>
      </w:r>
      <w:r>
        <w:rPr>
          <w:spacing w:val="-8"/>
        </w:rPr>
        <w:t>D．</w:t>
      </w:r>
      <w:r>
        <w:t>销货发票上列示的总额</w:t>
      </w:r>
    </w:p>
    <w:p>
      <w:pPr>
        <w:spacing w:after="0" w:line="326" w:lineRule="auto"/>
        <w:sectPr>
          <w:headerReference w:type="default" r:id="rId14"/>
          <w:footerReference w:type="default" r:id="rId15"/>
          <w:pgSz w:w="17860" w:h="25270"/>
          <w:pgMar w:top="1400" w:right="1400" w:bottom="2040" w:left="1540" w:header="1088" w:footer="1816"/>
          <w:pgNumType w:start="6"/>
          <w:cols w:space="708"/>
        </w:sectPr>
      </w:pPr>
    </w:p>
    <w:p>
      <w:pPr>
        <w:pStyle w:val="BodyText"/>
        <w:spacing w:before="2"/>
        <w:ind w:left="0"/>
        <w:rPr>
          <w:sz w:val="8"/>
        </w:rPr>
      </w:pPr>
    </w:p>
    <w:p>
      <w:pPr>
        <w:pStyle w:val="BodyText"/>
        <w:tabs>
          <w:tab w:val="left" w:pos="8516"/>
          <w:tab w:val="left" w:pos="8991"/>
        </w:tabs>
        <w:spacing w:before="62" w:line="326" w:lineRule="auto"/>
        <w:ind w:left="159" w:right="194" w:firstLine="630"/>
      </w:pPr>
      <w:r>
        <w:t>53.20×5</w:t>
      </w:r>
      <w:r>
        <w:rPr>
          <w:spacing w:val="6"/>
        </w:rPr>
        <w:t xml:space="preserve"> </w:t>
      </w:r>
      <w:r>
        <w:t>年购入一台设备，原</w:t>
      </w:r>
      <w:r>
        <w:rPr>
          <w:spacing w:val="40"/>
        </w:rPr>
        <w:t>价</w:t>
      </w:r>
      <w:r>
        <w:t>100</w:t>
      </w:r>
      <w:r>
        <w:rPr>
          <w:spacing w:val="7"/>
        </w:rPr>
        <w:t xml:space="preserve"> </w:t>
      </w:r>
      <w:r>
        <w:t>万元，预计使</w:t>
      </w:r>
      <w:r>
        <w:rPr>
          <w:spacing w:val="43"/>
        </w:rPr>
        <w:t>用</w:t>
      </w:r>
      <w:r>
        <w:t>5</w:t>
      </w:r>
      <w:r>
        <w:rPr>
          <w:spacing w:val="16"/>
        </w:rPr>
        <w:t xml:space="preserve"> </w:t>
      </w:r>
      <w:r>
        <w:t>年，无残值。企业采用直线法折旧，税法规</w:t>
      </w:r>
      <w:r>
        <w:rPr>
          <w:spacing w:val="-14"/>
        </w:rPr>
        <w:t>定</w:t>
      </w:r>
      <w:r>
        <w:t>用双倍余额递减法折旧。则</w:t>
      </w:r>
      <w:r>
        <w:rPr>
          <w:spacing w:val="-64"/>
        </w:rPr>
        <w:t xml:space="preserve"> </w:t>
      </w:r>
      <w:r>
        <w:t>20×6</w:t>
      </w:r>
      <w:r>
        <w:rPr>
          <w:spacing w:val="-37"/>
        </w:rPr>
        <w:t xml:space="preserve"> </w:t>
      </w:r>
      <w:r>
        <w:t>年末产生的暂时性差</w:t>
      </w:r>
      <w:r>
        <w:rPr>
          <w:spacing w:val="-18"/>
        </w:rPr>
        <w:t>异</w:t>
      </w:r>
      <w:r>
        <w:t>(</w:t>
        <w:tab/>
        <w:t>A</w:t>
        <w:tab/>
      </w:r>
      <w:r>
        <w:rPr>
          <w:spacing w:val="-8"/>
        </w:rPr>
        <w:t>)</w:t>
      </w:r>
      <w:r>
        <w:t>。</w:t>
      </w:r>
    </w:p>
    <w:p>
      <w:pPr>
        <w:pStyle w:val="BodyText"/>
        <w:tabs>
          <w:tab w:val="left" w:pos="6946"/>
        </w:tabs>
        <w:spacing w:line="326" w:lineRule="auto"/>
        <w:ind w:left="1423" w:right="3884"/>
      </w:pPr>
      <w:r>
        <w:t>A．应纳税暂时性差异</w:t>
      </w:r>
      <w:r>
        <w:rPr>
          <w:spacing w:val="-75"/>
        </w:rPr>
        <w:t xml:space="preserve"> </w:t>
      </w:r>
      <w:r>
        <w:t>20</w:t>
      </w:r>
      <w:r>
        <w:rPr>
          <w:spacing w:val="-62"/>
        </w:rPr>
        <w:t xml:space="preserve"> </w:t>
      </w:r>
      <w:r>
        <w:t>万元</w:t>
        <w:tab/>
      </w:r>
      <w:r>
        <w:rPr>
          <w:spacing w:val="-6"/>
        </w:rPr>
        <w:t>B．</w:t>
      </w:r>
      <w:r>
        <w:t>可抵扣暂时性差异</w:t>
      </w:r>
      <w:r>
        <w:rPr>
          <w:spacing w:val="-60"/>
        </w:rPr>
        <w:t xml:space="preserve"> </w:t>
      </w:r>
      <w:r>
        <w:t>20</w:t>
      </w:r>
      <w:r>
        <w:rPr>
          <w:spacing w:val="-39"/>
        </w:rPr>
        <w:t xml:space="preserve"> </w:t>
      </w:r>
      <w:r>
        <w:t>万</w:t>
      </w:r>
      <w:r>
        <w:rPr>
          <w:spacing w:val="-16"/>
        </w:rPr>
        <w:t>元</w:t>
      </w:r>
      <w:r>
        <w:t>C．应纳税暂时性差异</w:t>
      </w:r>
      <w:r>
        <w:rPr>
          <w:spacing w:val="-75"/>
        </w:rPr>
        <w:t xml:space="preserve"> </w:t>
      </w:r>
      <w:r>
        <w:t>80</w:t>
      </w:r>
      <w:r>
        <w:rPr>
          <w:spacing w:val="-62"/>
        </w:rPr>
        <w:t xml:space="preserve"> </w:t>
      </w:r>
      <w:r>
        <w:t>万元</w:t>
        <w:tab/>
      </w:r>
      <w:r>
        <w:rPr>
          <w:spacing w:val="-6"/>
        </w:rPr>
        <w:t>D．</w:t>
      </w:r>
      <w:r>
        <w:t>可抵扣暂时性差异</w:t>
      </w:r>
      <w:r>
        <w:rPr>
          <w:spacing w:val="-60"/>
        </w:rPr>
        <w:t xml:space="preserve"> </w:t>
      </w:r>
      <w:r>
        <w:t>60</w:t>
      </w:r>
      <w:r>
        <w:rPr>
          <w:spacing w:val="-39"/>
        </w:rPr>
        <w:t xml:space="preserve"> </w:t>
      </w:r>
      <w:r>
        <w:t>万</w:t>
      </w:r>
      <w:r>
        <w:rPr>
          <w:spacing w:val="-16"/>
        </w:rPr>
        <w:t>元</w:t>
      </w:r>
    </w:p>
    <w:p>
      <w:pPr>
        <w:pStyle w:val="BodyText"/>
        <w:tabs>
          <w:tab w:val="left" w:pos="6467"/>
          <w:tab w:val="left" w:pos="12931"/>
          <w:tab w:val="left" w:pos="13406"/>
        </w:tabs>
        <w:spacing w:line="326" w:lineRule="auto"/>
        <w:ind w:left="1423" w:right="1044" w:hanging="634"/>
      </w:pPr>
      <w:r>
        <w:t>54．会计实务中，如果不易分清是会计政策变更还是会计估计变更时，正确的做法</w:t>
      </w:r>
      <w:r>
        <w:rPr>
          <w:spacing w:val="-56"/>
        </w:rPr>
        <w:t>是</w:t>
      </w:r>
      <w:r>
        <w:t>(</w:t>
        <w:tab/>
        <w:t>C</w:t>
        <w:tab/>
      </w:r>
      <w:r>
        <w:rPr>
          <w:spacing w:val="-8"/>
        </w:rPr>
        <w:t>)</w:t>
      </w:r>
      <w:r>
        <w:rPr>
          <w:spacing w:val="-18"/>
        </w:rPr>
        <w:t>。</w:t>
      </w:r>
      <w:r>
        <w:t>A．不作处理，待分清后再处理</w:t>
        <w:tab/>
      </w:r>
      <w:r>
        <w:rPr>
          <w:spacing w:val="-4"/>
        </w:rPr>
        <w:t>B．</w:t>
      </w:r>
      <w:r>
        <w:t>按会计政策变更处理</w:t>
      </w:r>
    </w:p>
    <w:p>
      <w:pPr>
        <w:pStyle w:val="BodyText"/>
        <w:tabs>
          <w:tab w:val="left" w:pos="6471"/>
          <w:tab w:val="left" w:pos="8833"/>
          <w:tab w:val="left" w:pos="9308"/>
        </w:tabs>
        <w:spacing w:line="326" w:lineRule="auto"/>
        <w:ind w:right="1012" w:firstLine="633"/>
      </w:pPr>
      <w:r>
        <w:t>C．按会计估计变更处理</w:t>
        <w:tab/>
      </w:r>
      <w:r>
        <w:rPr>
          <w:spacing w:val="-6"/>
        </w:rPr>
        <w:t>D．</w:t>
      </w:r>
      <w:r>
        <w:t>在会计政策变更和会计估计变更的处理方法中任</w:t>
      </w:r>
      <w:r>
        <w:rPr>
          <w:spacing w:val="-18"/>
        </w:rPr>
        <w:t>选</w:t>
      </w:r>
      <w:r>
        <w:t>55．对于会计估计变更，企业应采用的会计处理方法</w:t>
      </w:r>
      <w:r>
        <w:rPr>
          <w:spacing w:val="-35"/>
        </w:rPr>
        <w:t>是</w:t>
      </w:r>
      <w:r>
        <w:t>(</w:t>
        <w:tab/>
        <w:t>B</w:t>
        <w:tab/>
      </w:r>
      <w:r>
        <w:rPr>
          <w:spacing w:val="-7"/>
        </w:rPr>
        <w:t>)</w:t>
      </w:r>
      <w:r>
        <w:t>。</w:t>
      </w:r>
    </w:p>
    <w:p>
      <w:pPr>
        <w:pStyle w:val="BodyText"/>
        <w:tabs>
          <w:tab w:val="left" w:pos="4422"/>
          <w:tab w:val="left" w:pos="6309"/>
          <w:tab w:val="left" w:pos="6784"/>
          <w:tab w:val="left" w:pos="7882"/>
          <w:tab w:val="left" w:pos="11195"/>
        </w:tabs>
        <w:spacing w:line="326" w:lineRule="auto"/>
        <w:ind w:right="1673" w:firstLine="633"/>
      </w:pPr>
      <w:r>
        <w:t>A．追溯调整法</w:t>
        <w:tab/>
      </w:r>
      <w:r>
        <w:rPr>
          <w:spacing w:val="-5"/>
        </w:rPr>
        <w:t>B．</w:t>
      </w:r>
      <w:r>
        <w:t>未来适用法</w:t>
        <w:tab/>
        <w:tab/>
      </w:r>
      <w:r>
        <w:rPr>
          <w:spacing w:val="-4"/>
        </w:rPr>
        <w:t>C．</w:t>
      </w:r>
      <w:r>
        <w:t>追溯重述法</w:t>
        <w:tab/>
      </w:r>
      <w:r>
        <w:rPr>
          <w:spacing w:val="-6"/>
        </w:rPr>
        <w:t>D．</w:t>
      </w:r>
      <w:r>
        <w:t>补充登记</w:t>
      </w:r>
      <w:r>
        <w:rPr>
          <w:spacing w:val="-17"/>
        </w:rPr>
        <w:t>法</w:t>
      </w:r>
      <w:r>
        <w:t>56．资产负债表日后的调整事项是</w:t>
      </w:r>
      <w:r>
        <w:rPr>
          <w:spacing w:val="-25"/>
        </w:rPr>
        <w:t>指</w:t>
      </w:r>
      <w:r>
        <w:t>(</w:t>
        <w:tab/>
        <w:t>B</w:t>
        <w:tab/>
      </w:r>
      <w:r>
        <w:rPr>
          <w:spacing w:val="-8"/>
        </w:rPr>
        <w:t>)</w:t>
      </w:r>
      <w:r>
        <w:t>。</w:t>
      </w:r>
    </w:p>
    <w:p>
      <w:pPr>
        <w:pStyle w:val="BodyText"/>
        <w:spacing w:line="326" w:lineRule="auto"/>
        <w:ind w:left="1423" w:right="3518"/>
      </w:pPr>
      <w:r>
        <w:t>A．资产负债表日或以前已经存在的事项                           B．资产负债表日或以前已经存在、资产负债表日后得以证实的事项   C．资产负债表日不存在，但对资产负债表日存在状况产生影响的事项 D</w:t>
      </w:r>
      <w:r>
        <w:rPr>
          <w:spacing w:val="-1"/>
        </w:rPr>
        <w:t>．资产负债表日不存在，但其发生影响财务报告使用者正确决策的事项</w:t>
      </w:r>
    </w:p>
    <w:p>
      <w:pPr>
        <w:pStyle w:val="ListParagraph"/>
        <w:numPr>
          <w:ilvl w:val="0"/>
          <w:numId w:val="31"/>
        </w:numPr>
        <w:tabs>
          <w:tab w:val="left" w:pos="1425"/>
          <w:tab w:val="left" w:pos="8833"/>
          <w:tab w:val="left" w:pos="9308"/>
        </w:tabs>
        <w:spacing w:before="0" w:after="0" w:line="326" w:lineRule="auto"/>
        <w:ind w:left="1423" w:right="5140" w:hanging="634"/>
        <w:jc w:val="left"/>
        <w:rPr>
          <w:sz w:val="31"/>
        </w:rPr>
      </w:pPr>
      <w:r>
        <w:rPr>
          <w:sz w:val="31"/>
        </w:rPr>
        <w:t>下列各项中，能使企业本期利润增加的会计政策</w:t>
      </w:r>
      <w:r>
        <w:rPr>
          <w:spacing w:val="-35"/>
          <w:sz w:val="31"/>
        </w:rPr>
        <w:t>是</w:t>
      </w:r>
      <w:r>
        <w:rPr>
          <w:sz w:val="31"/>
        </w:rPr>
        <w:t>(</w:t>
        <w:tab/>
        <w:t>B</w:t>
        <w:tab/>
      </w:r>
      <w:r>
        <w:rPr>
          <w:spacing w:val="-7"/>
          <w:sz w:val="31"/>
        </w:rPr>
        <w:t>)</w:t>
      </w:r>
      <w:r>
        <w:rPr>
          <w:spacing w:val="-17"/>
          <w:sz w:val="31"/>
        </w:rPr>
        <w:t>。</w:t>
      </w:r>
      <w:r>
        <w:rPr>
          <w:sz w:val="31"/>
        </w:rPr>
        <w:t xml:space="preserve">A．备抵法下，坏账的估计率由     </w:t>
      </w:r>
      <w:r>
        <w:rPr>
          <w:spacing w:val="62"/>
          <w:sz w:val="31"/>
        </w:rPr>
        <w:t xml:space="preserve"> </w:t>
      </w:r>
      <w:r>
        <w:rPr>
          <w:sz w:val="31"/>
        </w:rPr>
        <w:t xml:space="preserve">5%提高至     </w:t>
      </w:r>
      <w:r>
        <w:rPr>
          <w:spacing w:val="80"/>
          <w:sz w:val="31"/>
        </w:rPr>
        <w:t xml:space="preserve"> </w:t>
      </w:r>
      <w:r>
        <w:rPr>
          <w:sz w:val="31"/>
        </w:rPr>
        <w:t>15% B．物价持续上涨时，发出存货计价采用先进先出法      C．长期股权投资采用权益法核算                      D．固定资产折旧由直线法改为加速折旧法</w:t>
      </w:r>
    </w:p>
    <w:p>
      <w:pPr>
        <w:pStyle w:val="ListParagraph"/>
        <w:numPr>
          <w:ilvl w:val="0"/>
          <w:numId w:val="31"/>
        </w:numPr>
        <w:tabs>
          <w:tab w:val="left" w:pos="1425"/>
          <w:tab w:val="left" w:pos="4738"/>
          <w:tab w:val="left" w:pos="8048"/>
          <w:tab w:val="left" w:pos="11195"/>
          <w:tab w:val="left" w:pos="14079"/>
        </w:tabs>
        <w:spacing w:before="0" w:after="0" w:line="326" w:lineRule="auto"/>
        <w:ind w:left="1423" w:right="132" w:hanging="634"/>
        <w:jc w:val="left"/>
        <w:rPr>
          <w:sz w:val="31"/>
        </w:rPr>
      </w:pPr>
      <w:r>
        <w:rPr>
          <w:w w:val="102"/>
          <w:sz w:val="31"/>
        </w:rPr>
        <w:t>期末</w:t>
      </w:r>
      <w:r>
        <w:rPr>
          <w:spacing w:val="-270"/>
          <w:w w:val="102"/>
          <w:sz w:val="31"/>
        </w:rPr>
        <w:t>，</w:t>
      </w:r>
      <w:r>
        <w:rPr>
          <w:w w:val="102"/>
          <w:sz w:val="31"/>
        </w:rPr>
        <w:t>“预付账款</w:t>
      </w:r>
      <w:r>
        <w:rPr>
          <w:spacing w:val="-115"/>
          <w:w w:val="102"/>
          <w:sz w:val="31"/>
        </w:rPr>
        <w:t>”</w:t>
      </w:r>
      <w:r>
        <w:rPr>
          <w:w w:val="102"/>
          <w:sz w:val="31"/>
        </w:rPr>
        <w:t>所属明细账户如果出现贷方余额</w:t>
      </w:r>
      <w:r>
        <w:rPr>
          <w:spacing w:val="-133"/>
          <w:w w:val="102"/>
          <w:sz w:val="31"/>
        </w:rPr>
        <w:t>，</w:t>
      </w:r>
      <w:r>
        <w:rPr>
          <w:w w:val="102"/>
          <w:sz w:val="31"/>
        </w:rPr>
        <w:t>编制资产负债表应将其填列的项目</w:t>
      </w:r>
      <w:r>
        <w:rPr>
          <w:spacing w:val="-24"/>
          <w:w w:val="102"/>
          <w:sz w:val="31"/>
        </w:rPr>
        <w:t>是</w:t>
      </w:r>
      <w:r>
        <w:rPr>
          <w:w w:val="102"/>
          <w:sz w:val="31"/>
        </w:rPr>
        <w:t>(</w:t>
      </w:r>
      <w:r>
        <w:rPr>
          <w:sz w:val="31"/>
        </w:rPr>
        <w:tab/>
      </w:r>
      <w:r>
        <w:rPr>
          <w:w w:val="102"/>
          <w:sz w:val="31"/>
        </w:rPr>
        <w:t>C</w:t>
      </w:r>
      <w:r>
        <w:rPr>
          <w:spacing w:val="-83"/>
          <w:sz w:val="31"/>
        </w:rPr>
        <w:t xml:space="preserve"> </w:t>
      </w:r>
      <w:r>
        <w:rPr>
          <w:spacing w:val="-1"/>
          <w:w w:val="102"/>
          <w:sz w:val="31"/>
        </w:rPr>
        <w:t>)</w:t>
      </w:r>
      <w:r>
        <w:rPr>
          <w:spacing w:val="-16"/>
          <w:w w:val="102"/>
          <w:sz w:val="31"/>
        </w:rPr>
        <w:t>。</w:t>
      </w:r>
      <w:r>
        <w:rPr>
          <w:w w:val="102"/>
          <w:sz w:val="31"/>
        </w:rPr>
        <w:t xml:space="preserve"> </w:t>
      </w:r>
      <w:r>
        <w:rPr>
          <w:sz w:val="31"/>
        </w:rPr>
        <w:t>A．预付账款</w:t>
        <w:tab/>
      </w:r>
      <w:r>
        <w:rPr>
          <w:spacing w:val="-5"/>
          <w:sz w:val="31"/>
        </w:rPr>
        <w:t>B．</w:t>
      </w:r>
      <w:r>
        <w:rPr>
          <w:sz w:val="31"/>
        </w:rPr>
        <w:t>预收账款</w:t>
        <w:tab/>
      </w:r>
      <w:r>
        <w:rPr>
          <w:spacing w:val="-7"/>
          <w:sz w:val="31"/>
        </w:rPr>
        <w:t>C．</w:t>
      </w:r>
      <w:r>
        <w:rPr>
          <w:sz w:val="31"/>
        </w:rPr>
        <w:t>应付账款</w:t>
        <w:tab/>
      </w:r>
      <w:r>
        <w:rPr>
          <w:spacing w:val="-6"/>
          <w:sz w:val="31"/>
        </w:rPr>
        <w:t>D．</w:t>
      </w:r>
      <w:r>
        <w:rPr>
          <w:sz w:val="31"/>
        </w:rPr>
        <w:t>应收账款</w:t>
      </w:r>
    </w:p>
    <w:p>
      <w:pPr>
        <w:pStyle w:val="ListParagraph"/>
        <w:numPr>
          <w:ilvl w:val="0"/>
          <w:numId w:val="31"/>
        </w:numPr>
        <w:tabs>
          <w:tab w:val="left" w:pos="1425"/>
          <w:tab w:val="left" w:pos="6471"/>
          <w:tab w:val="left" w:pos="11983"/>
          <w:tab w:val="left" w:pos="12458"/>
        </w:tabs>
        <w:spacing w:before="0" w:after="0" w:line="326" w:lineRule="auto"/>
        <w:ind w:left="1423" w:right="1989" w:hanging="634"/>
        <w:jc w:val="left"/>
        <w:rPr>
          <w:sz w:val="31"/>
        </w:rPr>
      </w:pPr>
      <w:r>
        <w:rPr>
          <w:sz w:val="31"/>
        </w:rPr>
        <w:t>下列经济业务产生的现金流量中，属于“投资活动产生的现金流量”的</w:t>
      </w:r>
      <w:r>
        <w:rPr>
          <w:spacing w:val="-53"/>
          <w:sz w:val="31"/>
        </w:rPr>
        <w:t>是</w:t>
      </w:r>
      <w:r>
        <w:rPr>
          <w:sz w:val="31"/>
        </w:rPr>
        <w:t>(</w:t>
        <w:tab/>
        <w:t>A</w:t>
        <w:tab/>
      </w:r>
      <w:r>
        <w:rPr>
          <w:spacing w:val="-7"/>
          <w:sz w:val="31"/>
        </w:rPr>
        <w:t>)</w:t>
      </w:r>
      <w:r>
        <w:rPr>
          <w:spacing w:val="-16"/>
          <w:sz w:val="31"/>
        </w:rPr>
        <w:t>。</w:t>
      </w:r>
      <w:r>
        <w:rPr>
          <w:sz w:val="31"/>
        </w:rPr>
        <w:t>A．收到的现金股利</w:t>
        <w:tab/>
      </w:r>
      <w:r>
        <w:rPr>
          <w:spacing w:val="-9"/>
          <w:sz w:val="31"/>
        </w:rPr>
        <w:t>B．</w:t>
      </w:r>
      <w:r>
        <w:rPr>
          <w:sz w:val="31"/>
        </w:rPr>
        <w:t>利润实现和分配情况                  C．吸收投资所收到的现金</w:t>
        <w:tab/>
      </w:r>
      <w:r>
        <w:rPr>
          <w:spacing w:val="-6"/>
          <w:sz w:val="31"/>
        </w:rPr>
        <w:t>D．</w:t>
      </w:r>
      <w:r>
        <w:rPr>
          <w:sz w:val="31"/>
        </w:rPr>
        <w:t>支付的购货款</w:t>
      </w:r>
    </w:p>
    <w:p>
      <w:pPr>
        <w:pStyle w:val="ListParagraph"/>
        <w:numPr>
          <w:ilvl w:val="0"/>
          <w:numId w:val="31"/>
        </w:numPr>
        <w:tabs>
          <w:tab w:val="left" w:pos="1425"/>
          <w:tab w:val="left" w:pos="6481"/>
          <w:tab w:val="left" w:pos="7569"/>
          <w:tab w:val="left" w:pos="8044"/>
        </w:tabs>
        <w:spacing w:before="0" w:after="0" w:line="326" w:lineRule="auto"/>
        <w:ind w:left="1423" w:right="5447" w:hanging="634"/>
        <w:jc w:val="left"/>
        <w:rPr>
          <w:sz w:val="31"/>
        </w:rPr>
      </w:pPr>
      <w:r>
        <w:rPr>
          <w:sz w:val="31"/>
        </w:rPr>
        <w:t>下列利润表项目中，不影响营业利润的</w:t>
      </w:r>
      <w:r>
        <w:rPr>
          <w:spacing w:val="-32"/>
          <w:sz w:val="31"/>
        </w:rPr>
        <w:t>是</w:t>
      </w:r>
      <w:r>
        <w:rPr>
          <w:sz w:val="31"/>
        </w:rPr>
        <w:t>(</w:t>
        <w:tab/>
        <w:t>A</w:t>
        <w:tab/>
      </w:r>
      <w:r>
        <w:rPr>
          <w:spacing w:val="-7"/>
          <w:sz w:val="31"/>
        </w:rPr>
        <w:t xml:space="preserve">) </w:t>
      </w:r>
      <w:r>
        <w:rPr>
          <w:sz w:val="31"/>
        </w:rPr>
        <w:t>。   A．所得税费用</w:t>
        <w:tab/>
      </w:r>
      <w:r>
        <w:rPr>
          <w:spacing w:val="-11"/>
          <w:sz w:val="31"/>
        </w:rPr>
        <w:t>B．</w:t>
      </w:r>
      <w:r>
        <w:rPr>
          <w:sz w:val="31"/>
        </w:rPr>
        <w:t>公允价值变动收</w:t>
      </w:r>
      <w:r>
        <w:rPr>
          <w:spacing w:val="-18"/>
          <w:sz w:val="31"/>
        </w:rPr>
        <w:t>益</w:t>
      </w:r>
    </w:p>
    <w:p>
      <w:pPr>
        <w:pStyle w:val="BodyText"/>
        <w:tabs>
          <w:tab w:val="left" w:pos="6481"/>
        </w:tabs>
        <w:spacing w:line="397" w:lineRule="exact"/>
        <w:ind w:left="1423"/>
      </w:pPr>
      <w:r>
        <w:t>C．投资收益</w:t>
        <w:tab/>
      </w:r>
      <w:r>
        <w:rPr>
          <w:spacing w:val="-11"/>
        </w:rPr>
        <w:t>D．</w:t>
      </w:r>
      <w:r>
        <w:t>资产减值损失</w:t>
      </w:r>
    </w:p>
    <w:p>
      <w:pPr>
        <w:pStyle w:val="BodyText"/>
        <w:ind w:left="0"/>
        <w:rPr>
          <w:sz w:val="32"/>
        </w:rPr>
      </w:pPr>
    </w:p>
    <w:p>
      <w:pPr>
        <w:tabs>
          <w:tab w:val="left" w:pos="9143"/>
          <w:tab w:val="left" w:pos="9928"/>
        </w:tabs>
        <w:spacing w:before="271" w:line="326" w:lineRule="auto"/>
        <w:ind w:left="790" w:right="4672" w:firstLine="0"/>
        <w:jc w:val="left"/>
        <w:rPr>
          <w:sz w:val="31"/>
        </w:rPr>
      </w:pPr>
      <w:r>
        <w:rPr>
          <w:b/>
          <w:sz w:val="31"/>
        </w:rPr>
        <w:t xml:space="preserve">二、多项选择题                                            </w:t>
      </w:r>
      <w:r>
        <w:rPr>
          <w:sz w:val="31"/>
        </w:rPr>
        <w:t>1．下列各项中，需要运用实质重于形式进行判断的有（</w:t>
        <w:tab/>
        <w:t>ABC</w:t>
        <w:tab/>
      </w:r>
      <w:r>
        <w:rPr>
          <w:spacing w:val="-18"/>
          <w:sz w:val="31"/>
        </w:rPr>
        <w:t>）</w:t>
      </w:r>
    </w:p>
    <w:p>
      <w:pPr>
        <w:pStyle w:val="BodyText"/>
        <w:tabs>
          <w:tab w:val="left" w:pos="8513"/>
        </w:tabs>
        <w:spacing w:line="326" w:lineRule="auto"/>
        <w:ind w:left="1423" w:right="2764"/>
      </w:pPr>
      <w:r>
        <w:t>A．长期股权投资核算中成本法与权益法的选择</w:t>
        <w:tab/>
        <w:t>B．合并报表范围的确定C．收入实现的确定</w:t>
        <w:tab/>
        <w:t>D．所得税核算方法的确</w:t>
      </w:r>
      <w:r>
        <w:rPr>
          <w:spacing w:val="-17"/>
        </w:rPr>
        <w:t>定</w:t>
      </w:r>
      <w:r>
        <w:t>E．交易性金融资产期末计价方法的确定</w:t>
      </w:r>
    </w:p>
    <w:p>
      <w:pPr>
        <w:pStyle w:val="ListParagraph"/>
        <w:numPr>
          <w:ilvl w:val="0"/>
          <w:numId w:val="30"/>
        </w:numPr>
        <w:tabs>
          <w:tab w:val="left" w:pos="1267"/>
          <w:tab w:val="left" w:pos="9456"/>
          <w:tab w:val="left" w:pos="10244"/>
        </w:tabs>
        <w:spacing w:before="0" w:after="0" w:line="397" w:lineRule="exact"/>
        <w:ind w:left="1266" w:right="0" w:hanging="477"/>
        <w:jc w:val="left"/>
        <w:rPr>
          <w:sz w:val="31"/>
        </w:rPr>
      </w:pPr>
      <w:r>
        <w:rPr>
          <w:sz w:val="31"/>
        </w:rPr>
        <w:t>下列转账结算方式中，既适用于同城又适用于异地的有（</w:t>
        <w:tab/>
        <w:t>ACD</w:t>
        <w:tab/>
      </w:r>
      <w:r>
        <w:rPr>
          <w:spacing w:val="-159"/>
          <w:sz w:val="31"/>
        </w:rPr>
        <w:t>）</w:t>
      </w:r>
      <w:r>
        <w:rPr>
          <w:sz w:val="31"/>
        </w:rPr>
        <w:t>。</w:t>
      </w:r>
    </w:p>
    <w:p>
      <w:pPr>
        <w:pStyle w:val="BodyText"/>
        <w:spacing w:before="1" w:after="1"/>
        <w:ind w:left="0"/>
        <w:rPr>
          <w:sz w:val="14"/>
        </w:rPr>
      </w:pPr>
    </w:p>
    <w:tbl>
      <w:tblPr>
        <w:tblStyle w:val="TableNormal1"/>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58"/>
        <w:gridCol w:w="940"/>
        <w:gridCol w:w="2813"/>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7858" w:type="dxa"/>
          </w:tcPr>
          <w:p>
            <w:pPr>
              <w:pStyle w:val="TableParagraph"/>
              <w:tabs>
                <w:tab w:val="left" w:pos="5248"/>
              </w:tabs>
              <w:spacing w:before="0" w:line="359" w:lineRule="exact"/>
              <w:ind w:left="683"/>
              <w:rPr>
                <w:sz w:val="31"/>
              </w:rPr>
            </w:pPr>
            <w:r>
              <w:rPr>
                <w:sz w:val="31"/>
              </w:rPr>
              <w:t>A．银行汇票结算</w:t>
              <w:tab/>
              <w:t>B．支票结算</w:t>
            </w:r>
          </w:p>
        </w:tc>
        <w:tc>
          <w:tcPr>
            <w:tcW w:w="940" w:type="dxa"/>
          </w:tcPr>
          <w:p>
            <w:pPr>
              <w:pStyle w:val="TableParagraph"/>
              <w:spacing w:before="0"/>
              <w:rPr>
                <w:rFonts w:ascii="Times New Roman"/>
                <w:sz w:val="30"/>
              </w:rPr>
            </w:pPr>
          </w:p>
        </w:tc>
        <w:tc>
          <w:tcPr>
            <w:tcW w:w="2813" w:type="dxa"/>
          </w:tcPr>
          <w:p>
            <w:pPr>
              <w:pStyle w:val="TableParagraph"/>
              <w:spacing w:before="0" w:line="359" w:lineRule="exact"/>
              <w:ind w:left="73"/>
              <w:rPr>
                <w:sz w:val="31"/>
              </w:rPr>
            </w:pPr>
            <w:r>
              <w:rPr>
                <w:sz w:val="31"/>
              </w:rPr>
              <w:t>C．商业汇票结算</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7858" w:type="dxa"/>
          </w:tcPr>
          <w:p>
            <w:pPr>
              <w:pStyle w:val="TableParagraph"/>
              <w:tabs>
                <w:tab w:val="left" w:pos="4565"/>
              </w:tabs>
              <w:ind w:right="230"/>
              <w:jc w:val="right"/>
              <w:rPr>
                <w:sz w:val="31"/>
              </w:rPr>
            </w:pPr>
            <w:r>
              <w:rPr>
                <w:sz w:val="31"/>
              </w:rPr>
              <w:t>D．委托收款结算</w:t>
              <w:tab/>
              <w:t>E．托收承付结算</w:t>
            </w:r>
          </w:p>
        </w:tc>
        <w:tc>
          <w:tcPr>
            <w:tcW w:w="940" w:type="dxa"/>
          </w:tcPr>
          <w:p>
            <w:pPr>
              <w:pStyle w:val="TableParagraph"/>
              <w:spacing w:before="0"/>
              <w:rPr>
                <w:rFonts w:ascii="Times New Roman"/>
                <w:sz w:val="30"/>
              </w:rPr>
            </w:pPr>
          </w:p>
        </w:tc>
        <w:tc>
          <w:tcPr>
            <w:tcW w:w="2813"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7858" w:type="dxa"/>
          </w:tcPr>
          <w:p>
            <w:pPr>
              <w:pStyle w:val="TableParagraph"/>
              <w:tabs>
                <w:tab w:val="left" w:pos="5878"/>
              </w:tabs>
              <w:ind w:left="50"/>
              <w:rPr>
                <w:sz w:val="31"/>
              </w:rPr>
            </w:pPr>
            <w:r>
              <w:rPr>
                <w:sz w:val="31"/>
              </w:rPr>
              <w:t>3．企业可以设立的银行存款账户包括（</w:t>
              <w:tab/>
              <w:t>ABCD</w:t>
            </w:r>
            <w:r>
              <w:rPr>
                <w:spacing w:val="4"/>
                <w:sz w:val="31"/>
              </w:rPr>
              <w:t xml:space="preserve"> </w:t>
            </w:r>
            <w:r>
              <w:rPr>
                <w:spacing w:val="-159"/>
                <w:sz w:val="31"/>
              </w:rPr>
              <w:t>）</w:t>
            </w:r>
            <w:r>
              <w:rPr>
                <w:sz w:val="31"/>
              </w:rPr>
              <w:t>。</w:t>
            </w:r>
          </w:p>
        </w:tc>
        <w:tc>
          <w:tcPr>
            <w:tcW w:w="940" w:type="dxa"/>
          </w:tcPr>
          <w:p>
            <w:pPr>
              <w:pStyle w:val="TableParagraph"/>
              <w:spacing w:before="0"/>
              <w:rPr>
                <w:rFonts w:ascii="Times New Roman"/>
                <w:sz w:val="30"/>
              </w:rPr>
            </w:pPr>
          </w:p>
        </w:tc>
        <w:tc>
          <w:tcPr>
            <w:tcW w:w="2813"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7858" w:type="dxa"/>
          </w:tcPr>
          <w:p>
            <w:pPr>
              <w:pStyle w:val="TableParagraph"/>
              <w:tabs>
                <w:tab w:val="left" w:pos="4578"/>
              </w:tabs>
              <w:ind w:right="230"/>
              <w:jc w:val="right"/>
              <w:rPr>
                <w:sz w:val="31"/>
              </w:rPr>
            </w:pPr>
            <w:r>
              <w:rPr>
                <w:sz w:val="31"/>
              </w:rPr>
              <w:t>A．基本存款账户</w:t>
              <w:tab/>
            </w:r>
            <w:r>
              <w:rPr>
                <w:spacing w:val="-7"/>
                <w:sz w:val="31"/>
              </w:rPr>
              <w:t>B．</w:t>
            </w:r>
            <w:r>
              <w:rPr>
                <w:sz w:val="31"/>
              </w:rPr>
              <w:t>一般存款账户</w:t>
            </w:r>
          </w:p>
        </w:tc>
        <w:tc>
          <w:tcPr>
            <w:tcW w:w="940" w:type="dxa"/>
          </w:tcPr>
          <w:p>
            <w:pPr>
              <w:pStyle w:val="TableParagraph"/>
              <w:spacing w:before="0"/>
              <w:rPr>
                <w:rFonts w:ascii="Times New Roman"/>
                <w:sz w:val="30"/>
              </w:rPr>
            </w:pPr>
          </w:p>
        </w:tc>
        <w:tc>
          <w:tcPr>
            <w:tcW w:w="2813" w:type="dxa"/>
          </w:tcPr>
          <w:p>
            <w:pPr>
              <w:pStyle w:val="TableParagraph"/>
              <w:ind w:left="397"/>
              <w:rPr>
                <w:sz w:val="31"/>
              </w:rPr>
            </w:pPr>
            <w:r>
              <w:rPr>
                <w:sz w:val="31"/>
              </w:rPr>
              <w:t>C．专项存款账户</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7858" w:type="dxa"/>
          </w:tcPr>
          <w:p>
            <w:pPr>
              <w:pStyle w:val="TableParagraph"/>
              <w:tabs>
                <w:tab w:val="left" w:pos="4578"/>
              </w:tabs>
              <w:ind w:right="230"/>
              <w:jc w:val="right"/>
              <w:rPr>
                <w:sz w:val="31"/>
              </w:rPr>
            </w:pPr>
            <w:r>
              <w:rPr>
                <w:sz w:val="31"/>
              </w:rPr>
              <w:t>D．临时存款账户</w:t>
              <w:tab/>
            </w:r>
            <w:r>
              <w:rPr>
                <w:spacing w:val="-7"/>
                <w:sz w:val="31"/>
              </w:rPr>
              <w:t>E．</w:t>
            </w:r>
            <w:r>
              <w:rPr>
                <w:sz w:val="31"/>
              </w:rPr>
              <w:t>特别存款账户</w:t>
            </w:r>
          </w:p>
        </w:tc>
        <w:tc>
          <w:tcPr>
            <w:tcW w:w="940" w:type="dxa"/>
          </w:tcPr>
          <w:p>
            <w:pPr>
              <w:pStyle w:val="TableParagraph"/>
              <w:spacing w:before="0"/>
              <w:rPr>
                <w:rFonts w:ascii="Times New Roman"/>
                <w:sz w:val="30"/>
              </w:rPr>
            </w:pPr>
          </w:p>
        </w:tc>
        <w:tc>
          <w:tcPr>
            <w:tcW w:w="2813"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7858" w:type="dxa"/>
          </w:tcPr>
          <w:p>
            <w:pPr>
              <w:pStyle w:val="TableParagraph"/>
              <w:spacing w:line="335" w:lineRule="exact"/>
              <w:ind w:left="50"/>
              <w:rPr>
                <w:sz w:val="31"/>
              </w:rPr>
            </w:pPr>
            <w:r>
              <w:rPr>
                <w:sz w:val="31"/>
              </w:rPr>
              <w:t>4．下列各项中，违背有关货币资金内部控制要求的有(</w:t>
            </w:r>
          </w:p>
        </w:tc>
        <w:tc>
          <w:tcPr>
            <w:tcW w:w="940" w:type="dxa"/>
          </w:tcPr>
          <w:p>
            <w:pPr>
              <w:pStyle w:val="TableParagraph"/>
              <w:spacing w:line="335" w:lineRule="exact"/>
              <w:ind w:left="232"/>
              <w:rPr>
                <w:sz w:val="31"/>
              </w:rPr>
            </w:pPr>
            <w:r>
              <w:rPr>
                <w:sz w:val="31"/>
              </w:rPr>
              <w:t>ABCD</w:t>
            </w:r>
          </w:p>
        </w:tc>
        <w:tc>
          <w:tcPr>
            <w:tcW w:w="2813" w:type="dxa"/>
          </w:tcPr>
          <w:p>
            <w:pPr>
              <w:pStyle w:val="TableParagraph"/>
              <w:spacing w:line="335" w:lineRule="exact"/>
              <w:ind w:left="559"/>
              <w:rPr>
                <w:sz w:val="31"/>
              </w:rPr>
            </w:pPr>
            <w:r>
              <w:rPr>
                <w:sz w:val="31"/>
              </w:rPr>
              <w:t>)。</w:t>
            </w:r>
          </w:p>
        </w:tc>
      </w:tr>
    </w:tbl>
    <w:p>
      <w:pPr>
        <w:spacing w:after="0" w:line="335" w:lineRule="exact"/>
        <w:rPr>
          <w:sz w:val="31"/>
        </w:rPr>
        <w:sectPr>
          <w:headerReference w:type="default" r:id="rId16"/>
          <w:footerReference w:type="default" r:id="rId17"/>
          <w:pgSz w:w="17860" w:h="25270"/>
          <w:pgMar w:top="1400" w:right="1400" w:bottom="2040" w:left="1540" w:header="1088" w:footer="1816"/>
          <w:pgNumType w:start="7"/>
          <w:cols w:space="708"/>
        </w:sectPr>
      </w:pPr>
    </w:p>
    <w:p>
      <w:pPr>
        <w:pStyle w:val="BodyText"/>
        <w:spacing w:before="2"/>
        <w:ind w:left="0"/>
        <w:rPr>
          <w:sz w:val="8"/>
        </w:rPr>
      </w:pPr>
    </w:p>
    <w:p>
      <w:pPr>
        <w:pStyle w:val="BodyText"/>
        <w:spacing w:before="62" w:line="326" w:lineRule="auto"/>
        <w:ind w:left="1423" w:right="5736"/>
      </w:pPr>
      <w:r>
        <w:t>A．采购人员超过授权限额采购原材料               B．未授权的机构或人员直接接触企业货币资金       C．出纳人员长期保管办理付款业务所使用的全部印章 D</w:t>
      </w:r>
      <w:r>
        <w:rPr>
          <w:spacing w:val="-1"/>
        </w:rPr>
        <w:t>．出纳人员兼任会计档案保管工作和债权债务登记工作</w:t>
      </w:r>
      <w:r>
        <w:t>E．主管财务的副总经理授权财务部办理资金支付业务</w:t>
      </w:r>
    </w:p>
    <w:p>
      <w:pPr>
        <w:pStyle w:val="ListParagraph"/>
        <w:numPr>
          <w:ilvl w:val="0"/>
          <w:numId w:val="29"/>
        </w:numPr>
        <w:tabs>
          <w:tab w:val="left" w:pos="1267"/>
          <w:tab w:val="left" w:pos="8671"/>
          <w:tab w:val="left" w:pos="9463"/>
        </w:tabs>
        <w:spacing w:before="0" w:after="0" w:line="397" w:lineRule="exact"/>
        <w:ind w:left="1266" w:right="0" w:hanging="477"/>
        <w:jc w:val="left"/>
        <w:rPr>
          <w:sz w:val="31"/>
        </w:rPr>
      </w:pPr>
      <w:r>
        <w:rPr>
          <w:sz w:val="31"/>
        </w:rPr>
        <w:t>采用备抵法进行坏账核算时估计坏账的具体方法</w:t>
      </w:r>
      <w:r>
        <w:rPr>
          <w:spacing w:val="-39"/>
          <w:sz w:val="31"/>
        </w:rPr>
        <w:t>有</w:t>
      </w:r>
      <w:r>
        <w:rPr>
          <w:sz w:val="31"/>
        </w:rPr>
        <w:t>(</w:t>
        <w:tab/>
        <w:t>BCE</w:t>
        <w:tab/>
      </w:r>
      <w:r>
        <w:rPr>
          <w:spacing w:val="-8"/>
          <w:sz w:val="31"/>
        </w:rPr>
        <w:t>)</w:t>
      </w:r>
      <w:r>
        <w:rPr>
          <w:sz w:val="31"/>
        </w:rPr>
        <w:t>。</w:t>
      </w:r>
    </w:p>
    <w:p>
      <w:pPr>
        <w:pStyle w:val="ListParagraph"/>
        <w:numPr>
          <w:ilvl w:val="1"/>
          <w:numId w:val="29"/>
        </w:numPr>
        <w:tabs>
          <w:tab w:val="left" w:pos="1896"/>
          <w:tab w:val="left" w:pos="4425"/>
          <w:tab w:val="left" w:pos="7889"/>
        </w:tabs>
        <w:spacing w:before="143" w:after="0" w:line="326" w:lineRule="auto"/>
        <w:ind w:left="1423" w:right="3398" w:firstLine="0"/>
        <w:jc w:val="left"/>
        <w:rPr>
          <w:sz w:val="31"/>
        </w:rPr>
      </w:pPr>
      <w:r>
        <w:rPr>
          <w:sz w:val="31"/>
        </w:rPr>
        <w:t>总价法</w:t>
        <w:tab/>
      </w:r>
      <w:r>
        <w:rPr>
          <w:spacing w:val="-7"/>
          <w:sz w:val="31"/>
        </w:rPr>
        <w:t>B．</w:t>
      </w:r>
      <w:r>
        <w:rPr>
          <w:sz w:val="31"/>
        </w:rPr>
        <w:t>账龄分析法</w:t>
        <w:tab/>
      </w:r>
      <w:r>
        <w:rPr>
          <w:spacing w:val="-7"/>
          <w:sz w:val="31"/>
        </w:rPr>
        <w:t>C．</w:t>
      </w:r>
      <w:r>
        <w:rPr>
          <w:sz w:val="31"/>
        </w:rPr>
        <w:t>应收账款余额百分比</w:t>
      </w:r>
      <w:r>
        <w:rPr>
          <w:spacing w:val="-17"/>
          <w:sz w:val="31"/>
        </w:rPr>
        <w:t>法</w:t>
      </w:r>
      <w:r>
        <w:rPr>
          <w:sz w:val="31"/>
        </w:rPr>
        <w:t>D．净价法</w:t>
        <w:tab/>
      </w:r>
      <w:r>
        <w:rPr>
          <w:spacing w:val="-7"/>
          <w:sz w:val="31"/>
        </w:rPr>
        <w:t>E．</w:t>
      </w:r>
      <w:r>
        <w:rPr>
          <w:sz w:val="31"/>
        </w:rPr>
        <w:t>销货百分比法</w:t>
      </w:r>
    </w:p>
    <w:p>
      <w:pPr>
        <w:pStyle w:val="ListParagraph"/>
        <w:numPr>
          <w:ilvl w:val="0"/>
          <w:numId w:val="29"/>
        </w:numPr>
        <w:tabs>
          <w:tab w:val="left" w:pos="1267"/>
          <w:tab w:val="left" w:pos="6309"/>
          <w:tab w:val="left" w:pos="8354"/>
          <w:tab w:val="left" w:pos="8987"/>
          <w:tab w:val="left" w:pos="9776"/>
        </w:tabs>
        <w:spacing w:before="0" w:after="0" w:line="326" w:lineRule="auto"/>
        <w:ind w:left="1423" w:right="2456" w:hanging="634"/>
        <w:jc w:val="left"/>
        <w:rPr>
          <w:sz w:val="31"/>
        </w:rPr>
      </w:pPr>
      <w:r>
        <w:rPr>
          <w:sz w:val="31"/>
        </w:rPr>
        <w:t>下列各项中，应记入“坏账准备”账户贷方的</w:t>
      </w:r>
      <w:r>
        <w:rPr>
          <w:spacing w:val="-39"/>
          <w:sz w:val="31"/>
        </w:rPr>
        <w:t>有</w:t>
      </w:r>
      <w:r>
        <w:rPr>
          <w:sz w:val="31"/>
        </w:rPr>
        <w:t>(</w:t>
        <w:tab/>
        <w:t>CE</w:t>
        <w:tab/>
      </w:r>
      <w:r>
        <w:rPr>
          <w:spacing w:val="-7"/>
          <w:sz w:val="31"/>
        </w:rPr>
        <w:t xml:space="preserve">) </w:t>
      </w:r>
      <w:r>
        <w:rPr>
          <w:sz w:val="31"/>
        </w:rPr>
        <w:t>。                A．按规定提取的坏账准备</w:t>
        <w:tab/>
      </w:r>
      <w:r>
        <w:rPr>
          <w:spacing w:val="-6"/>
          <w:sz w:val="31"/>
        </w:rPr>
        <w:t>B．</w:t>
      </w:r>
      <w:r>
        <w:rPr>
          <w:sz w:val="31"/>
        </w:rPr>
        <w:t>已发生的坏账</w:t>
        <w:tab/>
        <w:tab/>
      </w:r>
      <w:r>
        <w:rPr>
          <w:spacing w:val="-4"/>
          <w:sz w:val="31"/>
        </w:rPr>
        <w:t>C．</w:t>
      </w:r>
      <w:r>
        <w:rPr>
          <w:sz w:val="31"/>
        </w:rPr>
        <w:t>转销的坏账损</w:t>
      </w:r>
      <w:r>
        <w:rPr>
          <w:spacing w:val="-19"/>
          <w:sz w:val="31"/>
        </w:rPr>
        <w:t>失</w:t>
      </w:r>
      <w:r>
        <w:rPr>
          <w:sz w:val="31"/>
        </w:rPr>
        <w:t>D．收回过去确认并转销的坏账</w:t>
        <w:tab/>
      </w:r>
      <w:r>
        <w:rPr>
          <w:spacing w:val="-4"/>
          <w:sz w:val="31"/>
        </w:rPr>
        <w:t>E．</w:t>
      </w:r>
      <w:r>
        <w:rPr>
          <w:sz w:val="31"/>
        </w:rPr>
        <w:t>冲销多提的坏账准备</w:t>
      </w:r>
    </w:p>
    <w:p>
      <w:pPr>
        <w:pStyle w:val="ListParagraph"/>
        <w:numPr>
          <w:ilvl w:val="0"/>
          <w:numId w:val="29"/>
        </w:numPr>
        <w:tabs>
          <w:tab w:val="left" w:pos="1267"/>
          <w:tab w:val="left" w:pos="5834"/>
          <w:tab w:val="left" w:pos="6626"/>
        </w:tabs>
        <w:spacing w:before="0" w:after="0" w:line="240" w:lineRule="auto"/>
        <w:ind w:left="1266" w:right="0" w:hanging="477"/>
        <w:jc w:val="left"/>
        <w:rPr>
          <w:sz w:val="31"/>
        </w:rPr>
      </w:pPr>
      <w:r>
        <w:rPr>
          <w:sz w:val="31"/>
        </w:rPr>
        <w:t>带息商业汇票到期值的计算</w:t>
      </w:r>
      <w:r>
        <w:rPr>
          <w:spacing w:val="-25"/>
          <w:sz w:val="31"/>
        </w:rPr>
        <w:t>与</w:t>
      </w:r>
      <w:r>
        <w:rPr>
          <w:sz w:val="31"/>
        </w:rPr>
        <w:t>(</w:t>
        <w:tab/>
        <w:t>ABC</w:t>
        <w:tab/>
      </w:r>
      <w:r>
        <w:rPr>
          <w:spacing w:val="-7"/>
          <w:sz w:val="31"/>
        </w:rPr>
        <w:t>)</w:t>
      </w:r>
      <w:r>
        <w:rPr>
          <w:sz w:val="31"/>
        </w:rPr>
        <w:t>有关。</w:t>
      </w:r>
    </w:p>
    <w:p>
      <w:pPr>
        <w:pStyle w:val="ListParagraph"/>
        <w:numPr>
          <w:ilvl w:val="1"/>
          <w:numId w:val="29"/>
        </w:numPr>
        <w:tabs>
          <w:tab w:val="left" w:pos="1896"/>
          <w:tab w:val="left" w:pos="5530"/>
          <w:tab w:val="left" w:pos="9149"/>
        </w:tabs>
        <w:spacing w:before="143" w:after="0" w:line="240" w:lineRule="auto"/>
        <w:ind w:left="1896" w:right="0" w:hanging="473"/>
        <w:jc w:val="left"/>
        <w:rPr>
          <w:sz w:val="31"/>
        </w:rPr>
      </w:pPr>
      <w:r>
        <w:rPr>
          <w:sz w:val="31"/>
        </w:rPr>
        <w:t>票据面值</w:t>
        <w:tab/>
      </w:r>
      <w:r>
        <w:rPr>
          <w:spacing w:val="-7"/>
          <w:sz w:val="31"/>
        </w:rPr>
        <w:t>B．</w:t>
      </w:r>
      <w:r>
        <w:rPr>
          <w:sz w:val="31"/>
        </w:rPr>
        <w:t>票面利率</w:t>
        <w:tab/>
      </w:r>
      <w:r>
        <w:rPr>
          <w:spacing w:val="-5"/>
          <w:sz w:val="31"/>
        </w:rPr>
        <w:t>C．</w:t>
      </w:r>
      <w:r>
        <w:rPr>
          <w:sz w:val="31"/>
        </w:rPr>
        <w:t>票据期限</w:t>
      </w:r>
    </w:p>
    <w:p>
      <w:pPr>
        <w:pStyle w:val="BodyText"/>
        <w:tabs>
          <w:tab w:val="left" w:pos="5534"/>
          <w:tab w:val="left" w:pos="7094"/>
          <w:tab w:val="left" w:pos="7886"/>
        </w:tabs>
        <w:spacing w:before="143" w:line="326" w:lineRule="auto"/>
        <w:ind w:right="6566" w:firstLine="633"/>
      </w:pPr>
      <w:r>
        <w:t>D．贴现率</w:t>
        <w:tab/>
      </w:r>
      <w:r>
        <w:rPr>
          <w:spacing w:val="-9"/>
        </w:rPr>
        <w:t>E．</w:t>
      </w:r>
      <w:r>
        <w:t>银行实际利率 8．下列项目中，应计入外购存货成本的</w:t>
      </w:r>
      <w:r>
        <w:rPr>
          <w:spacing w:val="-32"/>
        </w:rPr>
        <w:t>有</w:t>
      </w:r>
      <w:r>
        <w:t>(</w:t>
        <w:tab/>
        <w:t>ACD</w:t>
        <w:tab/>
      </w:r>
      <w:r>
        <w:rPr>
          <w:spacing w:val="-10"/>
        </w:rPr>
        <w:t>)</w:t>
      </w:r>
      <w:r>
        <w:rPr>
          <w:spacing w:val="-18"/>
        </w:rPr>
        <w:t>。</w:t>
      </w:r>
    </w:p>
    <w:p>
      <w:pPr>
        <w:pStyle w:val="BodyText"/>
        <w:tabs>
          <w:tab w:val="left" w:pos="4422"/>
          <w:tab w:val="left" w:pos="6313"/>
          <w:tab w:val="left" w:pos="8674"/>
        </w:tabs>
        <w:spacing w:line="326" w:lineRule="auto"/>
        <w:ind w:left="1423" w:right="2754"/>
      </w:pPr>
      <w:r>
        <w:t>A．支付的买价</w:t>
        <w:tab/>
      </w:r>
      <w:r>
        <w:rPr>
          <w:spacing w:val="-5"/>
        </w:rPr>
        <w:t>B．</w:t>
      </w:r>
      <w:r>
        <w:t>入库后的挑选整理费</w:t>
        <w:tab/>
      </w:r>
      <w:r>
        <w:rPr>
          <w:spacing w:val="-5"/>
        </w:rPr>
        <w:t>C．</w:t>
      </w:r>
      <w:r>
        <w:t>运输途中的合理损耗D．入库前的挑选整理费用</w:t>
        <w:tab/>
      </w:r>
      <w:r>
        <w:rPr>
          <w:spacing w:val="-6"/>
        </w:rPr>
        <w:t>E．</w:t>
      </w:r>
      <w:r>
        <w:t>一般纳税企业购进存货发生进项增值</w:t>
      </w:r>
      <w:r>
        <w:rPr>
          <w:spacing w:val="-18"/>
        </w:rPr>
        <w:t>税</w:t>
      </w:r>
    </w:p>
    <w:p>
      <w:pPr>
        <w:pStyle w:val="ListParagraph"/>
        <w:numPr>
          <w:ilvl w:val="0"/>
          <w:numId w:val="28"/>
        </w:numPr>
        <w:tabs>
          <w:tab w:val="left" w:pos="1267"/>
          <w:tab w:val="left" w:pos="6154"/>
          <w:tab w:val="left" w:pos="9301"/>
          <w:tab w:val="left" w:pos="9460"/>
          <w:tab w:val="left" w:pos="10093"/>
        </w:tabs>
        <w:spacing w:before="0" w:after="0" w:line="326" w:lineRule="auto"/>
        <w:ind w:left="1423" w:right="1184" w:hanging="634"/>
        <w:jc w:val="left"/>
        <w:rPr>
          <w:sz w:val="31"/>
        </w:rPr>
      </w:pPr>
      <w:r>
        <w:rPr>
          <w:sz w:val="31"/>
        </w:rPr>
        <w:t>计算存货可变现净值时，应从预计售价中扣除的项目</w:t>
      </w:r>
      <w:r>
        <w:rPr>
          <w:spacing w:val="-42"/>
          <w:sz w:val="31"/>
        </w:rPr>
        <w:t>是</w:t>
      </w:r>
      <w:r>
        <w:rPr>
          <w:sz w:val="31"/>
        </w:rPr>
        <w:t>(</w:t>
        <w:tab/>
        <w:t>ACE</w:t>
        <w:tab/>
      </w:r>
      <w:r>
        <w:rPr>
          <w:spacing w:val="-8"/>
          <w:sz w:val="31"/>
        </w:rPr>
        <w:t xml:space="preserve">) </w:t>
      </w:r>
      <w:r>
        <w:rPr>
          <w:sz w:val="31"/>
        </w:rPr>
        <w:t>。                 A．销售过程中发生的税金</w:t>
        <w:tab/>
      </w:r>
      <w:r>
        <w:rPr>
          <w:spacing w:val="-4"/>
          <w:sz w:val="31"/>
        </w:rPr>
        <w:t>B．</w:t>
      </w:r>
      <w:r>
        <w:rPr>
          <w:sz w:val="31"/>
        </w:rPr>
        <w:t>存货的账面成本</w:t>
        <w:tab/>
        <w:tab/>
        <w:t>C．销售过程中发生的销售费</w:t>
      </w:r>
      <w:r>
        <w:rPr>
          <w:spacing w:val="-18"/>
          <w:sz w:val="31"/>
        </w:rPr>
        <w:t>用</w:t>
      </w:r>
      <w:r>
        <w:rPr>
          <w:sz w:val="31"/>
        </w:rPr>
        <w:t>D．存货的估计成本</w:t>
        <w:tab/>
      </w:r>
      <w:r>
        <w:rPr>
          <w:spacing w:val="-7"/>
          <w:sz w:val="31"/>
        </w:rPr>
        <w:t>E．</w:t>
      </w:r>
      <w:r>
        <w:rPr>
          <w:sz w:val="31"/>
        </w:rPr>
        <w:t>出售前进一步加工的加工费用</w:t>
      </w:r>
    </w:p>
    <w:p>
      <w:pPr>
        <w:pStyle w:val="ListParagraph"/>
        <w:numPr>
          <w:ilvl w:val="0"/>
          <w:numId w:val="28"/>
        </w:numPr>
        <w:tabs>
          <w:tab w:val="left" w:pos="1425"/>
          <w:tab w:val="left" w:pos="9146"/>
          <w:tab w:val="left" w:pos="9780"/>
        </w:tabs>
        <w:spacing w:before="0" w:after="0" w:line="240" w:lineRule="auto"/>
        <w:ind w:left="1424" w:right="0" w:hanging="635"/>
        <w:jc w:val="left"/>
        <w:rPr>
          <w:sz w:val="31"/>
        </w:rPr>
      </w:pPr>
      <w:r>
        <w:rPr>
          <w:sz w:val="31"/>
        </w:rPr>
        <w:t>当入库存货的计划成本大于其实际成本时，其差额</w:t>
      </w:r>
      <w:r>
        <w:rPr>
          <w:spacing w:val="-39"/>
          <w:sz w:val="31"/>
        </w:rPr>
        <w:t>应</w:t>
      </w:r>
      <w:r>
        <w:rPr>
          <w:sz w:val="31"/>
        </w:rPr>
        <w:t>(</w:t>
        <w:tab/>
        <w:t>AE</w:t>
        <w:tab/>
      </w:r>
      <w:r>
        <w:rPr>
          <w:spacing w:val="-7"/>
          <w:sz w:val="31"/>
        </w:rPr>
        <w:t>)</w:t>
      </w:r>
      <w:r>
        <w:rPr>
          <w:sz w:val="31"/>
        </w:rPr>
        <w:t>。</w:t>
      </w:r>
    </w:p>
    <w:p>
      <w:pPr>
        <w:pStyle w:val="ListParagraph"/>
        <w:numPr>
          <w:ilvl w:val="1"/>
          <w:numId w:val="28"/>
        </w:numPr>
        <w:tabs>
          <w:tab w:val="left" w:pos="1896"/>
          <w:tab w:val="left" w:pos="6154"/>
          <w:tab w:val="left" w:pos="10090"/>
        </w:tabs>
        <w:spacing w:before="142" w:after="0" w:line="326" w:lineRule="auto"/>
        <w:ind w:left="1423" w:right="554" w:firstLine="0"/>
        <w:jc w:val="left"/>
        <w:rPr>
          <w:sz w:val="31"/>
        </w:rPr>
      </w:pPr>
      <w:r>
        <w:rPr>
          <w:sz w:val="31"/>
        </w:rPr>
        <w:t>借记“材料采购”账户</w:t>
        <w:tab/>
      </w:r>
      <w:r>
        <w:rPr>
          <w:spacing w:val="-4"/>
          <w:sz w:val="31"/>
        </w:rPr>
        <w:t>B．</w:t>
      </w:r>
      <w:r>
        <w:rPr>
          <w:sz w:val="31"/>
        </w:rPr>
        <w:t>借记“原材料”账户</w:t>
        <w:tab/>
        <w:t>C．借记“材料成本差异”账</w:t>
      </w:r>
      <w:r>
        <w:rPr>
          <w:spacing w:val="-18"/>
          <w:sz w:val="31"/>
        </w:rPr>
        <w:t>户</w:t>
      </w:r>
      <w:r>
        <w:rPr>
          <w:sz w:val="31"/>
        </w:rPr>
        <w:t>D．贷记“原材料”账户</w:t>
        <w:tab/>
      </w:r>
      <w:r>
        <w:rPr>
          <w:spacing w:val="-4"/>
          <w:sz w:val="31"/>
        </w:rPr>
        <w:t>E．</w:t>
      </w:r>
      <w:r>
        <w:rPr>
          <w:sz w:val="31"/>
        </w:rPr>
        <w:t>贷记“材料成本差异”账户</w:t>
      </w:r>
    </w:p>
    <w:p>
      <w:pPr>
        <w:pStyle w:val="ListParagraph"/>
        <w:numPr>
          <w:ilvl w:val="0"/>
          <w:numId w:val="28"/>
        </w:numPr>
        <w:tabs>
          <w:tab w:val="left" w:pos="1425"/>
          <w:tab w:val="left" w:pos="6622"/>
          <w:tab w:val="left" w:pos="8988"/>
          <w:tab w:val="left" w:pos="9931"/>
        </w:tabs>
        <w:spacing w:before="0" w:after="0" w:line="326" w:lineRule="auto"/>
        <w:ind w:left="1423" w:right="4021" w:hanging="634"/>
        <w:jc w:val="left"/>
        <w:rPr>
          <w:sz w:val="31"/>
        </w:rPr>
      </w:pPr>
      <w:r>
        <w:rPr>
          <w:sz w:val="31"/>
        </w:rPr>
        <w:t>企业确认的下列各项收入，应确认为投资收益的有（</w:t>
        <w:tab/>
        <w:t>ABC</w:t>
        <w:tab/>
        <w:t>）  A．国债投资的利息收入</w:t>
        <w:tab/>
      </w:r>
      <w:r>
        <w:rPr>
          <w:spacing w:val="-6"/>
          <w:sz w:val="31"/>
        </w:rPr>
        <w:t>B．</w:t>
      </w:r>
      <w:r>
        <w:rPr>
          <w:sz w:val="31"/>
        </w:rPr>
        <w:t>购买公司债券的利息收入C．出售交易性金融资产的净收入</w:t>
        <w:tab/>
        <w:t>D．银行存款结算户的利息收</w:t>
      </w:r>
      <w:r>
        <w:rPr>
          <w:spacing w:val="-17"/>
          <w:sz w:val="31"/>
        </w:rPr>
        <w:t>入</w:t>
      </w:r>
      <w:r>
        <w:rPr>
          <w:sz w:val="31"/>
        </w:rPr>
        <w:t>E．股票投资分得的股票股利</w:t>
      </w:r>
    </w:p>
    <w:p>
      <w:pPr>
        <w:pStyle w:val="ListParagraph"/>
        <w:numPr>
          <w:ilvl w:val="0"/>
          <w:numId w:val="28"/>
        </w:numPr>
        <w:tabs>
          <w:tab w:val="left" w:pos="1425"/>
          <w:tab w:val="left" w:pos="6784"/>
          <w:tab w:val="left" w:pos="7893"/>
        </w:tabs>
        <w:spacing w:before="0" w:after="0" w:line="396" w:lineRule="exact"/>
        <w:ind w:left="1424" w:right="0" w:hanging="635"/>
        <w:jc w:val="left"/>
        <w:rPr>
          <w:sz w:val="31"/>
        </w:rPr>
      </w:pPr>
      <w:r>
        <w:rPr>
          <w:sz w:val="31"/>
        </w:rPr>
        <w:t>下列各项资产应确认减值损失的</w:t>
      </w:r>
      <w:r>
        <w:rPr>
          <w:spacing w:val="-25"/>
          <w:sz w:val="31"/>
        </w:rPr>
        <w:t>有</w:t>
      </w:r>
      <w:r>
        <w:rPr>
          <w:sz w:val="31"/>
        </w:rPr>
        <w:t>(</w:t>
        <w:tab/>
        <w:t>BCDE</w:t>
        <w:tab/>
      </w:r>
      <w:r>
        <w:rPr>
          <w:spacing w:val="-14"/>
          <w:sz w:val="31"/>
        </w:rPr>
        <w:t>)</w:t>
      </w:r>
      <w:r>
        <w:rPr>
          <w:sz w:val="31"/>
        </w:rPr>
        <w:t>。</w:t>
      </w:r>
    </w:p>
    <w:p>
      <w:pPr>
        <w:pStyle w:val="BodyText"/>
        <w:spacing w:before="1"/>
        <w:ind w:left="0"/>
        <w:rPr>
          <w:sz w:val="14"/>
        </w:rPr>
      </w:pPr>
    </w:p>
    <w:tbl>
      <w:tblPr>
        <w:tblStyle w:val="TableNormal2"/>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59"/>
        <w:gridCol w:w="2204"/>
        <w:gridCol w:w="862"/>
        <w:gridCol w:w="1501"/>
        <w:gridCol w:w="3517"/>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4159" w:type="dxa"/>
          </w:tcPr>
          <w:p>
            <w:pPr>
              <w:pStyle w:val="TableParagraph"/>
              <w:spacing w:before="0" w:line="359" w:lineRule="exact"/>
              <w:ind w:left="683"/>
              <w:rPr>
                <w:sz w:val="31"/>
              </w:rPr>
            </w:pPr>
            <w:r>
              <w:rPr>
                <w:sz w:val="31"/>
              </w:rPr>
              <w:t>A．交易性金融资产</w:t>
            </w:r>
          </w:p>
        </w:tc>
        <w:tc>
          <w:tcPr>
            <w:tcW w:w="4567" w:type="dxa"/>
            <w:gridSpan w:val="3"/>
          </w:tcPr>
          <w:p>
            <w:pPr>
              <w:pStyle w:val="TableParagraph"/>
              <w:spacing w:before="0" w:line="359" w:lineRule="exact"/>
              <w:ind w:left="786"/>
              <w:rPr>
                <w:sz w:val="31"/>
              </w:rPr>
            </w:pPr>
            <w:r>
              <w:rPr>
                <w:sz w:val="31"/>
              </w:rPr>
              <w:t>B．可供出售金融资产</w:t>
            </w:r>
          </w:p>
        </w:tc>
        <w:tc>
          <w:tcPr>
            <w:tcW w:w="3517" w:type="dxa"/>
          </w:tcPr>
          <w:p>
            <w:pPr>
              <w:pStyle w:val="TableParagraph"/>
              <w:spacing w:before="0" w:line="359" w:lineRule="exact"/>
              <w:ind w:left="786"/>
              <w:rPr>
                <w:sz w:val="31"/>
              </w:rPr>
            </w:pPr>
            <w:r>
              <w:rPr>
                <w:sz w:val="31"/>
              </w:rPr>
              <w:t>C．持有至到期投资</w:t>
            </w: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4159" w:type="dxa"/>
          </w:tcPr>
          <w:p>
            <w:pPr>
              <w:pStyle w:val="TableParagraph"/>
              <w:spacing w:line="335" w:lineRule="exact"/>
              <w:ind w:left="683"/>
              <w:rPr>
                <w:sz w:val="31"/>
              </w:rPr>
            </w:pPr>
            <w:r>
              <w:rPr>
                <w:sz w:val="31"/>
              </w:rPr>
              <w:t>D．应收账款</w:t>
            </w:r>
          </w:p>
        </w:tc>
        <w:tc>
          <w:tcPr>
            <w:tcW w:w="4567" w:type="dxa"/>
            <w:gridSpan w:val="3"/>
          </w:tcPr>
          <w:p>
            <w:pPr>
              <w:pStyle w:val="TableParagraph"/>
              <w:spacing w:line="335" w:lineRule="exact"/>
              <w:ind w:left="790"/>
              <w:rPr>
                <w:sz w:val="31"/>
              </w:rPr>
            </w:pPr>
            <w:r>
              <w:rPr>
                <w:sz w:val="31"/>
              </w:rPr>
              <w:t>E．存货</w:t>
            </w:r>
          </w:p>
        </w:tc>
        <w:tc>
          <w:tcPr>
            <w:tcW w:w="3517"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12243" w:type="dxa"/>
            <w:gridSpan w:val="5"/>
          </w:tcPr>
          <w:p>
            <w:pPr>
              <w:pStyle w:val="TableParagraph"/>
              <w:tabs>
                <w:tab w:val="left" w:pos="9357"/>
              </w:tabs>
              <w:spacing w:before="185" w:line="335" w:lineRule="exact"/>
              <w:ind w:left="50"/>
              <w:rPr>
                <w:sz w:val="31"/>
              </w:rPr>
            </w:pPr>
            <w:r>
              <w:rPr>
                <w:sz w:val="31"/>
              </w:rPr>
              <w:t>13．企业金融资产确认减值损失时，可能贷记的账户包</w:t>
            </w:r>
            <w:r>
              <w:rPr>
                <w:spacing w:val="-39"/>
                <w:sz w:val="31"/>
              </w:rPr>
              <w:t>括</w:t>
            </w:r>
            <w:r>
              <w:rPr>
                <w:sz w:val="31"/>
              </w:rPr>
              <w:t>(</w:t>
            </w:r>
            <w:r>
              <w:rPr>
                <w:spacing w:val="85"/>
                <w:sz w:val="31"/>
              </w:rPr>
              <w:t xml:space="preserve"> </w:t>
            </w:r>
            <w:r>
              <w:rPr>
                <w:sz w:val="31"/>
              </w:rPr>
              <w:t>ABCE</w:t>
              <w:tab/>
            </w:r>
            <w:r>
              <w:rPr>
                <w:spacing w:val="-8"/>
                <w:sz w:val="31"/>
              </w:rPr>
              <w:t>)</w:t>
            </w:r>
            <w:r>
              <w:rPr>
                <w:sz w:val="31"/>
              </w:rPr>
              <w:t>。</w:t>
            </w:r>
          </w:p>
        </w:tc>
      </w:tr>
      <w:tr>
        <w:tblPrEx>
          <w:tblW w:w="0" w:type="auto"/>
          <w:jc w:val="left"/>
          <w:tblInd w:w="747" w:type="dxa"/>
          <w:tblLayout w:type="fixed"/>
          <w:tblCellMar>
            <w:top w:w="0" w:type="dxa"/>
            <w:left w:w="0" w:type="dxa"/>
            <w:bottom w:w="0" w:type="dxa"/>
            <w:right w:w="0" w:type="dxa"/>
          </w:tblCellMar>
          <w:tblLook w:val="01E0"/>
        </w:tblPrEx>
        <w:trPr>
          <w:trHeight w:val="651"/>
          <w:jc w:val="left"/>
        </w:trPr>
        <w:tc>
          <w:tcPr>
            <w:tcW w:w="6363" w:type="dxa"/>
            <w:gridSpan w:val="2"/>
          </w:tcPr>
          <w:p>
            <w:pPr>
              <w:pStyle w:val="TableParagraph"/>
              <w:tabs>
                <w:tab w:val="left" w:leader="hyphen" w:pos="3044"/>
              </w:tabs>
              <w:spacing w:before="185"/>
              <w:ind w:left="683"/>
              <w:rPr>
                <w:sz w:val="31"/>
              </w:rPr>
            </w:pPr>
            <w:r>
              <w:rPr>
                <w:sz w:val="31"/>
              </w:rPr>
              <w:t>A．资本公积</w:t>
              <w:tab/>
              <w:t>其他资本公积</w:t>
            </w:r>
          </w:p>
        </w:tc>
        <w:tc>
          <w:tcPr>
            <w:tcW w:w="862" w:type="dxa"/>
          </w:tcPr>
          <w:p>
            <w:pPr>
              <w:pStyle w:val="TableParagraph"/>
              <w:spacing w:before="0"/>
              <w:rPr>
                <w:rFonts w:ascii="Times New Roman"/>
                <w:sz w:val="30"/>
              </w:rPr>
            </w:pPr>
          </w:p>
        </w:tc>
        <w:tc>
          <w:tcPr>
            <w:tcW w:w="5018" w:type="dxa"/>
            <w:gridSpan w:val="2"/>
          </w:tcPr>
          <w:p>
            <w:pPr>
              <w:pStyle w:val="TableParagraph"/>
              <w:spacing w:before="185"/>
              <w:ind w:left="245"/>
              <w:rPr>
                <w:sz w:val="31"/>
              </w:rPr>
            </w:pPr>
            <w:r>
              <w:rPr>
                <w:sz w:val="31"/>
              </w:rPr>
              <w:t>B．坏账准备</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6363" w:type="dxa"/>
            <w:gridSpan w:val="2"/>
          </w:tcPr>
          <w:p>
            <w:pPr>
              <w:pStyle w:val="TableParagraph"/>
              <w:tabs>
                <w:tab w:val="left" w:leader="hyphen" w:pos="4305"/>
              </w:tabs>
              <w:ind w:left="683"/>
              <w:rPr>
                <w:sz w:val="31"/>
              </w:rPr>
            </w:pPr>
            <w:r>
              <w:rPr>
                <w:sz w:val="31"/>
              </w:rPr>
              <w:t>C．可供出售金融资产</w:t>
              <w:tab/>
              <w:t>公允价值变动</w:t>
            </w:r>
          </w:p>
        </w:tc>
        <w:tc>
          <w:tcPr>
            <w:tcW w:w="862" w:type="dxa"/>
          </w:tcPr>
          <w:p>
            <w:pPr>
              <w:pStyle w:val="TableParagraph"/>
              <w:spacing w:before="0"/>
              <w:rPr>
                <w:rFonts w:ascii="Times New Roman"/>
                <w:sz w:val="30"/>
              </w:rPr>
            </w:pPr>
          </w:p>
        </w:tc>
        <w:tc>
          <w:tcPr>
            <w:tcW w:w="5018" w:type="dxa"/>
            <w:gridSpan w:val="2"/>
          </w:tcPr>
          <w:p>
            <w:pPr>
              <w:pStyle w:val="TableParagraph"/>
              <w:ind w:left="238"/>
              <w:rPr>
                <w:sz w:val="31"/>
              </w:rPr>
            </w:pPr>
            <w:r>
              <w:rPr>
                <w:sz w:val="31"/>
              </w:rPr>
              <w:t>C．资产减值损失</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6363" w:type="dxa"/>
            <w:gridSpan w:val="2"/>
          </w:tcPr>
          <w:p>
            <w:pPr>
              <w:pStyle w:val="TableParagraph"/>
              <w:ind w:left="683"/>
              <w:rPr>
                <w:sz w:val="31"/>
              </w:rPr>
            </w:pPr>
            <w:r>
              <w:rPr>
                <w:sz w:val="31"/>
              </w:rPr>
              <w:t>E．持有至到期投资减值准备</w:t>
            </w:r>
          </w:p>
        </w:tc>
        <w:tc>
          <w:tcPr>
            <w:tcW w:w="862" w:type="dxa"/>
          </w:tcPr>
          <w:p>
            <w:pPr>
              <w:pStyle w:val="TableParagraph"/>
              <w:spacing w:before="0"/>
              <w:rPr>
                <w:rFonts w:ascii="Times New Roman"/>
                <w:sz w:val="30"/>
              </w:rPr>
            </w:pPr>
          </w:p>
        </w:tc>
        <w:tc>
          <w:tcPr>
            <w:tcW w:w="5018" w:type="dxa"/>
            <w:gridSpan w:val="2"/>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6363" w:type="dxa"/>
            <w:gridSpan w:val="2"/>
          </w:tcPr>
          <w:p>
            <w:pPr>
              <w:pStyle w:val="TableParagraph"/>
              <w:tabs>
                <w:tab w:val="left" w:pos="5886"/>
              </w:tabs>
              <w:spacing w:line="335" w:lineRule="exact"/>
              <w:ind w:left="50"/>
              <w:rPr>
                <w:sz w:val="31"/>
              </w:rPr>
            </w:pPr>
            <w:r>
              <w:rPr>
                <w:sz w:val="31"/>
              </w:rPr>
              <w:t>14．下列各项中，应确认投资收益的</w:t>
            </w:r>
            <w:r>
              <w:rPr>
                <w:spacing w:val="-25"/>
                <w:sz w:val="31"/>
              </w:rPr>
              <w:t>有</w:t>
            </w:r>
            <w:r>
              <w:rPr>
                <w:sz w:val="31"/>
              </w:rPr>
              <w:t>(</w:t>
              <w:tab/>
              <w:t>AE</w:t>
            </w:r>
          </w:p>
        </w:tc>
        <w:tc>
          <w:tcPr>
            <w:tcW w:w="862" w:type="dxa"/>
          </w:tcPr>
          <w:p>
            <w:pPr>
              <w:pStyle w:val="TableParagraph"/>
              <w:spacing w:line="335" w:lineRule="exact"/>
              <w:ind w:left="156"/>
              <w:rPr>
                <w:sz w:val="31"/>
              </w:rPr>
            </w:pPr>
            <w:r>
              <w:rPr>
                <w:sz w:val="31"/>
              </w:rPr>
              <w:t>)。</w:t>
            </w:r>
          </w:p>
        </w:tc>
        <w:tc>
          <w:tcPr>
            <w:tcW w:w="5018" w:type="dxa"/>
            <w:gridSpan w:val="2"/>
          </w:tcPr>
          <w:p>
            <w:pPr>
              <w:pStyle w:val="TableParagraph"/>
              <w:spacing w:before="0"/>
              <w:rPr>
                <w:rFonts w:ascii="Times New Roman"/>
                <w:sz w:val="30"/>
              </w:rPr>
            </w:pPr>
          </w:p>
        </w:tc>
      </w:tr>
    </w:tbl>
    <w:p>
      <w:pPr>
        <w:pStyle w:val="ListParagraph"/>
        <w:numPr>
          <w:ilvl w:val="1"/>
          <w:numId w:val="28"/>
        </w:numPr>
        <w:tabs>
          <w:tab w:val="left" w:pos="1896"/>
        </w:tabs>
        <w:spacing w:before="185" w:after="0" w:line="326" w:lineRule="auto"/>
        <w:ind w:left="1420" w:right="3201" w:firstLine="3"/>
        <w:jc w:val="left"/>
        <w:rPr>
          <w:sz w:val="31"/>
        </w:rPr>
      </w:pPr>
      <w:r>
        <w:rPr>
          <w:sz w:val="31"/>
        </w:rPr>
        <w:t>持有至到期投资在持有期间按摊余成本和实际利率计算利息收入     B</w:t>
      </w:r>
      <w:r>
        <w:rPr>
          <w:spacing w:val="-1"/>
          <w:sz w:val="31"/>
        </w:rPr>
        <w:t>．可供出售金融资产在资产负债表日确认的公允价值与其账面价值的差额</w:t>
      </w:r>
      <w:r>
        <w:rPr>
          <w:sz w:val="31"/>
        </w:rPr>
        <w:t>C．交易性金融资产在购入当期获得的现金股利                       D．交易性金融资产在资产负债表日确认的公允价值大于账面价值的差额 E．交易性金融资产出售时取得的收入大于其账面价值的差额</w:t>
      </w:r>
    </w:p>
    <w:p>
      <w:pPr>
        <w:spacing w:after="0" w:line="326" w:lineRule="auto"/>
        <w:jc w:val="left"/>
        <w:rPr>
          <w:sz w:val="31"/>
        </w:rPr>
        <w:sectPr>
          <w:headerReference w:type="default" r:id="rId18"/>
          <w:footerReference w:type="default" r:id="rId19"/>
          <w:pgSz w:w="17860" w:h="25270"/>
          <w:pgMar w:top="1400" w:right="1400" w:bottom="2040" w:left="1540" w:header="1088" w:footer="1816"/>
          <w:pgNumType w:start="8"/>
          <w:cols w:space="708"/>
        </w:sectPr>
      </w:pPr>
    </w:p>
    <w:p>
      <w:pPr>
        <w:pStyle w:val="BodyText"/>
        <w:spacing w:before="2"/>
        <w:ind w:left="0"/>
        <w:rPr>
          <w:sz w:val="8"/>
        </w:rPr>
      </w:pPr>
    </w:p>
    <w:p>
      <w:pPr>
        <w:pStyle w:val="ListParagraph"/>
        <w:numPr>
          <w:ilvl w:val="0"/>
          <w:numId w:val="27"/>
        </w:numPr>
        <w:tabs>
          <w:tab w:val="left" w:pos="1425"/>
          <w:tab w:val="left" w:pos="8199"/>
          <w:tab w:val="left" w:pos="8832"/>
        </w:tabs>
        <w:spacing w:before="62" w:after="0" w:line="240" w:lineRule="auto"/>
        <w:ind w:left="1424" w:right="0" w:hanging="635"/>
        <w:jc w:val="left"/>
        <w:rPr>
          <w:sz w:val="31"/>
        </w:rPr>
      </w:pPr>
      <w:r>
        <w:rPr>
          <w:sz w:val="31"/>
        </w:rPr>
        <w:t>下列长期股权投资中，应采用权益法核算的</w:t>
      </w:r>
      <w:r>
        <w:rPr>
          <w:spacing w:val="-36"/>
          <w:sz w:val="31"/>
        </w:rPr>
        <w:t>是</w:t>
      </w:r>
      <w:r>
        <w:rPr>
          <w:sz w:val="31"/>
        </w:rPr>
        <w:t>(</w:t>
        <w:tab/>
        <w:t>BE</w:t>
        <w:tab/>
      </w:r>
      <w:r>
        <w:rPr>
          <w:spacing w:val="-7"/>
          <w:sz w:val="31"/>
        </w:rPr>
        <w:t>)</w:t>
      </w:r>
      <w:r>
        <w:rPr>
          <w:sz w:val="31"/>
        </w:rPr>
        <w:t>。</w:t>
      </w:r>
    </w:p>
    <w:p>
      <w:pPr>
        <w:pStyle w:val="ListParagraph"/>
        <w:numPr>
          <w:ilvl w:val="1"/>
          <w:numId w:val="27"/>
        </w:numPr>
        <w:tabs>
          <w:tab w:val="left" w:pos="1896"/>
          <w:tab w:val="left" w:pos="8120"/>
        </w:tabs>
        <w:spacing w:before="144" w:after="0" w:line="326" w:lineRule="auto"/>
        <w:ind w:left="1420" w:right="726" w:firstLine="3"/>
        <w:jc w:val="left"/>
        <w:rPr>
          <w:sz w:val="31"/>
        </w:rPr>
      </w:pPr>
      <w:r>
        <w:rPr>
          <w:sz w:val="31"/>
        </w:rPr>
        <w:t>投资企业占被投资企业</w:t>
      </w:r>
      <w:r>
        <w:rPr>
          <w:spacing w:val="-66"/>
          <w:sz w:val="31"/>
        </w:rPr>
        <w:t xml:space="preserve"> </w:t>
      </w:r>
      <w:r>
        <w:rPr>
          <w:sz w:val="31"/>
        </w:rPr>
        <w:t>15%的表决权资本</w:t>
        <w:tab/>
      </w:r>
      <w:r>
        <w:rPr>
          <w:spacing w:val="-4"/>
          <w:sz w:val="31"/>
        </w:rPr>
        <w:t>B．</w:t>
      </w:r>
      <w:r>
        <w:rPr>
          <w:sz w:val="31"/>
        </w:rPr>
        <w:t>投资企业占被投资企业</w:t>
      </w:r>
      <w:r>
        <w:rPr>
          <w:spacing w:val="2"/>
          <w:sz w:val="31"/>
        </w:rPr>
        <w:t xml:space="preserve"> </w:t>
      </w:r>
      <w:r>
        <w:rPr>
          <w:sz w:val="31"/>
        </w:rPr>
        <w:t>35%的表决权资</w:t>
      </w:r>
      <w:r>
        <w:rPr>
          <w:spacing w:val="-17"/>
          <w:sz w:val="31"/>
        </w:rPr>
        <w:t>本</w:t>
      </w:r>
      <w:r>
        <w:rPr>
          <w:sz w:val="31"/>
        </w:rPr>
        <w:t xml:space="preserve">C．投资企业占被投资企业          </w:t>
      </w:r>
      <w:r>
        <w:rPr>
          <w:spacing w:val="64"/>
          <w:sz w:val="31"/>
        </w:rPr>
        <w:t xml:space="preserve"> </w:t>
      </w:r>
      <w:r>
        <w:rPr>
          <w:sz w:val="31"/>
        </w:rPr>
        <w:t xml:space="preserve">75%的表决权资本，但被投资企业正在进行破产清算D．投资企业占被投资企业      </w:t>
      </w:r>
      <w:r>
        <w:rPr>
          <w:spacing w:val="64"/>
          <w:sz w:val="31"/>
        </w:rPr>
        <w:t xml:space="preserve"> </w:t>
      </w:r>
      <w:r>
        <w:rPr>
          <w:sz w:val="31"/>
        </w:rPr>
        <w:t>60%的表决权资本，但计划近期内出售被投资企业的股份E．投资企业占被投资企业</w:t>
      </w:r>
      <w:r>
        <w:rPr>
          <w:spacing w:val="-88"/>
          <w:sz w:val="31"/>
        </w:rPr>
        <w:t xml:space="preserve"> </w:t>
      </w:r>
      <w:r>
        <w:rPr>
          <w:sz w:val="31"/>
        </w:rPr>
        <w:t>18%的表决权资本，但向被投资企业派出管理人员</w:t>
      </w:r>
    </w:p>
    <w:p>
      <w:pPr>
        <w:pStyle w:val="ListParagraph"/>
        <w:numPr>
          <w:ilvl w:val="0"/>
          <w:numId w:val="27"/>
        </w:numPr>
        <w:tabs>
          <w:tab w:val="left" w:pos="1425"/>
          <w:tab w:val="left" w:pos="8199"/>
          <w:tab w:val="left" w:pos="10568"/>
        </w:tabs>
        <w:spacing w:before="0" w:after="0" w:line="326" w:lineRule="auto"/>
        <w:ind w:left="1423" w:right="2764" w:hanging="634"/>
        <w:jc w:val="left"/>
        <w:rPr>
          <w:sz w:val="31"/>
        </w:rPr>
      </w:pPr>
      <w:r>
        <w:rPr>
          <w:sz w:val="31"/>
        </w:rPr>
        <w:t>权益法下，下列业务发生时不影响投资企业投资收益的</w:t>
      </w:r>
      <w:r>
        <w:rPr>
          <w:spacing w:val="-42"/>
          <w:sz w:val="31"/>
        </w:rPr>
        <w:t>有</w:t>
      </w:r>
      <w:r>
        <w:rPr>
          <w:sz w:val="31"/>
        </w:rPr>
        <w:t xml:space="preserve">( </w:t>
      </w:r>
      <w:r>
        <w:rPr>
          <w:spacing w:val="31"/>
          <w:sz w:val="31"/>
        </w:rPr>
        <w:t xml:space="preserve"> </w:t>
      </w:r>
      <w:r>
        <w:rPr>
          <w:sz w:val="31"/>
        </w:rPr>
        <w:t>ABC</w:t>
        <w:tab/>
      </w:r>
      <w:r>
        <w:rPr>
          <w:spacing w:val="-8"/>
          <w:sz w:val="31"/>
        </w:rPr>
        <w:t xml:space="preserve">) </w:t>
      </w:r>
      <w:r>
        <w:rPr>
          <w:sz w:val="31"/>
        </w:rPr>
        <w:t>。    A．长期股权投资在持有期间收到现金股利</w:t>
        <w:tab/>
      </w:r>
      <w:r>
        <w:rPr>
          <w:spacing w:val="-4"/>
          <w:sz w:val="31"/>
        </w:rPr>
        <w:t>B．</w:t>
      </w:r>
      <w:r>
        <w:rPr>
          <w:sz w:val="31"/>
        </w:rPr>
        <w:t>被投资单位发放股票股</w:t>
      </w:r>
      <w:r>
        <w:rPr>
          <w:spacing w:val="-17"/>
          <w:sz w:val="31"/>
        </w:rPr>
        <w:t>利</w:t>
      </w:r>
      <w:r>
        <w:rPr>
          <w:sz w:val="31"/>
        </w:rPr>
        <w:t>C．被投资单位宣告分配现金股利</w:t>
        <w:tab/>
      </w:r>
      <w:r>
        <w:rPr>
          <w:spacing w:val="-7"/>
          <w:sz w:val="31"/>
        </w:rPr>
        <w:t>D．</w:t>
      </w:r>
      <w:r>
        <w:rPr>
          <w:sz w:val="31"/>
        </w:rPr>
        <w:t>被投资单位发生净亏损E．转让长期投资时取得的实际价款与其账面价值的差额</w:t>
      </w:r>
    </w:p>
    <w:p>
      <w:pPr>
        <w:pStyle w:val="ListParagraph"/>
        <w:numPr>
          <w:ilvl w:val="0"/>
          <w:numId w:val="27"/>
        </w:numPr>
        <w:tabs>
          <w:tab w:val="left" w:pos="1425"/>
          <w:tab w:val="left" w:pos="7256"/>
          <w:tab w:val="left" w:pos="11666"/>
          <w:tab w:val="left" w:pos="12458"/>
        </w:tabs>
        <w:spacing w:before="0" w:after="0" w:line="326" w:lineRule="auto"/>
        <w:ind w:left="1423" w:right="1807" w:hanging="634"/>
        <w:jc w:val="left"/>
        <w:rPr>
          <w:sz w:val="31"/>
        </w:rPr>
      </w:pPr>
      <w:r>
        <w:rPr>
          <w:sz w:val="31"/>
        </w:rPr>
        <w:t>企业按成本法核算时，下列事项中不会引起长期投资账面价值变动的</w:t>
      </w:r>
      <w:r>
        <w:rPr>
          <w:spacing w:val="-53"/>
          <w:sz w:val="31"/>
        </w:rPr>
        <w:t>有</w:t>
      </w:r>
      <w:r>
        <w:rPr>
          <w:sz w:val="31"/>
        </w:rPr>
        <w:t>(</w:t>
        <w:tab/>
        <w:t>ADE</w:t>
        <w:tab/>
      </w:r>
      <w:r>
        <w:rPr>
          <w:spacing w:val="-7"/>
          <w:sz w:val="31"/>
        </w:rPr>
        <w:t>)</w:t>
      </w:r>
      <w:r>
        <w:rPr>
          <w:sz w:val="31"/>
        </w:rPr>
        <w:t>。A．被投资单位以资本公积转增资本</w:t>
        <w:tab/>
      </w:r>
      <w:r>
        <w:rPr>
          <w:spacing w:val="-4"/>
          <w:sz w:val="31"/>
        </w:rPr>
        <w:t>B．</w:t>
      </w:r>
      <w:r>
        <w:rPr>
          <w:sz w:val="31"/>
        </w:rPr>
        <w:t>被投资单位宣告分派投资前的现金股</w:t>
      </w:r>
      <w:r>
        <w:rPr>
          <w:spacing w:val="-18"/>
          <w:sz w:val="31"/>
        </w:rPr>
        <w:t>利</w:t>
      </w:r>
      <w:r>
        <w:rPr>
          <w:sz w:val="31"/>
        </w:rPr>
        <w:t>C．期末计提长期投资减值准备</w:t>
        <w:tab/>
      </w:r>
      <w:r>
        <w:rPr>
          <w:spacing w:val="-6"/>
          <w:sz w:val="31"/>
        </w:rPr>
        <w:t>D．</w:t>
      </w:r>
      <w:r>
        <w:rPr>
          <w:sz w:val="31"/>
        </w:rPr>
        <w:t>被投资单位接受资产捐赠的当期    E．被投资单位实现净利润</w:t>
      </w:r>
    </w:p>
    <w:p>
      <w:pPr>
        <w:pStyle w:val="ListParagraph"/>
        <w:numPr>
          <w:ilvl w:val="0"/>
          <w:numId w:val="27"/>
        </w:numPr>
        <w:tabs>
          <w:tab w:val="left" w:pos="1425"/>
          <w:tab w:val="left" w:pos="8044"/>
        </w:tabs>
        <w:spacing w:before="0" w:after="0" w:line="240" w:lineRule="auto"/>
        <w:ind w:left="1424" w:right="0" w:hanging="635"/>
        <w:jc w:val="left"/>
        <w:rPr>
          <w:sz w:val="31"/>
        </w:rPr>
      </w:pPr>
      <w:r>
        <w:rPr>
          <w:sz w:val="31"/>
        </w:rPr>
        <w:t>企业分期计算提取折旧时，应考虑的因素</w:t>
      </w:r>
      <w:r>
        <w:rPr>
          <w:spacing w:val="-32"/>
          <w:sz w:val="31"/>
        </w:rPr>
        <w:t>有</w:t>
      </w:r>
      <w:r>
        <w:rPr>
          <w:sz w:val="31"/>
        </w:rPr>
        <w:t>(</w:t>
        <w:tab/>
        <w:t>BCD</w:t>
      </w:r>
      <w:r>
        <w:rPr>
          <w:spacing w:val="3"/>
          <w:sz w:val="31"/>
        </w:rPr>
        <w:t xml:space="preserve"> </w:t>
      </w:r>
      <w:r>
        <w:rPr>
          <w:spacing w:val="-10"/>
          <w:sz w:val="31"/>
        </w:rPr>
        <w:t>)</w:t>
      </w:r>
      <w:r>
        <w:rPr>
          <w:sz w:val="31"/>
        </w:rPr>
        <w:t>。</w:t>
      </w:r>
    </w:p>
    <w:p>
      <w:pPr>
        <w:pStyle w:val="ListParagraph"/>
        <w:numPr>
          <w:ilvl w:val="1"/>
          <w:numId w:val="27"/>
        </w:numPr>
        <w:tabs>
          <w:tab w:val="left" w:pos="1896"/>
          <w:tab w:val="left" w:pos="5210"/>
          <w:tab w:val="left" w:pos="6629"/>
          <w:tab w:val="left" w:pos="10568"/>
        </w:tabs>
        <w:spacing w:before="141" w:after="0" w:line="326" w:lineRule="auto"/>
        <w:ind w:left="1423" w:right="716" w:firstLine="0"/>
        <w:jc w:val="left"/>
        <w:rPr>
          <w:sz w:val="31"/>
        </w:rPr>
      </w:pPr>
      <w:r>
        <w:rPr>
          <w:sz w:val="31"/>
        </w:rPr>
        <w:t>固定资产原值</w:t>
        <w:tab/>
      </w:r>
      <w:r>
        <w:rPr>
          <w:spacing w:val="-5"/>
          <w:sz w:val="31"/>
        </w:rPr>
        <w:t>B．</w:t>
      </w:r>
      <w:r>
        <w:rPr>
          <w:sz w:val="31"/>
        </w:rPr>
        <w:t>固定资产应计提折旧总额</w:t>
        <w:tab/>
      </w:r>
      <w:r>
        <w:rPr>
          <w:spacing w:val="-6"/>
          <w:sz w:val="31"/>
        </w:rPr>
        <w:t>C．</w:t>
      </w:r>
      <w:r>
        <w:rPr>
          <w:sz w:val="31"/>
        </w:rPr>
        <w:t>固定资产预计使用年</w:t>
      </w:r>
      <w:r>
        <w:rPr>
          <w:spacing w:val="-17"/>
          <w:sz w:val="31"/>
        </w:rPr>
        <w:t>限</w:t>
      </w:r>
      <w:r>
        <w:rPr>
          <w:sz w:val="31"/>
        </w:rPr>
        <w:t>D．固定资产预计工作总量</w:t>
        <w:tab/>
        <w:tab/>
      </w:r>
      <w:r>
        <w:rPr>
          <w:spacing w:val="-6"/>
          <w:sz w:val="31"/>
        </w:rPr>
        <w:t>E．</w:t>
      </w:r>
      <w:r>
        <w:rPr>
          <w:sz w:val="31"/>
        </w:rPr>
        <w:t>固定资产折余价值</w:t>
      </w:r>
    </w:p>
    <w:p>
      <w:pPr>
        <w:pStyle w:val="ListParagraph"/>
        <w:numPr>
          <w:ilvl w:val="0"/>
          <w:numId w:val="27"/>
        </w:numPr>
        <w:tabs>
          <w:tab w:val="left" w:pos="1425"/>
          <w:tab w:val="left" w:pos="5368"/>
          <w:tab w:val="left" w:pos="9308"/>
        </w:tabs>
        <w:spacing w:before="0" w:after="0" w:line="326" w:lineRule="auto"/>
        <w:ind w:left="1423" w:right="2930" w:hanging="634"/>
        <w:jc w:val="left"/>
        <w:rPr>
          <w:sz w:val="31"/>
        </w:rPr>
      </w:pPr>
      <w:r>
        <w:rPr>
          <w:sz w:val="31"/>
        </w:rPr>
        <w:t>下列业务中通过“固定资产清理”科目核算的</w:t>
      </w:r>
      <w:r>
        <w:rPr>
          <w:spacing w:val="-35"/>
          <w:sz w:val="31"/>
        </w:rPr>
        <w:t>是</w:t>
      </w:r>
      <w:r>
        <w:rPr>
          <w:sz w:val="31"/>
        </w:rPr>
        <w:t xml:space="preserve">( </w:t>
      </w:r>
      <w:r>
        <w:rPr>
          <w:spacing w:val="4"/>
          <w:sz w:val="31"/>
        </w:rPr>
        <w:t xml:space="preserve"> </w:t>
      </w:r>
      <w:r>
        <w:rPr>
          <w:sz w:val="31"/>
        </w:rPr>
        <w:t>ABD</w:t>
        <w:tab/>
      </w:r>
      <w:r>
        <w:rPr>
          <w:spacing w:val="-7"/>
          <w:sz w:val="31"/>
        </w:rPr>
        <w:t xml:space="preserve">) </w:t>
      </w:r>
      <w:r>
        <w:rPr>
          <w:sz w:val="31"/>
        </w:rPr>
        <w:t>。           A．出售固定资产</w:t>
        <w:tab/>
      </w:r>
      <w:r>
        <w:rPr>
          <w:spacing w:val="-5"/>
          <w:sz w:val="31"/>
        </w:rPr>
        <w:t>B．</w:t>
      </w:r>
      <w:r>
        <w:rPr>
          <w:sz w:val="31"/>
        </w:rPr>
        <w:t>固定资产报废</w:t>
        <w:tab/>
      </w:r>
      <w:r>
        <w:rPr>
          <w:spacing w:val="-7"/>
          <w:sz w:val="31"/>
        </w:rPr>
        <w:t>C．</w:t>
      </w:r>
      <w:r>
        <w:rPr>
          <w:sz w:val="31"/>
        </w:rPr>
        <w:t>固定资产改扩</w:t>
      </w:r>
      <w:r>
        <w:rPr>
          <w:spacing w:val="-18"/>
          <w:sz w:val="31"/>
        </w:rPr>
        <w:t>建</w:t>
      </w:r>
      <w:r>
        <w:rPr>
          <w:sz w:val="31"/>
        </w:rPr>
        <w:t>D．固定资产毁损</w:t>
        <w:tab/>
      </w:r>
      <w:r>
        <w:rPr>
          <w:spacing w:val="-5"/>
          <w:sz w:val="31"/>
        </w:rPr>
        <w:t>E．</w:t>
      </w:r>
      <w:r>
        <w:rPr>
          <w:sz w:val="31"/>
        </w:rPr>
        <w:t>固定资产盘盈、盘亏</w:t>
      </w:r>
    </w:p>
    <w:p>
      <w:pPr>
        <w:pStyle w:val="ListParagraph"/>
        <w:numPr>
          <w:ilvl w:val="0"/>
          <w:numId w:val="27"/>
        </w:numPr>
        <w:tabs>
          <w:tab w:val="left" w:pos="1425"/>
          <w:tab w:val="left" w:pos="6939"/>
          <w:tab w:val="left" w:pos="7889"/>
        </w:tabs>
        <w:spacing w:before="0" w:after="0" w:line="397" w:lineRule="exact"/>
        <w:ind w:left="1424" w:right="0" w:hanging="635"/>
        <w:jc w:val="left"/>
        <w:rPr>
          <w:sz w:val="31"/>
        </w:rPr>
      </w:pPr>
      <w:r>
        <w:rPr>
          <w:sz w:val="31"/>
        </w:rPr>
        <w:t>应计提折旧的固定资产包括以下几</w:t>
      </w:r>
      <w:r>
        <w:rPr>
          <w:spacing w:val="-29"/>
          <w:sz w:val="31"/>
        </w:rPr>
        <w:t>类</w:t>
      </w:r>
      <w:r>
        <w:rPr>
          <w:sz w:val="31"/>
        </w:rPr>
        <w:t>(</w:t>
        <w:tab/>
        <w:t>ABCD</w:t>
        <w:tab/>
      </w:r>
      <w:r>
        <w:rPr>
          <w:spacing w:val="-11"/>
          <w:sz w:val="31"/>
        </w:rPr>
        <w:t>)</w:t>
      </w:r>
      <w:r>
        <w:rPr>
          <w:sz w:val="31"/>
        </w:rPr>
        <w:t>。</w:t>
      </w:r>
    </w:p>
    <w:p>
      <w:pPr>
        <w:pStyle w:val="BodyText"/>
        <w:spacing w:before="2"/>
        <w:ind w:left="0"/>
        <w:rPr>
          <w:sz w:val="14"/>
        </w:rPr>
      </w:pPr>
    </w:p>
    <w:tbl>
      <w:tblPr>
        <w:tblStyle w:val="TableNormal3"/>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20"/>
        <w:gridCol w:w="1109"/>
        <w:gridCol w:w="1023"/>
        <w:gridCol w:w="2288"/>
        <w:gridCol w:w="2720"/>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4629" w:type="dxa"/>
            <w:gridSpan w:val="2"/>
          </w:tcPr>
          <w:p>
            <w:pPr>
              <w:pStyle w:val="TableParagraph"/>
              <w:spacing w:before="0" w:line="359" w:lineRule="exact"/>
              <w:ind w:left="683"/>
              <w:rPr>
                <w:sz w:val="31"/>
              </w:rPr>
            </w:pPr>
            <w:r>
              <w:rPr>
                <w:sz w:val="31"/>
              </w:rPr>
              <w:t>A．非生产经营用固定资产</w:t>
            </w:r>
          </w:p>
        </w:tc>
        <w:tc>
          <w:tcPr>
            <w:tcW w:w="1023" w:type="dxa"/>
          </w:tcPr>
          <w:p>
            <w:pPr>
              <w:pStyle w:val="TableParagraph"/>
              <w:spacing w:before="0"/>
              <w:rPr>
                <w:rFonts w:ascii="Times New Roman"/>
                <w:sz w:val="30"/>
              </w:rPr>
            </w:pPr>
          </w:p>
        </w:tc>
        <w:tc>
          <w:tcPr>
            <w:tcW w:w="5008" w:type="dxa"/>
            <w:gridSpan w:val="2"/>
          </w:tcPr>
          <w:p>
            <w:pPr>
              <w:pStyle w:val="TableParagraph"/>
              <w:spacing w:before="0" w:line="359" w:lineRule="exact"/>
              <w:ind w:left="554"/>
              <w:rPr>
                <w:sz w:val="31"/>
              </w:rPr>
            </w:pPr>
            <w:r>
              <w:rPr>
                <w:sz w:val="31"/>
              </w:rPr>
              <w:t>B．经营性租出固定资产</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4629" w:type="dxa"/>
            <w:gridSpan w:val="2"/>
          </w:tcPr>
          <w:p>
            <w:pPr>
              <w:pStyle w:val="TableParagraph"/>
              <w:ind w:left="683"/>
              <w:rPr>
                <w:sz w:val="31"/>
              </w:rPr>
            </w:pPr>
            <w:r>
              <w:rPr>
                <w:sz w:val="31"/>
              </w:rPr>
              <w:t>C．不需用固定资产</w:t>
            </w:r>
          </w:p>
        </w:tc>
        <w:tc>
          <w:tcPr>
            <w:tcW w:w="1023" w:type="dxa"/>
          </w:tcPr>
          <w:p>
            <w:pPr>
              <w:pStyle w:val="TableParagraph"/>
              <w:spacing w:before="0"/>
              <w:rPr>
                <w:rFonts w:ascii="Times New Roman"/>
                <w:sz w:val="30"/>
              </w:rPr>
            </w:pPr>
          </w:p>
        </w:tc>
        <w:tc>
          <w:tcPr>
            <w:tcW w:w="5008" w:type="dxa"/>
            <w:gridSpan w:val="2"/>
          </w:tcPr>
          <w:p>
            <w:pPr>
              <w:pStyle w:val="TableParagraph"/>
              <w:ind w:left="561"/>
              <w:rPr>
                <w:sz w:val="31"/>
              </w:rPr>
            </w:pPr>
            <w:r>
              <w:rPr>
                <w:sz w:val="31"/>
              </w:rPr>
              <w:t>D．融资租入固定资产</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4629" w:type="dxa"/>
            <w:gridSpan w:val="2"/>
          </w:tcPr>
          <w:p>
            <w:pPr>
              <w:pStyle w:val="TableParagraph"/>
              <w:ind w:left="683"/>
              <w:rPr>
                <w:sz w:val="31"/>
              </w:rPr>
            </w:pPr>
            <w:r>
              <w:rPr>
                <w:sz w:val="31"/>
              </w:rPr>
              <w:t>E．单独计价入账的土地</w:t>
            </w:r>
          </w:p>
        </w:tc>
        <w:tc>
          <w:tcPr>
            <w:tcW w:w="1023" w:type="dxa"/>
          </w:tcPr>
          <w:p>
            <w:pPr>
              <w:pStyle w:val="TableParagraph"/>
              <w:spacing w:before="0"/>
              <w:rPr>
                <w:rFonts w:ascii="Times New Roman"/>
                <w:sz w:val="30"/>
              </w:rPr>
            </w:pPr>
          </w:p>
        </w:tc>
        <w:tc>
          <w:tcPr>
            <w:tcW w:w="5008" w:type="dxa"/>
            <w:gridSpan w:val="2"/>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4629" w:type="dxa"/>
            <w:gridSpan w:val="2"/>
          </w:tcPr>
          <w:p>
            <w:pPr>
              <w:pStyle w:val="TableParagraph"/>
              <w:ind w:left="50"/>
              <w:rPr>
                <w:sz w:val="31"/>
              </w:rPr>
            </w:pPr>
            <w:r>
              <w:rPr>
                <w:sz w:val="31"/>
              </w:rPr>
              <w:t>21．投资性房地产的范围限定为(</w:t>
            </w:r>
          </w:p>
        </w:tc>
        <w:tc>
          <w:tcPr>
            <w:tcW w:w="1023" w:type="dxa"/>
          </w:tcPr>
          <w:p>
            <w:pPr>
              <w:pStyle w:val="TableParagraph"/>
              <w:ind w:left="310"/>
              <w:rPr>
                <w:sz w:val="31"/>
              </w:rPr>
            </w:pPr>
            <w:r>
              <w:rPr>
                <w:sz w:val="31"/>
              </w:rPr>
              <w:t>CDE</w:t>
            </w:r>
          </w:p>
        </w:tc>
        <w:tc>
          <w:tcPr>
            <w:tcW w:w="5008" w:type="dxa"/>
            <w:gridSpan w:val="2"/>
          </w:tcPr>
          <w:p>
            <w:pPr>
              <w:pStyle w:val="TableParagraph"/>
              <w:ind w:left="237"/>
              <w:rPr>
                <w:sz w:val="31"/>
              </w:rPr>
            </w:pPr>
            <w:r>
              <w:rPr>
                <w:sz w:val="31"/>
              </w:rPr>
              <w:t>)。</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4629" w:type="dxa"/>
            <w:gridSpan w:val="2"/>
          </w:tcPr>
          <w:p>
            <w:pPr>
              <w:pStyle w:val="TableParagraph"/>
              <w:ind w:left="683"/>
              <w:rPr>
                <w:sz w:val="31"/>
              </w:rPr>
            </w:pPr>
            <w:r>
              <w:rPr>
                <w:sz w:val="31"/>
              </w:rPr>
              <w:t>A．拟出租的建筑物</w:t>
            </w:r>
          </w:p>
        </w:tc>
        <w:tc>
          <w:tcPr>
            <w:tcW w:w="1023" w:type="dxa"/>
          </w:tcPr>
          <w:p>
            <w:pPr>
              <w:pStyle w:val="TableParagraph"/>
              <w:spacing w:before="0"/>
              <w:rPr>
                <w:rFonts w:ascii="Times New Roman"/>
                <w:sz w:val="30"/>
              </w:rPr>
            </w:pPr>
          </w:p>
        </w:tc>
        <w:tc>
          <w:tcPr>
            <w:tcW w:w="5008" w:type="dxa"/>
            <w:gridSpan w:val="2"/>
          </w:tcPr>
          <w:p>
            <w:pPr>
              <w:pStyle w:val="TableParagraph"/>
              <w:ind w:left="244"/>
              <w:rPr>
                <w:sz w:val="31"/>
              </w:rPr>
            </w:pPr>
            <w:r>
              <w:rPr>
                <w:sz w:val="31"/>
              </w:rPr>
              <w:t>B．拟出租的土地使用权</w:t>
            </w: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4629" w:type="dxa"/>
            <w:gridSpan w:val="2"/>
          </w:tcPr>
          <w:p>
            <w:pPr>
              <w:pStyle w:val="TableParagraph"/>
              <w:spacing w:line="335" w:lineRule="exact"/>
              <w:ind w:left="683"/>
              <w:rPr>
                <w:sz w:val="31"/>
              </w:rPr>
            </w:pPr>
            <w:r>
              <w:rPr>
                <w:sz w:val="31"/>
              </w:rPr>
              <w:t>C．已出租的土地使用权</w:t>
            </w:r>
          </w:p>
        </w:tc>
        <w:tc>
          <w:tcPr>
            <w:tcW w:w="1023" w:type="dxa"/>
          </w:tcPr>
          <w:p>
            <w:pPr>
              <w:pStyle w:val="TableParagraph"/>
              <w:spacing w:before="0"/>
              <w:rPr>
                <w:rFonts w:ascii="Times New Roman"/>
                <w:sz w:val="30"/>
              </w:rPr>
            </w:pPr>
          </w:p>
        </w:tc>
        <w:tc>
          <w:tcPr>
            <w:tcW w:w="5008" w:type="dxa"/>
            <w:gridSpan w:val="2"/>
          </w:tcPr>
          <w:p>
            <w:pPr>
              <w:pStyle w:val="TableParagraph"/>
              <w:spacing w:line="335" w:lineRule="exact"/>
              <w:ind w:left="237"/>
              <w:rPr>
                <w:sz w:val="31"/>
              </w:rPr>
            </w:pPr>
            <w:r>
              <w:rPr>
                <w:sz w:val="31"/>
              </w:rPr>
              <w:t>D．已出租的建筑物</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10660" w:type="dxa"/>
            <w:gridSpan w:val="5"/>
          </w:tcPr>
          <w:p>
            <w:pPr>
              <w:pStyle w:val="TableParagraph"/>
              <w:spacing w:before="185" w:line="335" w:lineRule="exact"/>
              <w:ind w:left="683"/>
              <w:rPr>
                <w:sz w:val="31"/>
              </w:rPr>
            </w:pPr>
            <w:r>
              <w:rPr>
                <w:sz w:val="31"/>
              </w:rPr>
              <w:t>E．持有且拟增值后转让的土地使用权</w:t>
            </w:r>
          </w:p>
        </w:tc>
      </w:tr>
      <w:tr>
        <w:tblPrEx>
          <w:tblW w:w="0" w:type="auto"/>
          <w:jc w:val="left"/>
          <w:tblInd w:w="747" w:type="dxa"/>
          <w:tblLayout w:type="fixed"/>
          <w:tblCellMar>
            <w:top w:w="0" w:type="dxa"/>
            <w:left w:w="0" w:type="dxa"/>
            <w:bottom w:w="0" w:type="dxa"/>
            <w:right w:w="0" w:type="dxa"/>
          </w:tblCellMar>
          <w:tblLook w:val="01E0"/>
        </w:tblPrEx>
        <w:trPr>
          <w:trHeight w:val="651"/>
          <w:jc w:val="left"/>
        </w:trPr>
        <w:tc>
          <w:tcPr>
            <w:tcW w:w="3520" w:type="dxa"/>
          </w:tcPr>
          <w:p>
            <w:pPr>
              <w:pStyle w:val="TableParagraph"/>
              <w:spacing w:before="185"/>
              <w:ind w:left="50"/>
              <w:rPr>
                <w:sz w:val="31"/>
              </w:rPr>
            </w:pPr>
            <w:r>
              <w:rPr>
                <w:sz w:val="31"/>
              </w:rPr>
              <w:t>22．无形资产通常包括(</w:t>
            </w:r>
          </w:p>
        </w:tc>
        <w:tc>
          <w:tcPr>
            <w:tcW w:w="1109" w:type="dxa"/>
          </w:tcPr>
          <w:p>
            <w:pPr>
              <w:pStyle w:val="TableParagraph"/>
              <w:spacing w:before="185"/>
              <w:ind w:left="158"/>
              <w:rPr>
                <w:sz w:val="31"/>
              </w:rPr>
            </w:pPr>
            <w:r>
              <w:rPr>
                <w:sz w:val="31"/>
              </w:rPr>
              <w:t>ABCDE</w:t>
            </w:r>
          </w:p>
        </w:tc>
        <w:tc>
          <w:tcPr>
            <w:tcW w:w="3311" w:type="dxa"/>
            <w:gridSpan w:val="2"/>
          </w:tcPr>
          <w:p>
            <w:pPr>
              <w:pStyle w:val="TableParagraph"/>
              <w:spacing w:before="185"/>
              <w:ind w:left="158"/>
              <w:rPr>
                <w:sz w:val="31"/>
              </w:rPr>
            </w:pPr>
            <w:r>
              <w:rPr>
                <w:sz w:val="31"/>
              </w:rPr>
              <w:t>)。</w:t>
            </w:r>
          </w:p>
        </w:tc>
        <w:tc>
          <w:tcPr>
            <w:tcW w:w="2720"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3520" w:type="dxa"/>
          </w:tcPr>
          <w:p>
            <w:pPr>
              <w:pStyle w:val="TableParagraph"/>
              <w:ind w:left="683"/>
              <w:rPr>
                <w:sz w:val="31"/>
              </w:rPr>
            </w:pPr>
            <w:r>
              <w:rPr>
                <w:sz w:val="31"/>
              </w:rPr>
              <w:t>A．专利权</w:t>
            </w:r>
          </w:p>
        </w:tc>
        <w:tc>
          <w:tcPr>
            <w:tcW w:w="1109" w:type="dxa"/>
          </w:tcPr>
          <w:p>
            <w:pPr>
              <w:pStyle w:val="TableParagraph"/>
              <w:spacing w:before="0"/>
              <w:rPr>
                <w:rFonts w:ascii="Times New Roman"/>
                <w:sz w:val="30"/>
              </w:rPr>
            </w:pPr>
          </w:p>
        </w:tc>
        <w:tc>
          <w:tcPr>
            <w:tcW w:w="3311" w:type="dxa"/>
            <w:gridSpan w:val="2"/>
          </w:tcPr>
          <w:p>
            <w:pPr>
              <w:pStyle w:val="TableParagraph"/>
              <w:ind w:left="7"/>
              <w:rPr>
                <w:sz w:val="31"/>
              </w:rPr>
            </w:pPr>
            <w:r>
              <w:rPr>
                <w:sz w:val="31"/>
              </w:rPr>
              <w:t>B．非专利技术</w:t>
            </w:r>
          </w:p>
        </w:tc>
        <w:tc>
          <w:tcPr>
            <w:tcW w:w="2720" w:type="dxa"/>
          </w:tcPr>
          <w:p>
            <w:pPr>
              <w:pStyle w:val="TableParagraph"/>
              <w:ind w:left="1262"/>
              <w:rPr>
                <w:sz w:val="31"/>
              </w:rPr>
            </w:pPr>
            <w:r>
              <w:rPr>
                <w:sz w:val="31"/>
              </w:rPr>
              <w:t>C．商标权</w:t>
            </w: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3520" w:type="dxa"/>
          </w:tcPr>
          <w:p>
            <w:pPr>
              <w:pStyle w:val="TableParagraph"/>
              <w:spacing w:line="335" w:lineRule="exact"/>
              <w:ind w:left="683"/>
              <w:rPr>
                <w:sz w:val="31"/>
              </w:rPr>
            </w:pPr>
            <w:r>
              <w:rPr>
                <w:sz w:val="31"/>
              </w:rPr>
              <w:t>D．著作权</w:t>
            </w:r>
          </w:p>
        </w:tc>
        <w:tc>
          <w:tcPr>
            <w:tcW w:w="1109" w:type="dxa"/>
          </w:tcPr>
          <w:p>
            <w:pPr>
              <w:pStyle w:val="TableParagraph"/>
              <w:spacing w:before="0"/>
              <w:rPr>
                <w:rFonts w:ascii="Times New Roman"/>
                <w:sz w:val="30"/>
              </w:rPr>
            </w:pPr>
          </w:p>
        </w:tc>
        <w:tc>
          <w:tcPr>
            <w:tcW w:w="3311" w:type="dxa"/>
            <w:gridSpan w:val="2"/>
          </w:tcPr>
          <w:p>
            <w:pPr>
              <w:pStyle w:val="TableParagraph"/>
              <w:spacing w:line="335" w:lineRule="exact"/>
              <w:ind w:left="7"/>
              <w:rPr>
                <w:sz w:val="31"/>
              </w:rPr>
            </w:pPr>
            <w:r>
              <w:rPr>
                <w:sz w:val="31"/>
              </w:rPr>
              <w:t>E．土地使用权</w:t>
            </w:r>
          </w:p>
        </w:tc>
        <w:tc>
          <w:tcPr>
            <w:tcW w:w="2720" w:type="dxa"/>
          </w:tcPr>
          <w:p>
            <w:pPr>
              <w:pStyle w:val="TableParagraph"/>
              <w:spacing w:before="0"/>
              <w:rPr>
                <w:rFonts w:ascii="Times New Roman"/>
                <w:sz w:val="30"/>
              </w:rPr>
            </w:pPr>
          </w:p>
        </w:tc>
      </w:tr>
    </w:tbl>
    <w:p>
      <w:pPr>
        <w:pStyle w:val="ListParagraph"/>
        <w:numPr>
          <w:ilvl w:val="0"/>
          <w:numId w:val="26"/>
        </w:numPr>
        <w:tabs>
          <w:tab w:val="left" w:pos="1425"/>
          <w:tab w:val="left" w:pos="5372"/>
          <w:tab w:val="left" w:pos="5996"/>
          <w:tab w:val="left" w:pos="6788"/>
        </w:tabs>
        <w:spacing w:before="185" w:after="0" w:line="326" w:lineRule="auto"/>
        <w:ind w:left="1423" w:right="6369" w:hanging="634"/>
        <w:jc w:val="left"/>
        <w:rPr>
          <w:sz w:val="31"/>
        </w:rPr>
      </w:pPr>
      <w:r>
        <w:rPr>
          <w:sz w:val="31"/>
        </w:rPr>
        <w:t>外购的无形资产，其成本包</w:t>
      </w:r>
      <w:r>
        <w:rPr>
          <w:spacing w:val="-21"/>
          <w:sz w:val="31"/>
        </w:rPr>
        <w:t>括</w:t>
      </w:r>
      <w:r>
        <w:rPr>
          <w:sz w:val="31"/>
        </w:rPr>
        <w:t>(</w:t>
        <w:tab/>
        <w:t>ABD</w:t>
        <w:tab/>
      </w:r>
      <w:r>
        <w:rPr>
          <w:spacing w:val="-11"/>
          <w:sz w:val="31"/>
        </w:rPr>
        <w:t xml:space="preserve">) </w:t>
      </w:r>
      <w:r>
        <w:rPr>
          <w:sz w:val="31"/>
        </w:rPr>
        <w:t>。     A．购买价款</w:t>
        <w:tab/>
      </w:r>
      <w:r>
        <w:rPr>
          <w:spacing w:val="-7"/>
          <w:sz w:val="31"/>
        </w:rPr>
        <w:t>B．</w:t>
      </w:r>
      <w:r>
        <w:rPr>
          <w:sz w:val="31"/>
        </w:rPr>
        <w:t>相关税费       C．为引入新产品进行宣传发生的广告费、管理费</w:t>
      </w:r>
      <w:r>
        <w:rPr>
          <w:spacing w:val="-17"/>
          <w:sz w:val="31"/>
        </w:rPr>
        <w:t>用</w:t>
      </w:r>
    </w:p>
    <w:p>
      <w:pPr>
        <w:pStyle w:val="BodyText"/>
        <w:spacing w:line="326" w:lineRule="auto"/>
        <w:ind w:left="1423" w:right="5736"/>
      </w:pPr>
      <w:r>
        <w:t>D．直接归属于该项资产达到预定用途所发生的其他支出E．在无形资产达到预定用途以后发生的费用</w:t>
      </w:r>
    </w:p>
    <w:p>
      <w:pPr>
        <w:pStyle w:val="ListParagraph"/>
        <w:numPr>
          <w:ilvl w:val="0"/>
          <w:numId w:val="26"/>
        </w:numPr>
        <w:tabs>
          <w:tab w:val="left" w:pos="1425"/>
          <w:tab w:val="left" w:pos="5055"/>
          <w:tab w:val="left" w:pos="8678"/>
          <w:tab w:val="left" w:pos="8833"/>
          <w:tab w:val="left" w:pos="9783"/>
        </w:tabs>
        <w:spacing w:before="0" w:after="0" w:line="326" w:lineRule="auto"/>
        <w:ind w:left="1420" w:right="4193" w:hanging="630"/>
        <w:jc w:val="left"/>
        <w:rPr>
          <w:sz w:val="31"/>
        </w:rPr>
      </w:pPr>
      <w:r>
        <w:rPr>
          <w:sz w:val="31"/>
        </w:rPr>
        <w:t>对职工的下列各项支出中，属于职工薪酬内容的</w:t>
      </w:r>
      <w:r>
        <w:rPr>
          <w:spacing w:val="-35"/>
          <w:sz w:val="31"/>
        </w:rPr>
        <w:t>有</w:t>
      </w:r>
      <w:r>
        <w:rPr>
          <w:sz w:val="31"/>
        </w:rPr>
        <w:t>(</w:t>
        <w:tab/>
        <w:tab/>
        <w:t>ABCD</w:t>
        <w:tab/>
      </w:r>
      <w:r>
        <w:rPr>
          <w:spacing w:val="-11"/>
          <w:sz w:val="31"/>
        </w:rPr>
        <w:t xml:space="preserve">) </w:t>
      </w:r>
      <w:r>
        <w:rPr>
          <w:sz w:val="31"/>
        </w:rPr>
        <w:t>。 A．住房公积金</w:t>
        <w:tab/>
      </w:r>
      <w:r>
        <w:rPr>
          <w:spacing w:val="-7"/>
          <w:sz w:val="31"/>
        </w:rPr>
        <w:t>B．</w:t>
      </w:r>
      <w:r>
        <w:rPr>
          <w:sz w:val="31"/>
        </w:rPr>
        <w:t>工资与津贴</w:t>
        <w:tab/>
      </w:r>
      <w:r>
        <w:rPr>
          <w:spacing w:val="-7"/>
          <w:sz w:val="31"/>
        </w:rPr>
        <w:t>C．</w:t>
      </w:r>
      <w:r>
        <w:rPr>
          <w:sz w:val="31"/>
        </w:rPr>
        <w:t>职工福利</w:t>
      </w:r>
      <w:r>
        <w:rPr>
          <w:spacing w:val="-17"/>
          <w:sz w:val="31"/>
        </w:rPr>
        <w:t>费</w:t>
      </w:r>
      <w:r>
        <w:rPr>
          <w:sz w:val="31"/>
        </w:rPr>
        <w:t>D．养老保险</w:t>
        <w:tab/>
      </w:r>
      <w:r>
        <w:rPr>
          <w:spacing w:val="-7"/>
          <w:sz w:val="31"/>
        </w:rPr>
        <w:t>E．</w:t>
      </w:r>
      <w:r>
        <w:rPr>
          <w:sz w:val="31"/>
        </w:rPr>
        <w:t>出差补贴</w:t>
      </w:r>
    </w:p>
    <w:p>
      <w:pPr>
        <w:pStyle w:val="ListParagraph"/>
        <w:numPr>
          <w:ilvl w:val="0"/>
          <w:numId w:val="26"/>
        </w:numPr>
        <w:tabs>
          <w:tab w:val="left" w:pos="1425"/>
          <w:tab w:val="left" w:pos="6629"/>
          <w:tab w:val="left" w:pos="7886"/>
          <w:tab w:val="left" w:pos="8678"/>
        </w:tabs>
        <w:spacing w:before="0" w:after="0" w:line="326" w:lineRule="auto"/>
        <w:ind w:left="1423" w:right="4973" w:hanging="634"/>
        <w:jc w:val="left"/>
        <w:rPr>
          <w:sz w:val="31"/>
        </w:rPr>
      </w:pPr>
      <w:r>
        <w:rPr>
          <w:sz w:val="31"/>
        </w:rPr>
        <w:t>下列各项中，属于其他应付款核算范围的</w:t>
      </w:r>
      <w:r>
        <w:rPr>
          <w:spacing w:val="-32"/>
          <w:sz w:val="31"/>
        </w:rPr>
        <w:t>有</w:t>
      </w:r>
      <w:r>
        <w:rPr>
          <w:sz w:val="31"/>
        </w:rPr>
        <w:t>(</w:t>
        <w:tab/>
        <w:t>ACD</w:t>
        <w:tab/>
      </w:r>
      <w:r>
        <w:rPr>
          <w:spacing w:val="-10"/>
          <w:sz w:val="31"/>
        </w:rPr>
        <w:t xml:space="preserve">) </w:t>
      </w:r>
      <w:r>
        <w:rPr>
          <w:sz w:val="31"/>
        </w:rPr>
        <w:t>。  A．出租包装物收取的押金</w:t>
        <w:tab/>
      </w:r>
      <w:r>
        <w:rPr>
          <w:spacing w:val="-6"/>
          <w:sz w:val="31"/>
        </w:rPr>
        <w:t>B．</w:t>
      </w:r>
      <w:r>
        <w:rPr>
          <w:sz w:val="31"/>
        </w:rPr>
        <w:t>应付的短期借款利</w:t>
      </w:r>
      <w:r>
        <w:rPr>
          <w:spacing w:val="-18"/>
          <w:sz w:val="31"/>
        </w:rPr>
        <w:t>息</w:t>
      </w:r>
    </w:p>
    <w:p>
      <w:pPr>
        <w:spacing w:after="0" w:line="326" w:lineRule="auto"/>
        <w:jc w:val="left"/>
        <w:rPr>
          <w:sz w:val="31"/>
        </w:rPr>
        <w:sectPr>
          <w:headerReference w:type="default" r:id="rId20"/>
          <w:footerReference w:type="default" r:id="rId21"/>
          <w:pgSz w:w="17860" w:h="25270"/>
          <w:pgMar w:top="1400" w:right="1400" w:bottom="2040" w:left="1540" w:header="1088" w:footer="1816"/>
          <w:pgNumType w:start="9"/>
          <w:cols w:space="708"/>
        </w:sectPr>
      </w:pPr>
    </w:p>
    <w:p>
      <w:pPr>
        <w:pStyle w:val="BodyText"/>
        <w:spacing w:before="2"/>
        <w:ind w:left="0"/>
        <w:rPr>
          <w:sz w:val="8"/>
        </w:rPr>
      </w:pPr>
    </w:p>
    <w:p>
      <w:pPr>
        <w:pStyle w:val="BodyText"/>
        <w:tabs>
          <w:tab w:val="left" w:pos="6639"/>
        </w:tabs>
        <w:spacing w:before="62" w:line="326" w:lineRule="auto"/>
        <w:ind w:left="1423" w:right="4655"/>
      </w:pPr>
      <w:r>
        <w:t>C．应付赔偿金</w:t>
        <w:tab/>
      </w:r>
      <w:r>
        <w:rPr>
          <w:spacing w:val="-11"/>
        </w:rPr>
        <w:t>D．</w:t>
      </w:r>
      <w:r>
        <w:t>职工未按时领取的工</w:t>
      </w:r>
      <w:r>
        <w:rPr>
          <w:spacing w:val="-17"/>
        </w:rPr>
        <w:t>资</w:t>
      </w:r>
      <w:r>
        <w:t>E．租入包装物支付的押金</w:t>
      </w:r>
    </w:p>
    <w:p>
      <w:pPr>
        <w:pStyle w:val="ListParagraph"/>
        <w:numPr>
          <w:ilvl w:val="0"/>
          <w:numId w:val="26"/>
        </w:numPr>
        <w:tabs>
          <w:tab w:val="left" w:pos="1425"/>
          <w:tab w:val="left" w:pos="4418"/>
          <w:tab w:val="left" w:pos="5527"/>
        </w:tabs>
        <w:spacing w:before="0" w:after="0" w:line="240" w:lineRule="auto"/>
        <w:ind w:left="1424" w:right="0" w:hanging="635"/>
        <w:jc w:val="left"/>
        <w:rPr>
          <w:sz w:val="31"/>
        </w:rPr>
      </w:pPr>
      <w:r>
        <w:rPr>
          <w:sz w:val="31"/>
        </w:rPr>
        <w:t>债务重组的方式</w:t>
      </w:r>
      <w:r>
        <w:rPr>
          <w:spacing w:val="-15"/>
          <w:sz w:val="31"/>
        </w:rPr>
        <w:t>有</w:t>
      </w:r>
      <w:r>
        <w:rPr>
          <w:sz w:val="31"/>
        </w:rPr>
        <w:t>(</w:t>
        <w:tab/>
        <w:t>ABCDE</w:t>
        <w:tab/>
      </w:r>
      <w:r>
        <w:rPr>
          <w:spacing w:val="-10"/>
          <w:sz w:val="31"/>
        </w:rPr>
        <w:t>)</w:t>
      </w:r>
      <w:r>
        <w:rPr>
          <w:sz w:val="31"/>
        </w:rPr>
        <w:t>。</w:t>
      </w:r>
    </w:p>
    <w:p>
      <w:pPr>
        <w:pStyle w:val="BodyText"/>
        <w:spacing w:before="1" w:after="1"/>
        <w:ind w:left="0"/>
        <w:rPr>
          <w:sz w:val="14"/>
        </w:rPr>
      </w:pPr>
    </w:p>
    <w:tbl>
      <w:tblPr>
        <w:tblStyle w:val="TableNormal4"/>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98"/>
        <w:gridCol w:w="1102"/>
        <w:gridCol w:w="949"/>
        <w:gridCol w:w="3048"/>
      </w:tblGrid>
      <w:tr>
        <w:tblPrEx>
          <w:tblW w:w="0" w:type="auto"/>
          <w:jc w:val="left"/>
          <w:tblInd w:w="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6200" w:type="dxa"/>
            <w:gridSpan w:val="2"/>
          </w:tcPr>
          <w:p>
            <w:pPr>
              <w:pStyle w:val="TableParagraph"/>
              <w:spacing w:before="0" w:line="359" w:lineRule="exact"/>
              <w:ind w:left="683" w:right="-29"/>
              <w:rPr>
                <w:sz w:val="31"/>
              </w:rPr>
            </w:pPr>
            <w:r>
              <w:rPr>
                <w:sz w:val="31"/>
              </w:rPr>
              <w:t>A</w:t>
            </w:r>
            <w:r>
              <w:rPr>
                <w:spacing w:val="-1"/>
                <w:sz w:val="31"/>
              </w:rPr>
              <w:t>．以低于债务账面价值的现金清偿债务</w:t>
            </w:r>
          </w:p>
        </w:tc>
        <w:tc>
          <w:tcPr>
            <w:tcW w:w="949" w:type="dxa"/>
          </w:tcPr>
          <w:p>
            <w:pPr>
              <w:pStyle w:val="TableParagraph"/>
              <w:spacing w:before="0"/>
              <w:rPr>
                <w:rFonts w:ascii="Times New Roman"/>
                <w:sz w:val="30"/>
              </w:rPr>
            </w:pPr>
          </w:p>
        </w:tc>
        <w:tc>
          <w:tcPr>
            <w:tcW w:w="3048" w:type="dxa"/>
          </w:tcPr>
          <w:p>
            <w:pPr>
              <w:pStyle w:val="TableParagraph"/>
              <w:spacing w:before="0" w:line="359" w:lineRule="exact"/>
              <w:ind w:left="314"/>
              <w:rPr>
                <w:sz w:val="31"/>
              </w:rPr>
            </w:pPr>
            <w:r>
              <w:rPr>
                <w:sz w:val="31"/>
              </w:rPr>
              <w:t>B．将债务转为资本</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6200" w:type="dxa"/>
            <w:gridSpan w:val="2"/>
          </w:tcPr>
          <w:p>
            <w:pPr>
              <w:pStyle w:val="TableParagraph"/>
              <w:ind w:left="683"/>
              <w:rPr>
                <w:sz w:val="31"/>
              </w:rPr>
            </w:pPr>
            <w:r>
              <w:rPr>
                <w:sz w:val="31"/>
              </w:rPr>
              <w:t>C．以非现金资产清偿债务</w:t>
            </w:r>
          </w:p>
        </w:tc>
        <w:tc>
          <w:tcPr>
            <w:tcW w:w="949" w:type="dxa"/>
          </w:tcPr>
          <w:p>
            <w:pPr>
              <w:pStyle w:val="TableParagraph"/>
              <w:spacing w:before="0"/>
              <w:rPr>
                <w:rFonts w:ascii="Times New Roman"/>
                <w:sz w:val="30"/>
              </w:rPr>
            </w:pPr>
          </w:p>
        </w:tc>
        <w:tc>
          <w:tcPr>
            <w:tcW w:w="3048" w:type="dxa"/>
          </w:tcPr>
          <w:p>
            <w:pPr>
              <w:pStyle w:val="TableParagraph"/>
              <w:ind w:left="325"/>
              <w:rPr>
                <w:sz w:val="31"/>
              </w:rPr>
            </w:pPr>
            <w:r>
              <w:rPr>
                <w:sz w:val="31"/>
              </w:rPr>
              <w:t>D．修改债务条件</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6200" w:type="dxa"/>
            <w:gridSpan w:val="2"/>
          </w:tcPr>
          <w:p>
            <w:pPr>
              <w:pStyle w:val="TableParagraph"/>
              <w:ind w:left="683"/>
              <w:rPr>
                <w:sz w:val="31"/>
              </w:rPr>
            </w:pPr>
            <w:r>
              <w:rPr>
                <w:sz w:val="31"/>
              </w:rPr>
              <w:t>E．以上两种或两种以上方式的组合</w:t>
            </w:r>
          </w:p>
        </w:tc>
        <w:tc>
          <w:tcPr>
            <w:tcW w:w="949" w:type="dxa"/>
          </w:tcPr>
          <w:p>
            <w:pPr>
              <w:pStyle w:val="TableParagraph"/>
              <w:spacing w:before="0"/>
              <w:rPr>
                <w:rFonts w:ascii="Times New Roman"/>
                <w:sz w:val="30"/>
              </w:rPr>
            </w:pPr>
          </w:p>
        </w:tc>
        <w:tc>
          <w:tcPr>
            <w:tcW w:w="3048" w:type="dxa"/>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6200" w:type="dxa"/>
            <w:gridSpan w:val="2"/>
          </w:tcPr>
          <w:p>
            <w:pPr>
              <w:pStyle w:val="TableParagraph"/>
              <w:spacing w:line="335" w:lineRule="exact"/>
              <w:ind w:left="50"/>
              <w:rPr>
                <w:sz w:val="31"/>
              </w:rPr>
            </w:pPr>
            <w:r>
              <w:rPr>
                <w:sz w:val="31"/>
              </w:rPr>
              <w:t>27．下列项目支付的增值税不予抵扣的有(</w:t>
            </w:r>
          </w:p>
        </w:tc>
        <w:tc>
          <w:tcPr>
            <w:tcW w:w="949" w:type="dxa"/>
          </w:tcPr>
          <w:p>
            <w:pPr>
              <w:pStyle w:val="TableParagraph"/>
              <w:spacing w:line="335" w:lineRule="exact"/>
              <w:ind w:left="-1"/>
              <w:rPr>
                <w:sz w:val="31"/>
              </w:rPr>
            </w:pPr>
            <w:r>
              <w:rPr>
                <w:sz w:val="31"/>
              </w:rPr>
              <w:t>ABCD</w:t>
            </w:r>
          </w:p>
        </w:tc>
        <w:tc>
          <w:tcPr>
            <w:tcW w:w="3048" w:type="dxa"/>
          </w:tcPr>
          <w:p>
            <w:pPr>
              <w:pStyle w:val="TableParagraph"/>
              <w:spacing w:line="335" w:lineRule="exact"/>
              <w:ind w:left="317"/>
              <w:rPr>
                <w:sz w:val="31"/>
              </w:rPr>
            </w:pPr>
            <w:r>
              <w:rPr>
                <w:sz w:val="31"/>
              </w:rPr>
              <w:t>)。</w:t>
            </w:r>
          </w:p>
        </w:tc>
      </w:tr>
      <w:tr>
        <w:tblPrEx>
          <w:tblW w:w="0" w:type="auto"/>
          <w:jc w:val="left"/>
          <w:tblInd w:w="747" w:type="dxa"/>
          <w:tblLayout w:type="fixed"/>
          <w:tblCellMar>
            <w:top w:w="0" w:type="dxa"/>
            <w:left w:w="0" w:type="dxa"/>
            <w:bottom w:w="0" w:type="dxa"/>
            <w:right w:w="0" w:type="dxa"/>
          </w:tblCellMar>
          <w:tblLook w:val="01E0"/>
        </w:tblPrEx>
        <w:trPr>
          <w:trHeight w:val="651"/>
          <w:jc w:val="left"/>
        </w:trPr>
        <w:tc>
          <w:tcPr>
            <w:tcW w:w="5098" w:type="dxa"/>
          </w:tcPr>
          <w:p>
            <w:pPr>
              <w:pStyle w:val="TableParagraph"/>
              <w:spacing w:before="185"/>
              <w:ind w:left="683"/>
              <w:rPr>
                <w:sz w:val="31"/>
              </w:rPr>
            </w:pPr>
            <w:r>
              <w:rPr>
                <w:sz w:val="31"/>
              </w:rPr>
              <w:t>A．购进工程物资</w:t>
            </w:r>
          </w:p>
        </w:tc>
        <w:tc>
          <w:tcPr>
            <w:tcW w:w="1102" w:type="dxa"/>
          </w:tcPr>
          <w:p>
            <w:pPr>
              <w:pStyle w:val="TableParagraph"/>
              <w:spacing w:before="0"/>
              <w:rPr>
                <w:rFonts w:ascii="Times New Roman"/>
                <w:sz w:val="30"/>
              </w:rPr>
            </w:pPr>
          </w:p>
        </w:tc>
        <w:tc>
          <w:tcPr>
            <w:tcW w:w="3997" w:type="dxa"/>
            <w:gridSpan w:val="2"/>
          </w:tcPr>
          <w:p>
            <w:pPr>
              <w:pStyle w:val="TableParagraph"/>
              <w:spacing w:before="185"/>
              <w:ind w:left="171"/>
              <w:rPr>
                <w:sz w:val="31"/>
              </w:rPr>
            </w:pPr>
            <w:r>
              <w:rPr>
                <w:sz w:val="31"/>
              </w:rPr>
              <w:t>B．购进固定资产</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5098" w:type="dxa"/>
          </w:tcPr>
          <w:p>
            <w:pPr>
              <w:pStyle w:val="TableParagraph"/>
              <w:ind w:left="683"/>
              <w:rPr>
                <w:sz w:val="31"/>
              </w:rPr>
            </w:pPr>
            <w:r>
              <w:rPr>
                <w:sz w:val="31"/>
              </w:rPr>
              <w:t>C．购进用于免税项目的物资</w:t>
            </w:r>
          </w:p>
        </w:tc>
        <w:tc>
          <w:tcPr>
            <w:tcW w:w="1102" w:type="dxa"/>
          </w:tcPr>
          <w:p>
            <w:pPr>
              <w:pStyle w:val="TableParagraph"/>
              <w:spacing w:before="0"/>
              <w:rPr>
                <w:rFonts w:ascii="Times New Roman"/>
                <w:sz w:val="30"/>
              </w:rPr>
            </w:pPr>
          </w:p>
        </w:tc>
        <w:tc>
          <w:tcPr>
            <w:tcW w:w="3997" w:type="dxa"/>
            <w:gridSpan w:val="2"/>
          </w:tcPr>
          <w:p>
            <w:pPr>
              <w:pStyle w:val="TableParagraph"/>
              <w:ind w:left="161"/>
              <w:rPr>
                <w:sz w:val="31"/>
              </w:rPr>
            </w:pPr>
            <w:r>
              <w:rPr>
                <w:sz w:val="31"/>
              </w:rPr>
              <w:t>D．购进准备发放的奖品</w:t>
            </w:r>
          </w:p>
        </w:tc>
      </w:tr>
      <w:tr>
        <w:tblPrEx>
          <w:tblW w:w="0" w:type="auto"/>
          <w:jc w:val="left"/>
          <w:tblInd w:w="747" w:type="dxa"/>
          <w:tblLayout w:type="fixed"/>
          <w:tblCellMar>
            <w:top w:w="0" w:type="dxa"/>
            <w:left w:w="0" w:type="dxa"/>
            <w:bottom w:w="0" w:type="dxa"/>
            <w:right w:w="0" w:type="dxa"/>
          </w:tblCellMar>
          <w:tblLook w:val="01E0"/>
        </w:tblPrEx>
        <w:trPr>
          <w:trHeight w:val="540"/>
          <w:jc w:val="left"/>
        </w:trPr>
        <w:tc>
          <w:tcPr>
            <w:tcW w:w="5098" w:type="dxa"/>
          </w:tcPr>
          <w:p>
            <w:pPr>
              <w:pStyle w:val="TableParagraph"/>
              <w:ind w:left="683"/>
              <w:rPr>
                <w:sz w:val="31"/>
              </w:rPr>
            </w:pPr>
            <w:r>
              <w:rPr>
                <w:sz w:val="31"/>
              </w:rPr>
              <w:t>E．购进加工商品的原材料</w:t>
            </w:r>
          </w:p>
        </w:tc>
        <w:tc>
          <w:tcPr>
            <w:tcW w:w="1102" w:type="dxa"/>
          </w:tcPr>
          <w:p>
            <w:pPr>
              <w:pStyle w:val="TableParagraph"/>
              <w:spacing w:before="0"/>
              <w:rPr>
                <w:rFonts w:ascii="Times New Roman"/>
                <w:sz w:val="30"/>
              </w:rPr>
            </w:pPr>
          </w:p>
        </w:tc>
        <w:tc>
          <w:tcPr>
            <w:tcW w:w="3997" w:type="dxa"/>
            <w:gridSpan w:val="2"/>
          </w:tcPr>
          <w:p>
            <w:pPr>
              <w:pStyle w:val="TableParagraph"/>
              <w:spacing w:before="0"/>
              <w:rPr>
                <w:rFonts w:ascii="Times New Roman"/>
                <w:sz w:val="30"/>
              </w:rPr>
            </w:pPr>
          </w:p>
        </w:tc>
      </w:tr>
      <w:tr>
        <w:tblPrEx>
          <w:tblW w:w="0" w:type="auto"/>
          <w:jc w:val="left"/>
          <w:tblInd w:w="747" w:type="dxa"/>
          <w:tblLayout w:type="fixed"/>
          <w:tblCellMar>
            <w:top w:w="0" w:type="dxa"/>
            <w:left w:w="0" w:type="dxa"/>
            <w:bottom w:w="0" w:type="dxa"/>
            <w:right w:w="0" w:type="dxa"/>
          </w:tblCellMar>
          <w:tblLook w:val="01E0"/>
        </w:tblPrEx>
        <w:trPr>
          <w:trHeight w:val="428"/>
          <w:jc w:val="left"/>
        </w:trPr>
        <w:tc>
          <w:tcPr>
            <w:tcW w:w="5098" w:type="dxa"/>
          </w:tcPr>
          <w:p>
            <w:pPr>
              <w:pStyle w:val="TableParagraph"/>
              <w:spacing w:line="335" w:lineRule="exact"/>
              <w:ind w:left="50"/>
              <w:rPr>
                <w:sz w:val="31"/>
              </w:rPr>
            </w:pPr>
            <w:r>
              <w:rPr>
                <w:sz w:val="31"/>
              </w:rPr>
              <w:t>28．长期借款利息可计入的项目有(</w:t>
            </w:r>
          </w:p>
        </w:tc>
        <w:tc>
          <w:tcPr>
            <w:tcW w:w="1102" w:type="dxa"/>
          </w:tcPr>
          <w:p>
            <w:pPr>
              <w:pStyle w:val="TableParagraph"/>
              <w:spacing w:line="335" w:lineRule="exact"/>
              <w:ind w:left="158"/>
              <w:rPr>
                <w:sz w:val="31"/>
              </w:rPr>
            </w:pPr>
            <w:r>
              <w:rPr>
                <w:sz w:val="31"/>
              </w:rPr>
              <w:t>ABDE</w:t>
            </w:r>
          </w:p>
        </w:tc>
        <w:tc>
          <w:tcPr>
            <w:tcW w:w="3997" w:type="dxa"/>
            <w:gridSpan w:val="2"/>
          </w:tcPr>
          <w:p>
            <w:pPr>
              <w:pStyle w:val="TableParagraph"/>
              <w:spacing w:line="335" w:lineRule="exact"/>
              <w:ind w:left="165"/>
              <w:rPr>
                <w:sz w:val="31"/>
              </w:rPr>
            </w:pPr>
            <w:r>
              <w:rPr>
                <w:sz w:val="31"/>
              </w:rPr>
              <w:t>)。</w:t>
            </w:r>
          </w:p>
        </w:tc>
      </w:tr>
    </w:tbl>
    <w:p>
      <w:pPr>
        <w:pStyle w:val="BodyText"/>
        <w:tabs>
          <w:tab w:val="left" w:pos="5530"/>
          <w:tab w:val="left" w:pos="9308"/>
        </w:tabs>
        <w:spacing w:before="186"/>
        <w:ind w:left="1423"/>
      </w:pPr>
      <w:r>
        <w:t>A．财务费用</w:t>
        <w:tab/>
      </w:r>
      <w:r>
        <w:rPr>
          <w:spacing w:val="-7"/>
        </w:rPr>
        <w:t>B．</w:t>
      </w:r>
      <w:r>
        <w:t>在建工程</w:t>
        <w:tab/>
      </w:r>
      <w:r>
        <w:rPr>
          <w:spacing w:val="-7"/>
        </w:rPr>
        <w:t>C．</w:t>
      </w:r>
      <w:r>
        <w:t>营业外支出</w:t>
      </w:r>
    </w:p>
    <w:p>
      <w:pPr>
        <w:pStyle w:val="BodyText"/>
        <w:tabs>
          <w:tab w:val="left" w:pos="5366"/>
          <w:tab w:val="left" w:pos="5530"/>
          <w:tab w:val="left" w:pos="6474"/>
        </w:tabs>
        <w:spacing w:before="143" w:line="326" w:lineRule="auto"/>
        <w:ind w:right="7657" w:firstLine="633"/>
      </w:pPr>
      <w:r>
        <w:t>D．研发支出</w:t>
        <w:tab/>
        <w:tab/>
      </w:r>
      <w:r>
        <w:rPr>
          <w:spacing w:val="-7"/>
        </w:rPr>
        <w:t>E．</w:t>
      </w:r>
      <w:r>
        <w:t>制造费</w:t>
      </w:r>
      <w:r>
        <w:rPr>
          <w:spacing w:val="-16"/>
        </w:rPr>
        <w:t>用</w:t>
      </w:r>
      <w:r>
        <w:t>29．常见的或有事项主要包</w:t>
      </w:r>
      <w:r>
        <w:rPr>
          <w:spacing w:val="-18"/>
        </w:rPr>
        <w:t>括</w:t>
      </w:r>
      <w:r>
        <w:t>(</w:t>
        <w:tab/>
        <w:t>ABCDE</w:t>
        <w:tab/>
      </w:r>
      <w:r>
        <w:rPr>
          <w:spacing w:val="-11"/>
        </w:rPr>
        <w:t>)</w:t>
      </w:r>
      <w:r>
        <w:t>。</w:t>
      </w:r>
    </w:p>
    <w:p>
      <w:pPr>
        <w:pStyle w:val="BodyText"/>
        <w:tabs>
          <w:tab w:val="left" w:pos="4738"/>
          <w:tab w:val="left" w:pos="5679"/>
          <w:tab w:val="left" w:pos="8361"/>
        </w:tabs>
        <w:spacing w:line="326" w:lineRule="auto"/>
        <w:ind w:left="1423" w:right="4190"/>
      </w:pPr>
      <w:r>
        <w:t>A．债务担保</w:t>
        <w:tab/>
      </w:r>
      <w:r>
        <w:rPr>
          <w:spacing w:val="-5"/>
        </w:rPr>
        <w:t>B．</w:t>
      </w:r>
      <w:r>
        <w:t>环境污染整治</w:t>
        <w:tab/>
      </w:r>
      <w:r>
        <w:rPr>
          <w:spacing w:val="-6"/>
        </w:rPr>
        <w:t>C．</w:t>
      </w:r>
      <w:r>
        <w:t>产品质量保</w:t>
      </w:r>
      <w:r>
        <w:rPr>
          <w:spacing w:val="-17"/>
        </w:rPr>
        <w:t>证</w:t>
      </w:r>
      <w:r>
        <w:t>D．商业承兑汇票贴现</w:t>
        <w:tab/>
        <w:tab/>
      </w:r>
      <w:r>
        <w:rPr>
          <w:spacing w:val="-4"/>
        </w:rPr>
        <w:t>E．</w:t>
      </w:r>
      <w:r>
        <w:t>应收账款抵借</w:t>
      </w:r>
    </w:p>
    <w:p>
      <w:pPr>
        <w:pStyle w:val="ListParagraph"/>
        <w:numPr>
          <w:ilvl w:val="0"/>
          <w:numId w:val="25"/>
        </w:numPr>
        <w:tabs>
          <w:tab w:val="left" w:pos="1425"/>
          <w:tab w:val="left" w:pos="7256"/>
          <w:tab w:val="left" w:pos="7572"/>
          <w:tab w:val="left" w:pos="8048"/>
        </w:tabs>
        <w:spacing w:before="0" w:after="0" w:line="326" w:lineRule="auto"/>
        <w:ind w:left="1423" w:right="4030" w:hanging="634"/>
        <w:jc w:val="left"/>
        <w:rPr>
          <w:sz w:val="31"/>
        </w:rPr>
      </w:pPr>
      <w:r>
        <w:rPr>
          <w:sz w:val="31"/>
        </w:rPr>
        <w:t>借款费用资本化时应当具备的条件包</w:t>
      </w:r>
      <w:r>
        <w:rPr>
          <w:spacing w:val="-29"/>
          <w:sz w:val="31"/>
        </w:rPr>
        <w:t>括</w:t>
      </w:r>
      <w:r>
        <w:rPr>
          <w:sz w:val="31"/>
        </w:rPr>
        <w:t>(</w:t>
        <w:tab/>
        <w:t>CDE</w:t>
        <w:tab/>
      </w:r>
      <w:r>
        <w:rPr>
          <w:spacing w:val="-10"/>
          <w:sz w:val="31"/>
        </w:rPr>
        <w:t xml:space="preserve">) </w:t>
      </w:r>
      <w:r>
        <w:rPr>
          <w:sz w:val="31"/>
        </w:rPr>
        <w:t>。            A．用于固定资产购建的专门借款</w:t>
        <w:tab/>
        <w:tab/>
      </w:r>
      <w:r>
        <w:rPr>
          <w:spacing w:val="-6"/>
          <w:sz w:val="31"/>
        </w:rPr>
        <w:t>B．</w:t>
      </w:r>
      <w:r>
        <w:rPr>
          <w:sz w:val="31"/>
        </w:rPr>
        <w:t>制造费用办理的借</w:t>
      </w:r>
      <w:r>
        <w:rPr>
          <w:spacing w:val="-18"/>
          <w:sz w:val="31"/>
        </w:rPr>
        <w:t>款</w:t>
      </w:r>
      <w:r>
        <w:rPr>
          <w:sz w:val="31"/>
        </w:rPr>
        <w:t>C．资本支出已经发生</w:t>
        <w:tab/>
        <w:tab/>
      </w:r>
      <w:r>
        <w:rPr>
          <w:spacing w:val="-9"/>
          <w:sz w:val="31"/>
        </w:rPr>
        <w:t>D．</w:t>
      </w:r>
      <w:r>
        <w:rPr>
          <w:sz w:val="31"/>
        </w:rPr>
        <w:t>借款费用已经发生E．为使资产达到预定使用状态的必要的购建活动已经开始</w:t>
      </w:r>
    </w:p>
    <w:p>
      <w:pPr>
        <w:pStyle w:val="ListParagraph"/>
        <w:numPr>
          <w:ilvl w:val="0"/>
          <w:numId w:val="25"/>
        </w:numPr>
        <w:tabs>
          <w:tab w:val="left" w:pos="1425"/>
          <w:tab w:val="left" w:pos="5055"/>
          <w:tab w:val="left" w:pos="8199"/>
          <w:tab w:val="left" w:pos="8678"/>
          <w:tab w:val="left" w:pos="9308"/>
        </w:tabs>
        <w:spacing w:before="0" w:after="0" w:line="326" w:lineRule="auto"/>
        <w:ind w:left="1423" w:right="4510" w:hanging="634"/>
        <w:jc w:val="left"/>
        <w:rPr>
          <w:sz w:val="31"/>
        </w:rPr>
      </w:pPr>
      <w:r>
        <w:rPr>
          <w:sz w:val="31"/>
        </w:rPr>
        <w:t>下列各项中，属于公司制企业所有者权益的</w:t>
      </w:r>
      <w:r>
        <w:rPr>
          <w:spacing w:val="-36"/>
          <w:sz w:val="31"/>
        </w:rPr>
        <w:t>有</w:t>
      </w:r>
      <w:r>
        <w:rPr>
          <w:sz w:val="31"/>
        </w:rPr>
        <w:t>(</w:t>
        <w:tab/>
        <w:t>ABCE</w:t>
        <w:tab/>
      </w:r>
      <w:r>
        <w:rPr>
          <w:spacing w:val="-10"/>
          <w:sz w:val="31"/>
        </w:rPr>
        <w:t xml:space="preserve">) </w:t>
      </w:r>
      <w:r>
        <w:rPr>
          <w:sz w:val="31"/>
        </w:rPr>
        <w:t>。 A．实收资本</w:t>
        <w:tab/>
      </w:r>
      <w:r>
        <w:rPr>
          <w:spacing w:val="-7"/>
          <w:sz w:val="31"/>
        </w:rPr>
        <w:t>B．</w:t>
      </w:r>
      <w:r>
        <w:rPr>
          <w:sz w:val="31"/>
        </w:rPr>
        <w:t>资本公积</w:t>
        <w:tab/>
        <w:tab/>
      </w:r>
      <w:r>
        <w:rPr>
          <w:spacing w:val="-7"/>
          <w:sz w:val="31"/>
        </w:rPr>
        <w:t>C．</w:t>
      </w:r>
      <w:r>
        <w:rPr>
          <w:sz w:val="31"/>
        </w:rPr>
        <w:t>盈余公</w:t>
      </w:r>
      <w:r>
        <w:rPr>
          <w:spacing w:val="-17"/>
          <w:sz w:val="31"/>
        </w:rPr>
        <w:t>积</w:t>
      </w:r>
    </w:p>
    <w:p>
      <w:pPr>
        <w:pStyle w:val="BodyText"/>
        <w:tabs>
          <w:tab w:val="left" w:pos="5055"/>
          <w:tab w:val="left" w:pos="6939"/>
          <w:tab w:val="left" w:pos="7731"/>
        </w:tabs>
        <w:spacing w:line="326" w:lineRule="auto"/>
        <w:ind w:right="6721" w:firstLine="633"/>
      </w:pPr>
      <w:r>
        <w:t>D．业主资本</w:t>
        <w:tab/>
      </w:r>
      <w:r>
        <w:rPr>
          <w:spacing w:val="-7"/>
        </w:rPr>
        <w:t>E．</w:t>
      </w:r>
      <w:r>
        <w:t>未分配利润    32．下列各项可能引起盈余公积减少的</w:t>
      </w:r>
      <w:r>
        <w:rPr>
          <w:spacing w:val="-29"/>
        </w:rPr>
        <w:t>有</w:t>
      </w:r>
      <w:r>
        <w:t>(</w:t>
        <w:tab/>
        <w:t>BC</w:t>
        <w:tab/>
      </w:r>
      <w:r>
        <w:rPr>
          <w:spacing w:val="-11"/>
        </w:rPr>
        <w:t>)</w:t>
      </w:r>
      <w:r>
        <w:rPr>
          <w:spacing w:val="-17"/>
        </w:rPr>
        <w:t>。</w:t>
      </w:r>
    </w:p>
    <w:p>
      <w:pPr>
        <w:pStyle w:val="BodyText"/>
        <w:tabs>
          <w:tab w:val="left" w:pos="6946"/>
        </w:tabs>
        <w:spacing w:line="397" w:lineRule="exact"/>
        <w:ind w:left="1423"/>
      </w:pPr>
      <w:r>
        <w:t>A．用盈余公积对外捐赠</w:t>
        <w:tab/>
      </w:r>
      <w:r>
        <w:rPr>
          <w:spacing w:val="-8"/>
        </w:rPr>
        <w:t>B．</w:t>
      </w:r>
      <w:r>
        <w:t>用盈余公积转增资本</w:t>
      </w:r>
    </w:p>
    <w:p>
      <w:pPr>
        <w:pStyle w:val="BodyText"/>
        <w:tabs>
          <w:tab w:val="left" w:pos="6946"/>
        </w:tabs>
        <w:spacing w:before="142" w:line="326" w:lineRule="auto"/>
        <w:ind w:left="1423" w:right="4660"/>
      </w:pPr>
      <w:r>
        <w:t>C．用盈余公积弥补亏损</w:t>
        <w:tab/>
      </w:r>
      <w:r>
        <w:rPr>
          <w:spacing w:val="-8"/>
        </w:rPr>
        <w:t>D．</w:t>
      </w:r>
      <w:r>
        <w:t>用盈余公积购买材</w:t>
      </w:r>
      <w:r>
        <w:rPr>
          <w:spacing w:val="-18"/>
        </w:rPr>
        <w:t>料</w:t>
      </w:r>
      <w:r>
        <w:t>E．用盈余公积发放奖金</w:t>
      </w:r>
    </w:p>
    <w:p>
      <w:pPr>
        <w:pStyle w:val="ListParagraph"/>
        <w:numPr>
          <w:ilvl w:val="0"/>
          <w:numId w:val="24"/>
        </w:numPr>
        <w:tabs>
          <w:tab w:val="left" w:pos="1425"/>
          <w:tab w:val="left" w:pos="6939"/>
          <w:tab w:val="left" w:pos="7889"/>
        </w:tabs>
        <w:spacing w:before="0" w:after="0" w:line="326" w:lineRule="auto"/>
        <w:ind w:left="1423" w:right="5609" w:hanging="634"/>
        <w:jc w:val="left"/>
        <w:rPr>
          <w:sz w:val="31"/>
        </w:rPr>
      </w:pPr>
      <w:r>
        <w:rPr>
          <w:sz w:val="31"/>
        </w:rPr>
        <w:t>下列各项中，应计入资本公各人的</w:t>
      </w:r>
      <w:r>
        <w:rPr>
          <w:spacing w:val="-29"/>
          <w:sz w:val="31"/>
        </w:rPr>
        <w:t>有</w:t>
      </w:r>
      <w:r>
        <w:rPr>
          <w:sz w:val="31"/>
        </w:rPr>
        <w:t>(</w:t>
        <w:tab/>
        <w:t>ACE</w:t>
        <w:tab/>
      </w:r>
      <w:r>
        <w:rPr>
          <w:spacing w:val="-11"/>
          <w:sz w:val="31"/>
        </w:rPr>
        <w:t xml:space="preserve">) </w:t>
      </w:r>
      <w:r>
        <w:rPr>
          <w:sz w:val="31"/>
        </w:rPr>
        <w:t>。   A．股票溢价</w:t>
        <w:tab/>
      </w:r>
      <w:r>
        <w:rPr>
          <w:spacing w:val="-13"/>
          <w:sz w:val="31"/>
        </w:rPr>
        <w:t>B．</w:t>
      </w:r>
      <w:r>
        <w:rPr>
          <w:sz w:val="31"/>
        </w:rPr>
        <w:t>接受现金捐</w:t>
      </w:r>
      <w:r>
        <w:rPr>
          <w:spacing w:val="-15"/>
          <w:sz w:val="31"/>
        </w:rPr>
        <w:t>赠</w:t>
      </w:r>
    </w:p>
    <w:p>
      <w:pPr>
        <w:pStyle w:val="BodyText"/>
        <w:spacing w:line="326" w:lineRule="auto"/>
        <w:ind w:left="1423" w:right="3201"/>
      </w:pPr>
      <w:r>
        <w:t>C</w:t>
      </w:r>
      <w:r>
        <w:rPr>
          <w:spacing w:val="-1"/>
        </w:rPr>
        <w:t>．将自用办公楼改为出租，转换日的公允价值高于办公楼账面价值的差额</w:t>
      </w:r>
      <w:r>
        <w:t>D．期末交易性金融资产公允价值的变动额                           E．期末可供出售金融资产公允价值的变动额</w:t>
      </w:r>
    </w:p>
    <w:p>
      <w:pPr>
        <w:pStyle w:val="ListParagraph"/>
        <w:numPr>
          <w:ilvl w:val="0"/>
          <w:numId w:val="24"/>
        </w:numPr>
        <w:tabs>
          <w:tab w:val="left" w:pos="1425"/>
          <w:tab w:val="left" w:pos="6467"/>
          <w:tab w:val="left" w:pos="7418"/>
        </w:tabs>
        <w:spacing w:before="0" w:after="0" w:line="397" w:lineRule="exact"/>
        <w:ind w:left="1424" w:right="0" w:hanging="635"/>
        <w:jc w:val="left"/>
        <w:rPr>
          <w:sz w:val="31"/>
        </w:rPr>
      </w:pPr>
      <w:r>
        <w:rPr>
          <w:sz w:val="31"/>
        </w:rPr>
        <w:t>下列各项影响企业营业利润的</w:t>
      </w:r>
      <w:r>
        <w:rPr>
          <w:spacing w:val="-25"/>
          <w:sz w:val="31"/>
        </w:rPr>
        <w:t>有</w:t>
      </w:r>
      <w:r>
        <w:rPr>
          <w:sz w:val="31"/>
        </w:rPr>
        <w:t>(</w:t>
        <w:tab/>
        <w:t>ABCE</w:t>
        <w:tab/>
      </w:r>
      <w:r>
        <w:rPr>
          <w:spacing w:val="-11"/>
          <w:sz w:val="31"/>
        </w:rPr>
        <w:t>)</w:t>
      </w:r>
      <w:r>
        <w:rPr>
          <w:sz w:val="31"/>
        </w:rPr>
        <w:t>。</w:t>
      </w:r>
    </w:p>
    <w:p>
      <w:pPr>
        <w:pStyle w:val="BodyText"/>
        <w:tabs>
          <w:tab w:val="left" w:pos="5372"/>
          <w:tab w:val="left" w:pos="9153"/>
        </w:tabs>
        <w:spacing w:before="143"/>
        <w:ind w:left="1423"/>
      </w:pPr>
      <w:r>
        <w:t>A．销售费用</w:t>
        <w:tab/>
      </w:r>
      <w:r>
        <w:rPr>
          <w:spacing w:val="-7"/>
        </w:rPr>
        <w:t>B．</w:t>
      </w:r>
      <w:r>
        <w:t>管理费用</w:t>
        <w:tab/>
      </w:r>
      <w:r>
        <w:rPr>
          <w:spacing w:val="-7"/>
        </w:rPr>
        <w:t>C．</w:t>
      </w:r>
      <w:r>
        <w:t>投资收益</w:t>
      </w:r>
    </w:p>
    <w:p>
      <w:pPr>
        <w:pStyle w:val="BodyText"/>
        <w:tabs>
          <w:tab w:val="left" w:pos="5372"/>
        </w:tabs>
        <w:spacing w:before="142" w:line="326" w:lineRule="auto"/>
        <w:ind w:right="188" w:firstLine="633"/>
      </w:pPr>
      <w:r>
        <w:t>D．所得税费用</w:t>
        <w:tab/>
      </w:r>
      <w:r>
        <w:rPr>
          <w:spacing w:val="-7"/>
        </w:rPr>
        <w:t>E．</w:t>
      </w:r>
      <w:r>
        <w:t>公允价值变动损益                                      35．企业除主营业务活动以外的其他经营活动所发生的支出，应通过“其他业务成本”账户核算。</w:t>
      </w:r>
      <w:r>
        <w:rPr>
          <w:spacing w:val="-18"/>
        </w:rPr>
        <w:t>其</w:t>
      </w:r>
    </w:p>
    <w:p>
      <w:pPr>
        <w:pStyle w:val="BodyText"/>
        <w:tabs>
          <w:tab w:val="left" w:pos="4101"/>
          <w:tab w:val="left" w:pos="5052"/>
        </w:tabs>
        <w:spacing w:line="397" w:lineRule="exact"/>
        <w:ind w:left="159"/>
      </w:pPr>
      <w:r>
        <w:t>对应的贷方账户可能包</w:t>
      </w:r>
      <w:r>
        <w:rPr>
          <w:spacing w:val="-18"/>
        </w:rPr>
        <w:t>括</w:t>
      </w:r>
      <w:r>
        <w:t>(</w:t>
        <w:tab/>
        <w:t>ABC</w:t>
        <w:tab/>
      </w:r>
      <w:r>
        <w:rPr>
          <w:spacing w:val="-10"/>
        </w:rPr>
        <w:t>)</w:t>
      </w:r>
      <w:r>
        <w:t>。</w:t>
      </w:r>
    </w:p>
    <w:p>
      <w:pPr>
        <w:pStyle w:val="BodyText"/>
        <w:tabs>
          <w:tab w:val="left" w:pos="6154"/>
        </w:tabs>
        <w:spacing w:before="143" w:line="326" w:lineRule="auto"/>
        <w:ind w:left="1423" w:right="5128"/>
      </w:pPr>
      <w:r>
        <w:t>A．周转材料</w:t>
        <w:tab/>
      </w:r>
      <w:r>
        <w:rPr>
          <w:spacing w:val="-9"/>
        </w:rPr>
        <w:t>B．</w:t>
      </w:r>
      <w:r>
        <w:t>投资性房地产累计折</w:t>
      </w:r>
      <w:r>
        <w:rPr>
          <w:spacing w:val="-17"/>
        </w:rPr>
        <w:t>旧</w:t>
      </w:r>
      <w:r>
        <w:t>C．投资性房地产累计摊销</w:t>
        <w:tab/>
      </w:r>
      <w:r>
        <w:rPr>
          <w:spacing w:val="-4"/>
        </w:rPr>
        <w:t>D．</w:t>
      </w:r>
      <w:r>
        <w:t>应交税费</w:t>
      </w:r>
    </w:p>
    <w:p>
      <w:pPr>
        <w:pStyle w:val="BodyText"/>
        <w:ind w:left="1423"/>
      </w:pPr>
      <w:r>
        <w:t>E．库存商品</w:t>
      </w:r>
    </w:p>
    <w:p>
      <w:pPr>
        <w:spacing w:after="0"/>
        <w:sectPr>
          <w:headerReference w:type="default" r:id="rId22"/>
          <w:footerReference w:type="default" r:id="rId23"/>
          <w:pgSz w:w="17860" w:h="25270"/>
          <w:pgMar w:top="1400" w:right="1400" w:bottom="2040" w:left="1540" w:header="1088" w:footer="1816"/>
          <w:pgNumType w:start="10"/>
          <w:cols w:space="708"/>
        </w:sectPr>
      </w:pPr>
    </w:p>
    <w:p>
      <w:pPr>
        <w:pStyle w:val="BodyText"/>
        <w:spacing w:before="2"/>
        <w:ind w:left="0"/>
        <w:rPr>
          <w:sz w:val="8"/>
        </w:rPr>
      </w:pPr>
    </w:p>
    <w:p>
      <w:pPr>
        <w:pStyle w:val="ListParagraph"/>
        <w:numPr>
          <w:ilvl w:val="0"/>
          <w:numId w:val="23"/>
        </w:numPr>
        <w:tabs>
          <w:tab w:val="left" w:pos="1425"/>
          <w:tab w:val="left" w:pos="5052"/>
          <w:tab w:val="left" w:pos="5996"/>
          <w:tab w:val="left" w:pos="8044"/>
          <w:tab w:val="left" w:pos="8516"/>
        </w:tabs>
        <w:spacing w:before="62" w:after="0" w:line="326" w:lineRule="auto"/>
        <w:ind w:left="1423" w:right="4507" w:hanging="634"/>
        <w:jc w:val="left"/>
        <w:rPr>
          <w:sz w:val="31"/>
        </w:rPr>
      </w:pPr>
      <w:r>
        <w:rPr>
          <w:sz w:val="31"/>
        </w:rPr>
        <w:t>下列各项中，应作为企业营业外收入核算的</w:t>
      </w:r>
      <w:r>
        <w:rPr>
          <w:spacing w:val="-36"/>
          <w:sz w:val="31"/>
        </w:rPr>
        <w:t>有</w:t>
      </w:r>
      <w:r>
        <w:rPr>
          <w:sz w:val="31"/>
        </w:rPr>
        <w:t>(</w:t>
        <w:tab/>
        <w:tab/>
        <w:t xml:space="preserve">ABC </w:t>
      </w:r>
      <w:r>
        <w:rPr>
          <w:spacing w:val="57"/>
          <w:sz w:val="31"/>
        </w:rPr>
        <w:t xml:space="preserve"> </w:t>
      </w:r>
      <w:r>
        <w:rPr>
          <w:spacing w:val="-10"/>
          <w:sz w:val="31"/>
        </w:rPr>
        <w:t xml:space="preserve">) </w:t>
      </w:r>
      <w:r>
        <w:rPr>
          <w:sz w:val="31"/>
        </w:rPr>
        <w:t>。A．债务重组收入</w:t>
        <w:tab/>
      </w:r>
      <w:r>
        <w:rPr>
          <w:spacing w:val="-5"/>
          <w:sz w:val="31"/>
        </w:rPr>
        <w:t>B．</w:t>
      </w:r>
      <w:r>
        <w:rPr>
          <w:sz w:val="31"/>
        </w:rPr>
        <w:t>罚没利得</w:t>
        <w:tab/>
      </w:r>
      <w:r>
        <w:rPr>
          <w:spacing w:val="-6"/>
          <w:sz w:val="31"/>
        </w:rPr>
        <w:t>C．</w:t>
      </w:r>
      <w:r>
        <w:rPr>
          <w:sz w:val="31"/>
        </w:rPr>
        <w:t>接受捐赠收</w:t>
      </w:r>
      <w:r>
        <w:rPr>
          <w:spacing w:val="-17"/>
          <w:sz w:val="31"/>
        </w:rPr>
        <w:t>入</w:t>
      </w:r>
      <w:r>
        <w:rPr>
          <w:sz w:val="31"/>
        </w:rPr>
        <w:t>D．办公大楼的出租收入</w:t>
        <w:tab/>
        <w:tab/>
      </w:r>
      <w:r>
        <w:rPr>
          <w:spacing w:val="-4"/>
          <w:sz w:val="31"/>
        </w:rPr>
        <w:t>E．</w:t>
      </w:r>
      <w:r>
        <w:rPr>
          <w:sz w:val="31"/>
        </w:rPr>
        <w:t>专利权的出租收入</w:t>
      </w:r>
    </w:p>
    <w:p>
      <w:pPr>
        <w:pStyle w:val="ListParagraph"/>
        <w:numPr>
          <w:ilvl w:val="0"/>
          <w:numId w:val="23"/>
        </w:numPr>
        <w:tabs>
          <w:tab w:val="left" w:pos="1425"/>
          <w:tab w:val="left" w:pos="6467"/>
          <w:tab w:val="left" w:pos="7259"/>
        </w:tabs>
        <w:spacing w:before="0" w:after="0" w:line="240" w:lineRule="auto"/>
        <w:ind w:left="1424" w:right="0" w:hanging="635"/>
        <w:jc w:val="left"/>
        <w:rPr>
          <w:sz w:val="31"/>
        </w:rPr>
      </w:pPr>
      <w:r>
        <w:rPr>
          <w:sz w:val="31"/>
        </w:rPr>
        <w:t>下列各项中，属于会计估计的</w:t>
      </w:r>
      <w:r>
        <w:rPr>
          <w:spacing w:val="-25"/>
          <w:sz w:val="31"/>
        </w:rPr>
        <w:t>是</w:t>
      </w:r>
      <w:r>
        <w:rPr>
          <w:sz w:val="31"/>
        </w:rPr>
        <w:t>(</w:t>
        <w:tab/>
        <w:t>ABC</w:t>
        <w:tab/>
      </w:r>
      <w:r>
        <w:rPr>
          <w:spacing w:val="-8"/>
          <w:sz w:val="31"/>
        </w:rPr>
        <w:t>)</w:t>
      </w:r>
      <w:r>
        <w:rPr>
          <w:sz w:val="31"/>
        </w:rPr>
        <w:t>。</w:t>
      </w:r>
    </w:p>
    <w:p>
      <w:pPr>
        <w:pStyle w:val="BodyText"/>
        <w:tabs>
          <w:tab w:val="left" w:pos="6939"/>
        </w:tabs>
        <w:spacing w:before="143" w:line="326" w:lineRule="auto"/>
        <w:ind w:left="1423" w:right="2124"/>
      </w:pPr>
      <w:r>
        <w:t>A．无形资产的摊销年限定为</w:t>
      </w:r>
      <w:r>
        <w:rPr>
          <w:spacing w:val="-82"/>
        </w:rPr>
        <w:t xml:space="preserve"> </w:t>
      </w:r>
      <w:r>
        <w:t>5</w:t>
      </w:r>
      <w:r>
        <w:rPr>
          <w:spacing w:val="-54"/>
        </w:rPr>
        <w:t xml:space="preserve"> </w:t>
      </w:r>
      <w:r>
        <w:t>年</w:t>
        <w:tab/>
      </w:r>
      <w:r>
        <w:rPr>
          <w:spacing w:val="-4"/>
        </w:rPr>
        <w:t>B．</w:t>
      </w:r>
      <w:r>
        <w:t>预计负债按最有可能发生金额确定  C．固定资产期末可收回金额的确定</w:t>
        <w:tab/>
      </w:r>
      <w:r>
        <w:rPr>
          <w:spacing w:val="-4"/>
        </w:rPr>
        <w:t>D．</w:t>
      </w:r>
      <w:r>
        <w:t>可供出售金融资产期末按公允价值计</w:t>
      </w:r>
      <w:r>
        <w:rPr>
          <w:spacing w:val="-17"/>
        </w:rPr>
        <w:t>价</w:t>
      </w:r>
      <w:r>
        <w:t>E．对具有商业实质的非倾向性资产交换，换入资产按公允价值计量</w:t>
      </w:r>
    </w:p>
    <w:p>
      <w:pPr>
        <w:pStyle w:val="ListParagraph"/>
        <w:numPr>
          <w:ilvl w:val="0"/>
          <w:numId w:val="23"/>
        </w:numPr>
        <w:tabs>
          <w:tab w:val="left" w:pos="1425"/>
          <w:tab w:val="left" w:pos="6942"/>
          <w:tab w:val="left" w:pos="7576"/>
        </w:tabs>
        <w:spacing w:before="0" w:after="0" w:line="326" w:lineRule="auto"/>
        <w:ind w:left="1423" w:right="4975" w:hanging="634"/>
        <w:jc w:val="left"/>
        <w:rPr>
          <w:sz w:val="31"/>
        </w:rPr>
      </w:pPr>
      <w:r>
        <w:rPr>
          <w:sz w:val="31"/>
        </w:rPr>
        <w:t>以下各项中，属于会计差错的</w:t>
      </w:r>
      <w:r>
        <w:rPr>
          <w:spacing w:val="-25"/>
          <w:sz w:val="31"/>
        </w:rPr>
        <w:t>有</w:t>
      </w:r>
      <w:r>
        <w:rPr>
          <w:sz w:val="31"/>
        </w:rPr>
        <w:t>(</w:t>
      </w:r>
      <w:r>
        <w:rPr>
          <w:spacing w:val="118"/>
          <w:sz w:val="31"/>
        </w:rPr>
        <w:t xml:space="preserve"> </w:t>
      </w:r>
      <w:r>
        <w:rPr>
          <w:sz w:val="31"/>
        </w:rPr>
        <w:t>ABCDE</w:t>
        <w:tab/>
      </w:r>
      <w:r>
        <w:rPr>
          <w:spacing w:val="-11"/>
          <w:sz w:val="31"/>
        </w:rPr>
        <w:t xml:space="preserve">) </w:t>
      </w:r>
      <w:r>
        <w:rPr>
          <w:sz w:val="31"/>
        </w:rPr>
        <w:t>。         A．会计政策使用上的差错</w:t>
        <w:tab/>
      </w:r>
      <w:r>
        <w:rPr>
          <w:spacing w:val="-8"/>
          <w:sz w:val="31"/>
        </w:rPr>
        <w:t>B．</w:t>
      </w:r>
      <w:r>
        <w:rPr>
          <w:sz w:val="31"/>
        </w:rPr>
        <w:t>会计估计上的差</w:t>
      </w:r>
      <w:r>
        <w:rPr>
          <w:spacing w:val="-16"/>
          <w:sz w:val="31"/>
        </w:rPr>
        <w:t>错</w:t>
      </w:r>
      <w:r>
        <w:rPr>
          <w:sz w:val="31"/>
        </w:rPr>
        <w:t>C．对经济业务错记借贷方向</w:t>
        <w:tab/>
      </w:r>
      <w:r>
        <w:rPr>
          <w:spacing w:val="-6"/>
          <w:sz w:val="31"/>
        </w:rPr>
        <w:t>D．</w:t>
      </w:r>
      <w:r>
        <w:rPr>
          <w:sz w:val="31"/>
        </w:rPr>
        <w:t>账户使用错误  E．对事实的疏忽和误用</w:t>
      </w:r>
    </w:p>
    <w:p>
      <w:pPr>
        <w:pStyle w:val="ListParagraph"/>
        <w:numPr>
          <w:ilvl w:val="0"/>
          <w:numId w:val="23"/>
        </w:numPr>
        <w:tabs>
          <w:tab w:val="left" w:pos="1425"/>
          <w:tab w:val="left" w:pos="5530"/>
          <w:tab w:val="left" w:pos="9308"/>
          <w:tab w:val="left" w:pos="10093"/>
          <w:tab w:val="left" w:pos="11043"/>
        </w:tabs>
        <w:spacing w:before="0" w:after="0" w:line="326" w:lineRule="auto"/>
        <w:ind w:left="1423" w:right="3410" w:hanging="634"/>
        <w:jc w:val="left"/>
        <w:rPr>
          <w:sz w:val="31"/>
        </w:rPr>
      </w:pPr>
      <w:r>
        <w:rPr>
          <w:sz w:val="31"/>
        </w:rPr>
        <w:t>下列各项中，不能直接根据总账户的期末余额填列的项目</w:t>
      </w:r>
      <w:r>
        <w:rPr>
          <w:spacing w:val="-42"/>
          <w:sz w:val="31"/>
        </w:rPr>
        <w:t>有</w:t>
      </w:r>
      <w:r>
        <w:rPr>
          <w:sz w:val="31"/>
        </w:rPr>
        <w:t>(</w:t>
        <w:tab/>
        <w:t>ACD</w:t>
        <w:tab/>
      </w:r>
      <w:r>
        <w:rPr>
          <w:spacing w:val="-11"/>
          <w:sz w:val="31"/>
        </w:rPr>
        <w:t>)</w:t>
      </w:r>
      <w:r>
        <w:rPr>
          <w:spacing w:val="-18"/>
          <w:sz w:val="31"/>
        </w:rPr>
        <w:t>。</w:t>
      </w:r>
      <w:r>
        <w:rPr>
          <w:sz w:val="31"/>
        </w:rPr>
        <w:t>A．固定资产</w:t>
        <w:tab/>
      </w:r>
      <w:r>
        <w:rPr>
          <w:spacing w:val="-7"/>
          <w:sz w:val="31"/>
        </w:rPr>
        <w:t>B．</w:t>
      </w:r>
      <w:r>
        <w:rPr>
          <w:sz w:val="31"/>
        </w:rPr>
        <w:t>应收票据</w:t>
        <w:tab/>
      </w:r>
      <w:r>
        <w:rPr>
          <w:spacing w:val="-7"/>
          <w:sz w:val="31"/>
        </w:rPr>
        <w:t>C．</w:t>
      </w:r>
      <w:r>
        <w:rPr>
          <w:sz w:val="31"/>
        </w:rPr>
        <w:t>长期借款</w:t>
      </w:r>
    </w:p>
    <w:p>
      <w:pPr>
        <w:pStyle w:val="BodyText"/>
        <w:tabs>
          <w:tab w:val="left" w:pos="5527"/>
          <w:tab w:val="left" w:pos="8044"/>
          <w:tab w:val="left" w:pos="8836"/>
        </w:tabs>
        <w:spacing w:line="326" w:lineRule="auto"/>
        <w:ind w:right="5617" w:firstLine="633"/>
      </w:pPr>
      <w:r>
        <w:t>D．持有至到期投资</w:t>
        <w:tab/>
      </w:r>
      <w:r>
        <w:rPr>
          <w:spacing w:val="-5"/>
        </w:rPr>
        <w:t xml:space="preserve">E． </w:t>
      </w:r>
      <w:r>
        <w:t>实 收 资 本      40．下列各项中，属于经营活动的现金流量的</w:t>
      </w:r>
      <w:r>
        <w:rPr>
          <w:spacing w:val="-32"/>
        </w:rPr>
        <w:t>有</w:t>
      </w:r>
      <w:r>
        <w:t>(</w:t>
        <w:tab/>
        <w:t>ACD</w:t>
        <w:tab/>
      </w:r>
      <w:r>
        <w:rPr>
          <w:spacing w:val="-11"/>
        </w:rPr>
        <w:t>)</w:t>
      </w:r>
      <w:r>
        <w:rPr>
          <w:spacing w:val="-18"/>
        </w:rPr>
        <w:t>。</w:t>
      </w:r>
    </w:p>
    <w:p>
      <w:pPr>
        <w:pStyle w:val="BodyText"/>
        <w:tabs>
          <w:tab w:val="left" w:pos="6636"/>
        </w:tabs>
        <w:spacing w:line="326" w:lineRule="auto"/>
        <w:ind w:left="1423" w:right="4021"/>
        <w:jc w:val="both"/>
      </w:pPr>
      <w:r>
        <w:t>A．支付的所得税款</w:t>
        <w:tab/>
      </w:r>
      <w:r>
        <w:rPr>
          <w:spacing w:val="-9"/>
        </w:rPr>
        <w:t>B．</w:t>
      </w:r>
      <w:r>
        <w:t>购买固定资产支付的增值</w:t>
      </w:r>
      <w:r>
        <w:rPr>
          <w:spacing w:val="-18"/>
        </w:rPr>
        <w:t>税</w:t>
      </w:r>
      <w:r>
        <w:t xml:space="preserve">C．出租包装物收入的现金        </w:t>
      </w:r>
      <w:r>
        <w:rPr>
          <w:spacing w:val="27"/>
        </w:rPr>
        <w:t xml:space="preserve"> </w:t>
      </w:r>
      <w:r>
        <w:rPr>
          <w:spacing w:val="-6"/>
        </w:rPr>
        <w:t>D．</w:t>
      </w:r>
      <w:r>
        <w:t>用银行存款支付职工保险</w:t>
      </w:r>
      <w:r>
        <w:rPr>
          <w:spacing w:val="-17"/>
        </w:rPr>
        <w:t>费</w:t>
      </w:r>
      <w:r>
        <w:t>E．用现金发放在建工程人员工资</w:t>
      </w:r>
    </w:p>
    <w:p>
      <w:pPr>
        <w:spacing w:before="0" w:line="336" w:lineRule="auto"/>
        <w:ind w:left="790" w:right="9850" w:firstLine="0"/>
        <w:jc w:val="left"/>
        <w:rPr>
          <w:sz w:val="31"/>
        </w:rPr>
      </w:pPr>
      <w:r>
        <w:rPr>
          <w:b/>
          <w:sz w:val="31"/>
        </w:rPr>
        <w:t>三、简答题               1</w:t>
      </w:r>
      <w:r>
        <w:rPr>
          <w:b/>
          <w:spacing w:val="-2"/>
          <w:sz w:val="31"/>
        </w:rPr>
        <w:t>．简述财务会计的基本特征。</w:t>
      </w:r>
      <w:r>
        <w:rPr>
          <w:b/>
          <w:sz w:val="31"/>
        </w:rPr>
        <w:t>答：</w:t>
      </w:r>
      <w:r>
        <w:rPr>
          <w:sz w:val="31"/>
        </w:rPr>
        <w:t>财务会计的基本特征有：</w:t>
      </w:r>
    </w:p>
    <w:p>
      <w:pPr>
        <w:pStyle w:val="ListParagraph"/>
        <w:numPr>
          <w:ilvl w:val="0"/>
          <w:numId w:val="22"/>
        </w:numPr>
        <w:tabs>
          <w:tab w:val="left" w:pos="1161"/>
        </w:tabs>
        <w:spacing w:before="45" w:after="0" w:line="360" w:lineRule="auto"/>
        <w:ind w:left="159" w:right="139" w:firstLine="630"/>
        <w:jc w:val="left"/>
        <w:rPr>
          <w:sz w:val="31"/>
        </w:rPr>
      </w:pPr>
      <w:r>
        <w:rPr>
          <w:spacing w:val="-1"/>
          <w:sz w:val="31"/>
        </w:rPr>
        <w:t>以企业外部的报表使用者作为直接服务对象，包括企业的投资者、债权人、政府部门等。同时也为</w:t>
      </w:r>
      <w:r>
        <w:rPr>
          <w:sz w:val="31"/>
        </w:rPr>
        <w:t>企业管理当局提供加强内部管理所需要的会计信息。</w:t>
      </w:r>
    </w:p>
    <w:p>
      <w:pPr>
        <w:pStyle w:val="ListParagraph"/>
        <w:numPr>
          <w:ilvl w:val="0"/>
          <w:numId w:val="22"/>
        </w:numPr>
        <w:tabs>
          <w:tab w:val="left" w:pos="1161"/>
        </w:tabs>
        <w:spacing w:before="7" w:after="0" w:line="362" w:lineRule="auto"/>
        <w:ind w:left="159" w:right="126" w:firstLine="630"/>
        <w:jc w:val="both"/>
        <w:rPr>
          <w:sz w:val="31"/>
        </w:rPr>
      </w:pPr>
      <w:r>
        <w:rPr>
          <w:sz w:val="31"/>
        </w:rPr>
        <w:t>有一套约定俗成的会计程序和方法，包括会计确认、计量、记录与报告的工作程序以及将各项经济</w:t>
      </w:r>
      <w:r>
        <w:rPr>
          <w:spacing w:val="-11"/>
          <w:sz w:val="31"/>
        </w:rPr>
        <w:t xml:space="preserve">业务加工成对使用者有用的财务信息的一套方法：设置会计科目与账户、填制与审核会计凭证、复式记账、 </w:t>
      </w:r>
      <w:r>
        <w:rPr>
          <w:sz w:val="31"/>
        </w:rPr>
        <w:t>登记账簿、成本计算、财产清查、编制财务报表等。</w:t>
      </w:r>
    </w:p>
    <w:p>
      <w:pPr>
        <w:pStyle w:val="ListParagraph"/>
        <w:numPr>
          <w:ilvl w:val="0"/>
          <w:numId w:val="22"/>
        </w:numPr>
        <w:tabs>
          <w:tab w:val="left" w:pos="1161"/>
        </w:tabs>
        <w:spacing w:before="1" w:after="0" w:line="362" w:lineRule="auto"/>
        <w:ind w:left="159" w:right="139" w:firstLine="630"/>
        <w:jc w:val="left"/>
        <w:rPr>
          <w:sz w:val="31"/>
        </w:rPr>
      </w:pPr>
      <w:r>
        <w:rPr>
          <w:spacing w:val="-1"/>
          <w:sz w:val="31"/>
        </w:rPr>
        <w:t>有一套系统的规范体系。财务会计在加工信息过程中，必须严格按照遵循国家的会计规范。这是高</w:t>
      </w:r>
      <w:r>
        <w:rPr>
          <w:sz w:val="31"/>
        </w:rPr>
        <w:t>质量会计信息的保证。</w:t>
      </w:r>
    </w:p>
    <w:p>
      <w:pPr>
        <w:pStyle w:val="Heading1"/>
        <w:spacing w:before="0" w:line="368" w:lineRule="exact"/>
        <w:ind w:left="790" w:firstLine="0"/>
      </w:pPr>
      <w:r>
        <w:t>2．什么是会计确认？其确认标准有哪些？</w:t>
      </w:r>
    </w:p>
    <w:p>
      <w:pPr>
        <w:pStyle w:val="BodyText"/>
        <w:spacing w:before="124" w:line="326" w:lineRule="auto"/>
        <w:ind w:left="159" w:right="206" w:firstLine="630"/>
      </w:pPr>
      <w:r>
        <w:rPr>
          <w:b/>
          <w:spacing w:val="-9"/>
        </w:rPr>
        <w:t>答：</w:t>
      </w:r>
      <w:r>
        <w:rPr>
          <w:spacing w:val="-1"/>
        </w:rPr>
        <w:t xml:space="preserve">会计确认是将符合会计要素定义及满足确认标准的事项纳入财务报表的过程。会计确认的基本标 </w:t>
      </w:r>
      <w:r>
        <w:t>准包括：</w:t>
      </w:r>
    </w:p>
    <w:p>
      <w:pPr>
        <w:pStyle w:val="ListParagraph"/>
        <w:numPr>
          <w:ilvl w:val="0"/>
          <w:numId w:val="21"/>
        </w:numPr>
        <w:tabs>
          <w:tab w:val="left" w:pos="1161"/>
        </w:tabs>
        <w:spacing w:before="0" w:after="0" w:line="397" w:lineRule="exact"/>
        <w:ind w:left="1160" w:right="0" w:hanging="371"/>
        <w:jc w:val="left"/>
        <w:rPr>
          <w:sz w:val="31"/>
        </w:rPr>
      </w:pPr>
      <w:r>
        <w:rPr>
          <w:sz w:val="31"/>
        </w:rPr>
        <w:t>可定义性。即被确认的项目应符合财务报表某个要素的定义。</w:t>
      </w:r>
    </w:p>
    <w:p>
      <w:pPr>
        <w:pStyle w:val="ListParagraph"/>
        <w:numPr>
          <w:ilvl w:val="0"/>
          <w:numId w:val="21"/>
        </w:numPr>
        <w:tabs>
          <w:tab w:val="left" w:pos="1161"/>
        </w:tabs>
        <w:spacing w:before="143" w:after="0" w:line="326" w:lineRule="auto"/>
        <w:ind w:left="790" w:right="4256" w:firstLine="0"/>
        <w:jc w:val="left"/>
        <w:rPr>
          <w:sz w:val="31"/>
        </w:rPr>
      </w:pPr>
      <w:r>
        <w:rPr>
          <w:spacing w:val="-1"/>
          <w:sz w:val="31"/>
        </w:rPr>
        <w:t>可计量性。即应予确认的项目是能够以货币为计量单位进行计量的。</w:t>
      </w:r>
      <w:r>
        <w:rPr>
          <w:rFonts w:ascii="Arial" w:eastAsia="Arial"/>
          <w:sz w:val="31"/>
        </w:rPr>
        <w:t>(3)</w:t>
      </w:r>
      <w:r>
        <w:rPr>
          <w:sz w:val="31"/>
        </w:rPr>
        <w:t>相关性。即被确认的项目必须与财务报表使用者的决策有关。</w:t>
      </w:r>
    </w:p>
    <w:p>
      <w:pPr>
        <w:spacing w:before="18" w:line="326" w:lineRule="auto"/>
        <w:ind w:left="793" w:right="4256" w:hanging="4"/>
        <w:jc w:val="left"/>
        <w:rPr>
          <w:b/>
          <w:sz w:val="31"/>
        </w:rPr>
      </w:pPr>
      <w:r>
        <w:rPr>
          <w:rFonts w:ascii="Arial" w:eastAsia="Arial"/>
          <w:sz w:val="31"/>
        </w:rPr>
        <w:t>(4)</w:t>
      </w:r>
      <w:r>
        <w:rPr>
          <w:sz w:val="31"/>
        </w:rPr>
        <w:t>可靠性。即通过确认纳入会计系统的信息是真实可靠的、可核实的。</w:t>
      </w:r>
      <w:r>
        <w:rPr>
          <w:b/>
          <w:sz w:val="31"/>
        </w:rPr>
        <w:t>3．什么是坏账？如何确认坏账？</w:t>
      </w:r>
    </w:p>
    <w:p>
      <w:pPr>
        <w:pStyle w:val="BodyText"/>
        <w:spacing w:line="326" w:lineRule="auto"/>
        <w:ind w:right="3991"/>
      </w:pPr>
      <w:r>
        <w:rPr>
          <w:b/>
        </w:rPr>
        <w:t>答：</w:t>
      </w:r>
      <w:r>
        <w:t>企业无法收回或者收回的可能性极小的应收账款在会计上成为坏账。其确认坏账的标准有两个，即：</w:t>
      </w:r>
    </w:p>
    <w:p>
      <w:pPr>
        <w:pStyle w:val="ListParagraph"/>
        <w:numPr>
          <w:ilvl w:val="0"/>
          <w:numId w:val="20"/>
        </w:numPr>
        <w:tabs>
          <w:tab w:val="left" w:pos="1161"/>
        </w:tabs>
        <w:spacing w:before="0" w:after="0" w:line="240" w:lineRule="auto"/>
        <w:ind w:left="1160" w:right="0" w:hanging="371"/>
        <w:jc w:val="left"/>
        <w:rPr>
          <w:sz w:val="31"/>
        </w:rPr>
      </w:pPr>
      <w:r>
        <w:rPr>
          <w:sz w:val="31"/>
        </w:rPr>
        <w:t>因债务人破产或死亡，以其破产财产或者遗产清偿后，仍然不能收回的应收账款；</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https://d.book118.com/765001202040011123</w:t>
        </w:r>
      </w:hyperlink>
    </w:p>
    <w:p>
      <w:pPr>
        <w:spacing w:after="0" w:line="240" w:lineRule="auto"/>
        <w:jc w:val="left"/>
        <w:rPr>
          <w:sz w:val="31"/>
        </w:rPr>
      </w:pPr>
    </w:p>
    <w:sectPr>
      <w:headerReference w:type="default" r:id="rId25"/>
      <w:footerReference w:type="default" r:id="rId26"/>
      <w:pgSz w:w="17860" w:h="25270"/>
      <w:pgMar w:top="1400" w:right="1400" w:bottom="2000" w:left="1540" w:header="1088" w:footer="1816"/>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5.4pt;height:16.35pt;margin-top:1161.28pt;margin-left:83.96pt;mso-position-horizontal-relative:page;mso-position-vertical-relative:page;position:absolute;z-index:-25165824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5.4pt;height:16.35pt;margin-top:1161.28pt;margin-left:83.96pt;mso-position-horizontal-relative:page;mso-position-vertical-relative:page;position:absolute;z-index:-25165721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5.4pt;height:16.35pt;margin-top:1161.28pt;margin-left:83.96pt;mso-position-horizontal-relative:page;mso-position-vertical-relative:page;position:absolute;z-index:-25165619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4pt;height:16.35pt;margin-top:1161.28pt;margin-left:83.96pt;mso-position-horizontal-relative:page;mso-position-vertical-relative:page;position:absolute;z-index:-25165516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5.4pt;height:16.35pt;margin-top:1161.28pt;margin-left:83.96pt;mso-position-horizontal-relative:page;mso-position-vertical-relative:page;position:absolute;z-index:-25165414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5.4pt;height:16.35pt;margin-top:1161.28pt;margin-left:83.96pt;mso-position-horizontal-relative:page;mso-position-vertical-relative:page;position:absolute;z-index:-25165312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5.4pt;height:16.35pt;margin-top:1161.28pt;margin-left:83.96pt;mso-position-horizontal-relative:page;mso-position-vertical-relative:page;position:absolute;z-index:-25165209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5.4pt;height:16.35pt;margin-top:1161.28pt;margin-left:83.96pt;mso-position-horizontal-relative:page;mso-position-vertical-relative:page;position:absolute;z-index:-25165107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5.4pt;height:16.35pt;margin-top:1161.28pt;margin-left:83.96pt;mso-position-horizontal-relative:page;mso-position-vertical-relative:page;position:absolute;z-index:-25165004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5.4pt;height:16.35pt;margin-top:1161.28pt;margin-left:83.96pt;mso-position-horizontal-relative:page;mso-position-vertical-relative:page;position:absolute;z-index:-25164902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5.4pt;height:16.35pt;margin-top:1161.28pt;margin-left:83.96pt;mso-position-horizontal-relative:page;mso-position-vertical-relative:page;position:absolute;z-index:-25164800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752.99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311936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3661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752.99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245714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7147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752.99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4766964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69644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752.99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2681799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17995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752.99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037161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161200"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752.99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6135974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59748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752.99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0087358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73581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752.99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265151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1517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752.99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3905130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51308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752.99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8633058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30584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752.99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28880"/>
    <w:multiLevelType w:val="hybridMultilevel"/>
    <w:tmpl w:val="00000000"/>
    <w:lvl w:ilvl="0">
      <w:start w:val="1"/>
      <w:numFmt w:val="decimal"/>
      <w:lvlText w:val="%1."/>
      <w:lvlJc w:val="left"/>
      <w:pPr>
        <w:ind w:left="159" w:hanging="477"/>
        <w:jc w:val="left"/>
      </w:pPr>
      <w:rPr>
        <w:rFonts w:ascii="宋体" w:eastAsia="宋体" w:hAnsi="宋体" w:cs="宋体" w:hint="default"/>
        <w:w w:val="102"/>
        <w:sz w:val="29"/>
        <w:szCs w:val="29"/>
      </w:rPr>
    </w:lvl>
    <w:lvl w:ilvl="1">
      <w:start w:val="0"/>
      <w:numFmt w:val="bullet"/>
      <w:lvlText w:val="•"/>
      <w:lvlJc w:val="left"/>
      <w:pPr>
        <w:ind w:left="163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587" w:hanging="477"/>
      </w:pPr>
      <w:rPr>
        <w:rFonts w:hint="default"/>
      </w:rPr>
    </w:lvl>
    <w:lvl w:ilvl="4">
      <w:start w:val="0"/>
      <w:numFmt w:val="bullet"/>
      <w:lvlText w:val="•"/>
      <w:lvlJc w:val="left"/>
      <w:pPr>
        <w:ind w:left="6063" w:hanging="477"/>
      </w:pPr>
      <w:rPr>
        <w:rFonts w:hint="default"/>
      </w:rPr>
    </w:lvl>
    <w:lvl w:ilvl="5">
      <w:start w:val="0"/>
      <w:numFmt w:val="bullet"/>
      <w:lvlText w:val="•"/>
      <w:lvlJc w:val="left"/>
      <w:pPr>
        <w:ind w:left="7539" w:hanging="477"/>
      </w:pPr>
      <w:rPr>
        <w:rFonts w:hint="default"/>
      </w:rPr>
    </w:lvl>
    <w:lvl w:ilvl="6">
      <w:start w:val="0"/>
      <w:numFmt w:val="bullet"/>
      <w:lvlText w:val="•"/>
      <w:lvlJc w:val="left"/>
      <w:pPr>
        <w:ind w:left="9015" w:hanging="477"/>
      </w:pPr>
      <w:rPr>
        <w:rFonts w:hint="default"/>
      </w:rPr>
    </w:lvl>
    <w:lvl w:ilvl="7">
      <w:start w:val="0"/>
      <w:numFmt w:val="bullet"/>
      <w:lvlText w:val="•"/>
      <w:lvlJc w:val="left"/>
      <w:pPr>
        <w:ind w:left="10491" w:hanging="477"/>
      </w:pPr>
      <w:rPr>
        <w:rFonts w:hint="default"/>
      </w:rPr>
    </w:lvl>
    <w:lvl w:ilvl="8">
      <w:start w:val="0"/>
      <w:numFmt w:val="bullet"/>
      <w:lvlText w:val="•"/>
      <w:lvlJc w:val="left"/>
      <w:pPr>
        <w:ind w:left="11967" w:hanging="477"/>
      </w:pPr>
      <w:rPr>
        <w:rFonts w:hint="default"/>
      </w:rPr>
    </w:lvl>
  </w:abstractNum>
  <w:abstractNum w:abstractNumId="1">
    <w:nsid w:val="096CDCB9"/>
    <w:multiLevelType w:val="hybridMultilevel"/>
    <w:tmpl w:val="00000000"/>
    <w:lvl w:ilvl="0">
      <w:start w:val="1"/>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535" w:hanging="371"/>
      </w:pPr>
      <w:rPr>
        <w:rFonts w:hint="default"/>
      </w:rPr>
    </w:lvl>
    <w:lvl w:ilvl="2">
      <w:start w:val="0"/>
      <w:numFmt w:val="bullet"/>
      <w:lvlText w:val="•"/>
      <w:lvlJc w:val="left"/>
      <w:pPr>
        <w:ind w:left="3911" w:hanging="371"/>
      </w:pPr>
      <w:rPr>
        <w:rFonts w:hint="default"/>
      </w:rPr>
    </w:lvl>
    <w:lvl w:ilvl="3">
      <w:start w:val="0"/>
      <w:numFmt w:val="bullet"/>
      <w:lvlText w:val="•"/>
      <w:lvlJc w:val="left"/>
      <w:pPr>
        <w:ind w:left="5287" w:hanging="371"/>
      </w:pPr>
      <w:rPr>
        <w:rFonts w:hint="default"/>
      </w:rPr>
    </w:lvl>
    <w:lvl w:ilvl="4">
      <w:start w:val="0"/>
      <w:numFmt w:val="bullet"/>
      <w:lvlText w:val="•"/>
      <w:lvlJc w:val="left"/>
      <w:pPr>
        <w:ind w:left="6663" w:hanging="371"/>
      </w:pPr>
      <w:rPr>
        <w:rFonts w:hint="default"/>
      </w:rPr>
    </w:lvl>
    <w:lvl w:ilvl="5">
      <w:start w:val="0"/>
      <w:numFmt w:val="bullet"/>
      <w:lvlText w:val="•"/>
      <w:lvlJc w:val="left"/>
      <w:pPr>
        <w:ind w:left="8039" w:hanging="371"/>
      </w:pPr>
      <w:rPr>
        <w:rFonts w:hint="default"/>
      </w:rPr>
    </w:lvl>
    <w:lvl w:ilvl="6">
      <w:start w:val="0"/>
      <w:numFmt w:val="bullet"/>
      <w:lvlText w:val="•"/>
      <w:lvlJc w:val="left"/>
      <w:pPr>
        <w:ind w:left="9415" w:hanging="371"/>
      </w:pPr>
      <w:rPr>
        <w:rFonts w:hint="default"/>
      </w:rPr>
    </w:lvl>
    <w:lvl w:ilvl="7">
      <w:start w:val="0"/>
      <w:numFmt w:val="bullet"/>
      <w:lvlText w:val="•"/>
      <w:lvlJc w:val="left"/>
      <w:pPr>
        <w:ind w:left="10791" w:hanging="371"/>
      </w:pPr>
      <w:rPr>
        <w:rFonts w:hint="default"/>
      </w:rPr>
    </w:lvl>
    <w:lvl w:ilvl="8">
      <w:start w:val="0"/>
      <w:numFmt w:val="bullet"/>
      <w:lvlText w:val="•"/>
      <w:lvlJc w:val="left"/>
      <w:pPr>
        <w:ind w:left="12167" w:hanging="371"/>
      </w:pPr>
      <w:rPr>
        <w:rFonts w:hint="default"/>
      </w:rPr>
    </w:lvl>
  </w:abstractNum>
  <w:abstractNum w:abstractNumId="2">
    <w:nsid w:val="0C5F2612"/>
    <w:multiLevelType w:val="hybridMultilevel"/>
    <w:tmpl w:val="00000000"/>
    <w:lvl w:ilvl="0">
      <w:start w:val="18"/>
      <w:numFmt w:val="decimal"/>
      <w:lvlText w:val="%1."/>
      <w:lvlJc w:val="left"/>
      <w:pPr>
        <w:ind w:left="159" w:hanging="634"/>
        <w:jc w:val="left"/>
      </w:pPr>
      <w:rPr>
        <w:rFonts w:ascii="宋体" w:eastAsia="宋体" w:hAnsi="宋体" w:cs="宋体" w:hint="default"/>
        <w:w w:val="102"/>
        <w:sz w:val="31"/>
        <w:szCs w:val="31"/>
      </w:rPr>
    </w:lvl>
    <w:lvl w:ilvl="1">
      <w:start w:val="0"/>
      <w:numFmt w:val="bullet"/>
      <w:lvlText w:val="•"/>
      <w:lvlJc w:val="left"/>
      <w:pPr>
        <w:ind w:left="1420" w:hanging="634"/>
      </w:pPr>
      <w:rPr>
        <w:rFonts w:hint="default"/>
      </w:rPr>
    </w:lvl>
    <w:lvl w:ilvl="2">
      <w:start w:val="0"/>
      <w:numFmt w:val="bullet"/>
      <w:lvlText w:val="•"/>
      <w:lvlJc w:val="left"/>
      <w:pPr>
        <w:ind w:left="2919" w:hanging="634"/>
      </w:pPr>
      <w:rPr>
        <w:rFonts w:hint="default"/>
      </w:rPr>
    </w:lvl>
    <w:lvl w:ilvl="3">
      <w:start w:val="0"/>
      <w:numFmt w:val="bullet"/>
      <w:lvlText w:val="•"/>
      <w:lvlJc w:val="left"/>
      <w:pPr>
        <w:ind w:left="4419" w:hanging="634"/>
      </w:pPr>
      <w:rPr>
        <w:rFonts w:hint="default"/>
      </w:rPr>
    </w:lvl>
    <w:lvl w:ilvl="4">
      <w:start w:val="0"/>
      <w:numFmt w:val="bullet"/>
      <w:lvlText w:val="•"/>
      <w:lvlJc w:val="left"/>
      <w:pPr>
        <w:ind w:left="5919" w:hanging="634"/>
      </w:pPr>
      <w:rPr>
        <w:rFonts w:hint="default"/>
      </w:rPr>
    </w:lvl>
    <w:lvl w:ilvl="5">
      <w:start w:val="0"/>
      <w:numFmt w:val="bullet"/>
      <w:lvlText w:val="•"/>
      <w:lvlJc w:val="left"/>
      <w:pPr>
        <w:ind w:left="7419" w:hanging="634"/>
      </w:pPr>
      <w:rPr>
        <w:rFonts w:hint="default"/>
      </w:rPr>
    </w:lvl>
    <w:lvl w:ilvl="6">
      <w:start w:val="0"/>
      <w:numFmt w:val="bullet"/>
      <w:lvlText w:val="•"/>
      <w:lvlJc w:val="left"/>
      <w:pPr>
        <w:ind w:left="8919" w:hanging="634"/>
      </w:pPr>
      <w:rPr>
        <w:rFonts w:hint="default"/>
      </w:rPr>
    </w:lvl>
    <w:lvl w:ilvl="7">
      <w:start w:val="0"/>
      <w:numFmt w:val="bullet"/>
      <w:lvlText w:val="•"/>
      <w:lvlJc w:val="left"/>
      <w:pPr>
        <w:ind w:left="10419" w:hanging="634"/>
      </w:pPr>
      <w:rPr>
        <w:rFonts w:hint="default"/>
      </w:rPr>
    </w:lvl>
    <w:lvl w:ilvl="8">
      <w:start w:val="0"/>
      <w:numFmt w:val="bullet"/>
      <w:lvlText w:val="•"/>
      <w:lvlJc w:val="left"/>
      <w:pPr>
        <w:ind w:left="11919" w:hanging="634"/>
      </w:pPr>
      <w:rPr>
        <w:rFonts w:hint="default"/>
      </w:rPr>
    </w:lvl>
  </w:abstractNum>
  <w:abstractNum w:abstractNumId="3">
    <w:nsid w:val="0D838391"/>
    <w:multiLevelType w:val="hybridMultilevel"/>
    <w:tmpl w:val="00000000"/>
    <w:lvl w:ilvl="0">
      <w:start w:val="31"/>
      <w:numFmt w:val="decimal"/>
      <w:lvlText w:val="%1."/>
      <w:lvlJc w:val="left"/>
      <w:pPr>
        <w:ind w:left="1424" w:hanging="635"/>
        <w:jc w:val="left"/>
      </w:pPr>
      <w:rPr>
        <w:rFonts w:ascii="宋体" w:eastAsia="宋体" w:hAnsi="宋体" w:cs="宋体" w:hint="default"/>
        <w:w w:val="102"/>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4">
    <w:nsid w:val="1108FC17"/>
    <w:multiLevelType w:val="hybridMultilevel"/>
    <w:tmpl w:val="00000000"/>
    <w:lvl w:ilvl="0">
      <w:start w:val="2"/>
      <w:numFmt w:val="decimal"/>
      <w:lvlText w:val="(%1)"/>
      <w:lvlJc w:val="left"/>
      <w:pPr>
        <w:ind w:left="792" w:hanging="477"/>
        <w:jc w:val="right"/>
      </w:pPr>
      <w:rPr>
        <w:rFonts w:ascii="宋体" w:eastAsia="宋体" w:hAnsi="宋体" w:cs="宋体" w:hint="default"/>
        <w:spacing w:val="-3"/>
        <w:w w:val="102"/>
        <w:sz w:val="29"/>
        <w:szCs w:val="29"/>
      </w:rPr>
    </w:lvl>
    <w:lvl w:ilvl="1">
      <w:start w:val="0"/>
      <w:numFmt w:val="bullet"/>
      <w:lvlText w:val="•"/>
      <w:lvlJc w:val="left"/>
      <w:pPr>
        <w:ind w:left="2211" w:hanging="477"/>
      </w:pPr>
      <w:rPr>
        <w:rFonts w:hint="default"/>
      </w:rPr>
    </w:lvl>
    <w:lvl w:ilvl="2">
      <w:start w:val="0"/>
      <w:numFmt w:val="bullet"/>
      <w:lvlText w:val="•"/>
      <w:lvlJc w:val="left"/>
      <w:pPr>
        <w:ind w:left="3623" w:hanging="477"/>
      </w:pPr>
      <w:rPr>
        <w:rFonts w:hint="default"/>
      </w:rPr>
    </w:lvl>
    <w:lvl w:ilvl="3">
      <w:start w:val="0"/>
      <w:numFmt w:val="bullet"/>
      <w:lvlText w:val="•"/>
      <w:lvlJc w:val="left"/>
      <w:pPr>
        <w:ind w:left="5035" w:hanging="477"/>
      </w:pPr>
      <w:rPr>
        <w:rFonts w:hint="default"/>
      </w:rPr>
    </w:lvl>
    <w:lvl w:ilvl="4">
      <w:start w:val="0"/>
      <w:numFmt w:val="bullet"/>
      <w:lvlText w:val="•"/>
      <w:lvlJc w:val="left"/>
      <w:pPr>
        <w:ind w:left="6447" w:hanging="477"/>
      </w:pPr>
      <w:rPr>
        <w:rFonts w:hint="default"/>
      </w:rPr>
    </w:lvl>
    <w:lvl w:ilvl="5">
      <w:start w:val="0"/>
      <w:numFmt w:val="bullet"/>
      <w:lvlText w:val="•"/>
      <w:lvlJc w:val="left"/>
      <w:pPr>
        <w:ind w:left="7859" w:hanging="477"/>
      </w:pPr>
      <w:rPr>
        <w:rFonts w:hint="default"/>
      </w:rPr>
    </w:lvl>
    <w:lvl w:ilvl="6">
      <w:start w:val="0"/>
      <w:numFmt w:val="bullet"/>
      <w:lvlText w:val="•"/>
      <w:lvlJc w:val="left"/>
      <w:pPr>
        <w:ind w:left="9271" w:hanging="477"/>
      </w:pPr>
      <w:rPr>
        <w:rFonts w:hint="default"/>
      </w:rPr>
    </w:lvl>
    <w:lvl w:ilvl="7">
      <w:start w:val="0"/>
      <w:numFmt w:val="bullet"/>
      <w:lvlText w:val="•"/>
      <w:lvlJc w:val="left"/>
      <w:pPr>
        <w:ind w:left="10683" w:hanging="477"/>
      </w:pPr>
      <w:rPr>
        <w:rFonts w:hint="default"/>
      </w:rPr>
    </w:lvl>
    <w:lvl w:ilvl="8">
      <w:start w:val="0"/>
      <w:numFmt w:val="bullet"/>
      <w:lvlText w:val="•"/>
      <w:lvlJc w:val="left"/>
      <w:pPr>
        <w:ind w:left="12095" w:hanging="477"/>
      </w:pPr>
      <w:rPr>
        <w:rFonts w:hint="default"/>
      </w:rPr>
    </w:lvl>
  </w:abstractNum>
  <w:abstractNum w:abstractNumId="5">
    <w:nsid w:val="14DF0EE2"/>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1420" w:hanging="477"/>
      </w:pPr>
      <w:rPr>
        <w:rFonts w:hint="default"/>
      </w:rPr>
    </w:lvl>
    <w:lvl w:ilvl="2">
      <w:start w:val="0"/>
      <w:numFmt w:val="bullet"/>
      <w:lvlText w:val="•"/>
      <w:lvlJc w:val="left"/>
      <w:pPr>
        <w:ind w:left="2919" w:hanging="477"/>
      </w:pPr>
      <w:rPr>
        <w:rFonts w:hint="default"/>
      </w:rPr>
    </w:lvl>
    <w:lvl w:ilvl="3">
      <w:start w:val="0"/>
      <w:numFmt w:val="bullet"/>
      <w:lvlText w:val="•"/>
      <w:lvlJc w:val="left"/>
      <w:pPr>
        <w:ind w:left="4419" w:hanging="477"/>
      </w:pPr>
      <w:rPr>
        <w:rFonts w:hint="default"/>
      </w:rPr>
    </w:lvl>
    <w:lvl w:ilvl="4">
      <w:start w:val="0"/>
      <w:numFmt w:val="bullet"/>
      <w:lvlText w:val="•"/>
      <w:lvlJc w:val="left"/>
      <w:pPr>
        <w:ind w:left="5919" w:hanging="477"/>
      </w:pPr>
      <w:rPr>
        <w:rFonts w:hint="default"/>
      </w:rPr>
    </w:lvl>
    <w:lvl w:ilvl="5">
      <w:start w:val="0"/>
      <w:numFmt w:val="bullet"/>
      <w:lvlText w:val="•"/>
      <w:lvlJc w:val="left"/>
      <w:pPr>
        <w:ind w:left="7419" w:hanging="477"/>
      </w:pPr>
      <w:rPr>
        <w:rFonts w:hint="default"/>
      </w:rPr>
    </w:lvl>
    <w:lvl w:ilvl="6">
      <w:start w:val="0"/>
      <w:numFmt w:val="bullet"/>
      <w:lvlText w:val="•"/>
      <w:lvlJc w:val="left"/>
      <w:pPr>
        <w:ind w:left="8919" w:hanging="477"/>
      </w:pPr>
      <w:rPr>
        <w:rFonts w:hint="default"/>
      </w:rPr>
    </w:lvl>
    <w:lvl w:ilvl="7">
      <w:start w:val="0"/>
      <w:numFmt w:val="bullet"/>
      <w:lvlText w:val="•"/>
      <w:lvlJc w:val="left"/>
      <w:pPr>
        <w:ind w:left="10419" w:hanging="477"/>
      </w:pPr>
      <w:rPr>
        <w:rFonts w:hint="default"/>
      </w:rPr>
    </w:lvl>
    <w:lvl w:ilvl="8">
      <w:start w:val="0"/>
      <w:numFmt w:val="bullet"/>
      <w:lvlText w:val="•"/>
      <w:lvlJc w:val="left"/>
      <w:pPr>
        <w:ind w:left="11919" w:hanging="477"/>
      </w:pPr>
      <w:rPr>
        <w:rFonts w:hint="default"/>
      </w:rPr>
    </w:lvl>
  </w:abstractNum>
  <w:abstractNum w:abstractNumId="6">
    <w:nsid w:val="14ECBACA"/>
    <w:multiLevelType w:val="hybridMultilevel"/>
    <w:tmpl w:val="00000000"/>
    <w:lvl w:ilvl="0">
      <w:start w:val="25"/>
      <w:numFmt w:val="decimal"/>
      <w:lvlText w:val="%1."/>
      <w:lvlJc w:val="left"/>
      <w:pPr>
        <w:ind w:left="159" w:hanging="635"/>
        <w:jc w:val="left"/>
      </w:pPr>
      <w:rPr>
        <w:rFonts w:ascii="宋体" w:eastAsia="宋体" w:hAnsi="宋体" w:cs="宋体" w:hint="default"/>
        <w:w w:val="102"/>
        <w:sz w:val="29"/>
        <w:szCs w:val="29"/>
      </w:rPr>
    </w:lvl>
    <w:lvl w:ilvl="1">
      <w:start w:val="1"/>
      <w:numFmt w:val="upperLetter"/>
      <w:lvlText w:val="%2."/>
      <w:lvlJc w:val="left"/>
      <w:pPr>
        <w:ind w:left="1423" w:hanging="473"/>
        <w:jc w:val="left"/>
      </w:pPr>
      <w:rPr>
        <w:rFonts w:ascii="宋体" w:eastAsia="宋体" w:hAnsi="宋体" w:cs="宋体" w:hint="default"/>
        <w:spacing w:val="-4"/>
        <w:w w:val="102"/>
        <w:sz w:val="29"/>
        <w:szCs w:val="29"/>
      </w:rPr>
    </w:lvl>
    <w:lvl w:ilvl="2">
      <w:start w:val="0"/>
      <w:numFmt w:val="bullet"/>
      <w:lvlText w:val="•"/>
      <w:lvlJc w:val="left"/>
      <w:pPr>
        <w:ind w:left="1420" w:hanging="473"/>
      </w:pPr>
      <w:rPr>
        <w:rFonts w:hint="default"/>
      </w:rPr>
    </w:lvl>
    <w:lvl w:ilvl="3">
      <w:start w:val="0"/>
      <w:numFmt w:val="bullet"/>
      <w:lvlText w:val="•"/>
      <w:lvlJc w:val="left"/>
      <w:pPr>
        <w:ind w:left="3107" w:hanging="473"/>
      </w:pPr>
      <w:rPr>
        <w:rFonts w:hint="default"/>
      </w:rPr>
    </w:lvl>
    <w:lvl w:ilvl="4">
      <w:start w:val="0"/>
      <w:numFmt w:val="bullet"/>
      <w:lvlText w:val="•"/>
      <w:lvlJc w:val="left"/>
      <w:pPr>
        <w:ind w:left="4794" w:hanging="473"/>
      </w:pPr>
      <w:rPr>
        <w:rFonts w:hint="default"/>
      </w:rPr>
    </w:lvl>
    <w:lvl w:ilvl="5">
      <w:start w:val="0"/>
      <w:numFmt w:val="bullet"/>
      <w:lvlText w:val="•"/>
      <w:lvlJc w:val="left"/>
      <w:pPr>
        <w:ind w:left="6482" w:hanging="473"/>
      </w:pPr>
      <w:rPr>
        <w:rFonts w:hint="default"/>
      </w:rPr>
    </w:lvl>
    <w:lvl w:ilvl="6">
      <w:start w:val="0"/>
      <w:numFmt w:val="bullet"/>
      <w:lvlText w:val="•"/>
      <w:lvlJc w:val="left"/>
      <w:pPr>
        <w:ind w:left="8169" w:hanging="473"/>
      </w:pPr>
      <w:rPr>
        <w:rFonts w:hint="default"/>
      </w:rPr>
    </w:lvl>
    <w:lvl w:ilvl="7">
      <w:start w:val="0"/>
      <w:numFmt w:val="bullet"/>
      <w:lvlText w:val="•"/>
      <w:lvlJc w:val="left"/>
      <w:pPr>
        <w:ind w:left="9857" w:hanging="473"/>
      </w:pPr>
      <w:rPr>
        <w:rFonts w:hint="default"/>
      </w:rPr>
    </w:lvl>
    <w:lvl w:ilvl="8">
      <w:start w:val="0"/>
      <w:numFmt w:val="bullet"/>
      <w:lvlText w:val="•"/>
      <w:lvlJc w:val="left"/>
      <w:pPr>
        <w:ind w:left="11544" w:hanging="473"/>
      </w:pPr>
      <w:rPr>
        <w:rFonts w:hint="default"/>
      </w:rPr>
    </w:lvl>
  </w:abstractNum>
  <w:abstractNum w:abstractNumId="7">
    <w:nsid w:val="1637282E"/>
    <w:multiLevelType w:val="hybridMultilevel"/>
    <w:tmpl w:val="00000000"/>
    <w:lvl w:ilvl="0">
      <w:start w:val="5"/>
      <w:numFmt w:val="decimal"/>
      <w:lvlText w:val="%1."/>
      <w:lvlJc w:val="left"/>
      <w:pPr>
        <w:ind w:left="1266" w:hanging="477"/>
        <w:jc w:val="left"/>
      </w:pPr>
      <w:rPr>
        <w:rFonts w:ascii="宋体" w:eastAsia="宋体" w:hAnsi="宋体" w:cs="宋体" w:hint="default"/>
        <w:w w:val="102"/>
        <w:sz w:val="29"/>
        <w:szCs w:val="29"/>
      </w:rPr>
    </w:lvl>
    <w:lvl w:ilvl="1">
      <w:start w:val="1"/>
      <w:numFmt w:val="upperLetter"/>
      <w:lvlText w:val="%2."/>
      <w:lvlJc w:val="left"/>
      <w:pPr>
        <w:ind w:left="1423" w:hanging="473"/>
        <w:jc w:val="left"/>
      </w:pPr>
      <w:rPr>
        <w:rFonts w:ascii="宋体" w:eastAsia="宋体" w:hAnsi="宋体" w:cs="宋体" w:hint="default"/>
        <w:spacing w:val="-4"/>
        <w:w w:val="102"/>
        <w:sz w:val="29"/>
        <w:szCs w:val="29"/>
      </w:rPr>
    </w:lvl>
    <w:lvl w:ilvl="2">
      <w:start w:val="0"/>
      <w:numFmt w:val="bullet"/>
      <w:lvlText w:val="•"/>
      <w:lvlJc w:val="left"/>
      <w:pPr>
        <w:ind w:left="1900" w:hanging="473"/>
      </w:pPr>
      <w:rPr>
        <w:rFonts w:hint="default"/>
      </w:rPr>
    </w:lvl>
    <w:lvl w:ilvl="3">
      <w:start w:val="0"/>
      <w:numFmt w:val="bullet"/>
      <w:lvlText w:val="•"/>
      <w:lvlJc w:val="left"/>
      <w:pPr>
        <w:ind w:left="3527" w:hanging="473"/>
      </w:pPr>
      <w:rPr>
        <w:rFonts w:hint="default"/>
      </w:rPr>
    </w:lvl>
    <w:lvl w:ilvl="4">
      <w:start w:val="0"/>
      <w:numFmt w:val="bullet"/>
      <w:lvlText w:val="•"/>
      <w:lvlJc w:val="left"/>
      <w:pPr>
        <w:ind w:left="5154" w:hanging="473"/>
      </w:pPr>
      <w:rPr>
        <w:rFonts w:hint="default"/>
      </w:rPr>
    </w:lvl>
    <w:lvl w:ilvl="5">
      <w:start w:val="0"/>
      <w:numFmt w:val="bullet"/>
      <w:lvlText w:val="•"/>
      <w:lvlJc w:val="left"/>
      <w:pPr>
        <w:ind w:left="6782" w:hanging="473"/>
      </w:pPr>
      <w:rPr>
        <w:rFonts w:hint="default"/>
      </w:rPr>
    </w:lvl>
    <w:lvl w:ilvl="6">
      <w:start w:val="0"/>
      <w:numFmt w:val="bullet"/>
      <w:lvlText w:val="•"/>
      <w:lvlJc w:val="left"/>
      <w:pPr>
        <w:ind w:left="8409" w:hanging="473"/>
      </w:pPr>
      <w:rPr>
        <w:rFonts w:hint="default"/>
      </w:rPr>
    </w:lvl>
    <w:lvl w:ilvl="7">
      <w:start w:val="0"/>
      <w:numFmt w:val="bullet"/>
      <w:lvlText w:val="•"/>
      <w:lvlJc w:val="left"/>
      <w:pPr>
        <w:ind w:left="10037" w:hanging="473"/>
      </w:pPr>
      <w:rPr>
        <w:rFonts w:hint="default"/>
      </w:rPr>
    </w:lvl>
    <w:lvl w:ilvl="8">
      <w:start w:val="0"/>
      <w:numFmt w:val="bullet"/>
      <w:lvlText w:val="•"/>
      <w:lvlJc w:val="left"/>
      <w:pPr>
        <w:ind w:left="11664" w:hanging="473"/>
      </w:pPr>
      <w:rPr>
        <w:rFonts w:hint="default"/>
      </w:rPr>
    </w:lvl>
  </w:abstractNum>
  <w:abstractNum w:abstractNumId="8">
    <w:nsid w:val="166F3A89"/>
    <w:multiLevelType w:val="hybridMultilevel"/>
    <w:tmpl w:val="00000000"/>
    <w:lvl w:ilvl="0">
      <w:start w:val="1"/>
      <w:numFmt w:val="decimal"/>
      <w:lvlText w:val="%1."/>
      <w:lvlJc w:val="left"/>
      <w:pPr>
        <w:ind w:left="159" w:hanging="477"/>
        <w:jc w:val="left"/>
      </w:pPr>
      <w:rPr>
        <w:rFonts w:ascii="宋体" w:eastAsia="宋体" w:hAnsi="宋体" w:cs="宋体" w:hint="default"/>
        <w:b/>
        <w:bCs/>
        <w:w w:val="101"/>
        <w:sz w:val="29"/>
        <w:szCs w:val="29"/>
      </w:rPr>
    </w:lvl>
    <w:lvl w:ilvl="1">
      <w:start w:val="0"/>
      <w:numFmt w:val="bullet"/>
      <w:lvlText w:val="•"/>
      <w:lvlJc w:val="left"/>
      <w:pPr>
        <w:ind w:left="163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587" w:hanging="477"/>
      </w:pPr>
      <w:rPr>
        <w:rFonts w:hint="default"/>
      </w:rPr>
    </w:lvl>
    <w:lvl w:ilvl="4">
      <w:start w:val="0"/>
      <w:numFmt w:val="bullet"/>
      <w:lvlText w:val="•"/>
      <w:lvlJc w:val="left"/>
      <w:pPr>
        <w:ind w:left="6063" w:hanging="477"/>
      </w:pPr>
      <w:rPr>
        <w:rFonts w:hint="default"/>
      </w:rPr>
    </w:lvl>
    <w:lvl w:ilvl="5">
      <w:start w:val="0"/>
      <w:numFmt w:val="bullet"/>
      <w:lvlText w:val="•"/>
      <w:lvlJc w:val="left"/>
      <w:pPr>
        <w:ind w:left="7539" w:hanging="477"/>
      </w:pPr>
      <w:rPr>
        <w:rFonts w:hint="default"/>
      </w:rPr>
    </w:lvl>
    <w:lvl w:ilvl="6">
      <w:start w:val="0"/>
      <w:numFmt w:val="bullet"/>
      <w:lvlText w:val="•"/>
      <w:lvlJc w:val="left"/>
      <w:pPr>
        <w:ind w:left="9015" w:hanging="477"/>
      </w:pPr>
      <w:rPr>
        <w:rFonts w:hint="default"/>
      </w:rPr>
    </w:lvl>
    <w:lvl w:ilvl="7">
      <w:start w:val="0"/>
      <w:numFmt w:val="bullet"/>
      <w:lvlText w:val="•"/>
      <w:lvlJc w:val="left"/>
      <w:pPr>
        <w:ind w:left="10491" w:hanging="477"/>
      </w:pPr>
      <w:rPr>
        <w:rFonts w:hint="default"/>
      </w:rPr>
    </w:lvl>
    <w:lvl w:ilvl="8">
      <w:start w:val="0"/>
      <w:numFmt w:val="bullet"/>
      <w:lvlText w:val="•"/>
      <w:lvlJc w:val="left"/>
      <w:pPr>
        <w:ind w:left="11967" w:hanging="477"/>
      </w:pPr>
      <w:rPr>
        <w:rFonts w:hint="default"/>
      </w:rPr>
    </w:lvl>
  </w:abstractNum>
  <w:abstractNum w:abstractNumId="9">
    <w:nsid w:val="16CAAC7C"/>
    <w:multiLevelType w:val="hybridMultilevel"/>
    <w:tmpl w:val="00000000"/>
    <w:lvl w:ilvl="0">
      <w:start w:val="15"/>
      <w:numFmt w:val="decimal"/>
      <w:lvlText w:val="%1."/>
      <w:lvlJc w:val="left"/>
      <w:pPr>
        <w:ind w:left="1366" w:hanging="635"/>
        <w:jc w:val="left"/>
      </w:pPr>
      <w:rPr>
        <w:rFonts w:ascii="宋体" w:eastAsia="宋体" w:hAnsi="宋体" w:cs="宋体" w:hint="default"/>
        <w:w w:val="102"/>
        <w:sz w:val="29"/>
        <w:szCs w:val="29"/>
      </w:rPr>
    </w:lvl>
    <w:lvl w:ilvl="1">
      <w:start w:val="0"/>
      <w:numFmt w:val="bullet"/>
      <w:lvlText w:val="•"/>
      <w:lvlJc w:val="left"/>
      <w:pPr>
        <w:ind w:left="1360" w:hanging="635"/>
      </w:pPr>
      <w:rPr>
        <w:rFonts w:hint="default"/>
      </w:rPr>
    </w:lvl>
    <w:lvl w:ilvl="2">
      <w:start w:val="0"/>
      <w:numFmt w:val="bullet"/>
      <w:lvlText w:val="•"/>
      <w:lvlJc w:val="left"/>
      <w:pPr>
        <w:ind w:left="2866" w:hanging="635"/>
      </w:pPr>
      <w:rPr>
        <w:rFonts w:hint="default"/>
      </w:rPr>
    </w:lvl>
    <w:lvl w:ilvl="3">
      <w:start w:val="0"/>
      <w:numFmt w:val="bullet"/>
      <w:lvlText w:val="•"/>
      <w:lvlJc w:val="left"/>
      <w:pPr>
        <w:ind w:left="4373" w:hanging="635"/>
      </w:pPr>
      <w:rPr>
        <w:rFonts w:hint="default"/>
      </w:rPr>
    </w:lvl>
    <w:lvl w:ilvl="4">
      <w:start w:val="0"/>
      <w:numFmt w:val="bullet"/>
      <w:lvlText w:val="•"/>
      <w:lvlJc w:val="left"/>
      <w:pPr>
        <w:ind w:left="5879" w:hanging="635"/>
      </w:pPr>
      <w:rPr>
        <w:rFonts w:hint="default"/>
      </w:rPr>
    </w:lvl>
    <w:lvl w:ilvl="5">
      <w:start w:val="0"/>
      <w:numFmt w:val="bullet"/>
      <w:lvlText w:val="•"/>
      <w:lvlJc w:val="left"/>
      <w:pPr>
        <w:ind w:left="7386" w:hanging="635"/>
      </w:pPr>
      <w:rPr>
        <w:rFonts w:hint="default"/>
      </w:rPr>
    </w:lvl>
    <w:lvl w:ilvl="6">
      <w:start w:val="0"/>
      <w:numFmt w:val="bullet"/>
      <w:lvlText w:val="•"/>
      <w:lvlJc w:val="left"/>
      <w:pPr>
        <w:ind w:left="8893" w:hanging="635"/>
      </w:pPr>
      <w:rPr>
        <w:rFonts w:hint="default"/>
      </w:rPr>
    </w:lvl>
    <w:lvl w:ilvl="7">
      <w:start w:val="0"/>
      <w:numFmt w:val="bullet"/>
      <w:lvlText w:val="•"/>
      <w:lvlJc w:val="left"/>
      <w:pPr>
        <w:ind w:left="10399" w:hanging="635"/>
      </w:pPr>
      <w:rPr>
        <w:rFonts w:hint="default"/>
      </w:rPr>
    </w:lvl>
    <w:lvl w:ilvl="8">
      <w:start w:val="0"/>
      <w:numFmt w:val="bullet"/>
      <w:lvlText w:val="•"/>
      <w:lvlJc w:val="left"/>
      <w:pPr>
        <w:ind w:left="11906" w:hanging="635"/>
      </w:pPr>
      <w:rPr>
        <w:rFonts w:hint="default"/>
      </w:rPr>
    </w:lvl>
  </w:abstractNum>
  <w:abstractNum w:abstractNumId="10">
    <w:nsid w:val="1AA4EBE8"/>
    <w:multiLevelType w:val="hybridMultilevel"/>
    <w:tmpl w:val="00000000"/>
    <w:lvl w:ilvl="0">
      <w:start w:val="36"/>
      <w:numFmt w:val="decimal"/>
      <w:lvlText w:val="%1."/>
      <w:lvlJc w:val="left"/>
      <w:pPr>
        <w:ind w:left="1423" w:hanging="635"/>
        <w:jc w:val="left"/>
      </w:pPr>
      <w:rPr>
        <w:rFonts w:ascii="宋体" w:eastAsia="宋体" w:hAnsi="宋体" w:cs="宋体" w:hint="default"/>
        <w:w w:val="102"/>
        <w:sz w:val="29"/>
        <w:szCs w:val="29"/>
      </w:rPr>
    </w:lvl>
    <w:lvl w:ilvl="1">
      <w:start w:val="1"/>
      <w:numFmt w:val="upperLetter"/>
      <w:lvlText w:val="%2."/>
      <w:lvlJc w:val="left"/>
      <w:pPr>
        <w:ind w:left="1423" w:hanging="473"/>
        <w:jc w:val="left"/>
      </w:pPr>
      <w:rPr>
        <w:rFonts w:ascii="宋体" w:eastAsia="宋体" w:hAnsi="宋体" w:cs="宋体" w:hint="default"/>
        <w:spacing w:val="-4"/>
        <w:w w:val="102"/>
        <w:sz w:val="29"/>
        <w:szCs w:val="29"/>
      </w:rPr>
    </w:lvl>
    <w:lvl w:ilvl="2">
      <w:start w:val="0"/>
      <w:numFmt w:val="bullet"/>
      <w:lvlText w:val="•"/>
      <w:lvlJc w:val="left"/>
      <w:pPr>
        <w:ind w:left="2919" w:hanging="473"/>
      </w:pPr>
      <w:rPr>
        <w:rFonts w:hint="default"/>
      </w:rPr>
    </w:lvl>
    <w:lvl w:ilvl="3">
      <w:start w:val="0"/>
      <w:numFmt w:val="bullet"/>
      <w:lvlText w:val="•"/>
      <w:lvlJc w:val="left"/>
      <w:pPr>
        <w:ind w:left="4419" w:hanging="473"/>
      </w:pPr>
      <w:rPr>
        <w:rFonts w:hint="default"/>
      </w:rPr>
    </w:lvl>
    <w:lvl w:ilvl="4">
      <w:start w:val="0"/>
      <w:numFmt w:val="bullet"/>
      <w:lvlText w:val="•"/>
      <w:lvlJc w:val="left"/>
      <w:pPr>
        <w:ind w:left="5919" w:hanging="473"/>
      </w:pPr>
      <w:rPr>
        <w:rFonts w:hint="default"/>
      </w:rPr>
    </w:lvl>
    <w:lvl w:ilvl="5">
      <w:start w:val="0"/>
      <w:numFmt w:val="bullet"/>
      <w:lvlText w:val="•"/>
      <w:lvlJc w:val="left"/>
      <w:pPr>
        <w:ind w:left="7419" w:hanging="473"/>
      </w:pPr>
      <w:rPr>
        <w:rFonts w:hint="default"/>
      </w:rPr>
    </w:lvl>
    <w:lvl w:ilvl="6">
      <w:start w:val="0"/>
      <w:numFmt w:val="bullet"/>
      <w:lvlText w:val="•"/>
      <w:lvlJc w:val="left"/>
      <w:pPr>
        <w:ind w:left="8919" w:hanging="473"/>
      </w:pPr>
      <w:rPr>
        <w:rFonts w:hint="default"/>
      </w:rPr>
    </w:lvl>
    <w:lvl w:ilvl="7">
      <w:start w:val="0"/>
      <w:numFmt w:val="bullet"/>
      <w:lvlText w:val="•"/>
      <w:lvlJc w:val="left"/>
      <w:pPr>
        <w:ind w:left="10419" w:hanging="473"/>
      </w:pPr>
      <w:rPr>
        <w:rFonts w:hint="default"/>
      </w:rPr>
    </w:lvl>
    <w:lvl w:ilvl="8">
      <w:start w:val="0"/>
      <w:numFmt w:val="bullet"/>
      <w:lvlText w:val="•"/>
      <w:lvlJc w:val="left"/>
      <w:pPr>
        <w:ind w:left="11919" w:hanging="473"/>
      </w:pPr>
      <w:rPr>
        <w:rFonts w:hint="default"/>
      </w:rPr>
    </w:lvl>
  </w:abstractNum>
  <w:abstractNum w:abstractNumId="11">
    <w:nsid w:val="1F828BA8"/>
    <w:multiLevelType w:val="hybridMultilevel"/>
    <w:tmpl w:val="00000000"/>
    <w:lvl w:ilvl="0">
      <w:start w:val="4"/>
      <w:numFmt w:val="decimal"/>
      <w:lvlText w:val="%1."/>
      <w:lvlJc w:val="left"/>
      <w:pPr>
        <w:ind w:left="1266" w:hanging="477"/>
        <w:jc w:val="left"/>
      </w:pPr>
      <w:rPr>
        <w:rFonts w:ascii="宋体" w:eastAsia="宋体" w:hAnsi="宋体" w:cs="宋体" w:hint="default"/>
        <w:b/>
        <w:bCs/>
        <w:w w:val="101"/>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12">
    <w:nsid w:val="29747DC3"/>
    <w:multiLevelType w:val="hybridMultilevel"/>
    <w:tmpl w:val="00000000"/>
    <w:lvl w:ilvl="0">
      <w:start w:val="1"/>
      <w:numFmt w:val="decimal"/>
      <w:lvlText w:val="(%1)"/>
      <w:lvlJc w:val="left"/>
      <w:pPr>
        <w:ind w:left="159" w:hanging="371"/>
        <w:jc w:val="left"/>
      </w:pPr>
      <w:rPr>
        <w:rFonts w:ascii="Arial" w:eastAsia="Arial" w:hAnsi="Arial" w:cs="Arial" w:hint="default"/>
        <w:spacing w:val="-3"/>
        <w:w w:val="97"/>
        <w:sz w:val="29"/>
        <w:szCs w:val="29"/>
      </w:rPr>
    </w:lvl>
    <w:lvl w:ilvl="1">
      <w:start w:val="0"/>
      <w:numFmt w:val="bullet"/>
      <w:lvlText w:val="•"/>
      <w:lvlJc w:val="left"/>
      <w:pPr>
        <w:ind w:left="1635" w:hanging="371"/>
      </w:pPr>
      <w:rPr>
        <w:rFonts w:hint="default"/>
      </w:rPr>
    </w:lvl>
    <w:lvl w:ilvl="2">
      <w:start w:val="0"/>
      <w:numFmt w:val="bullet"/>
      <w:lvlText w:val="•"/>
      <w:lvlJc w:val="left"/>
      <w:pPr>
        <w:ind w:left="3111" w:hanging="371"/>
      </w:pPr>
      <w:rPr>
        <w:rFonts w:hint="default"/>
      </w:rPr>
    </w:lvl>
    <w:lvl w:ilvl="3">
      <w:start w:val="0"/>
      <w:numFmt w:val="bullet"/>
      <w:lvlText w:val="•"/>
      <w:lvlJc w:val="left"/>
      <w:pPr>
        <w:ind w:left="4587" w:hanging="371"/>
      </w:pPr>
      <w:rPr>
        <w:rFonts w:hint="default"/>
      </w:rPr>
    </w:lvl>
    <w:lvl w:ilvl="4">
      <w:start w:val="0"/>
      <w:numFmt w:val="bullet"/>
      <w:lvlText w:val="•"/>
      <w:lvlJc w:val="left"/>
      <w:pPr>
        <w:ind w:left="6063" w:hanging="371"/>
      </w:pPr>
      <w:rPr>
        <w:rFonts w:hint="default"/>
      </w:rPr>
    </w:lvl>
    <w:lvl w:ilvl="5">
      <w:start w:val="0"/>
      <w:numFmt w:val="bullet"/>
      <w:lvlText w:val="•"/>
      <w:lvlJc w:val="left"/>
      <w:pPr>
        <w:ind w:left="7539" w:hanging="371"/>
      </w:pPr>
      <w:rPr>
        <w:rFonts w:hint="default"/>
      </w:rPr>
    </w:lvl>
    <w:lvl w:ilvl="6">
      <w:start w:val="0"/>
      <w:numFmt w:val="bullet"/>
      <w:lvlText w:val="•"/>
      <w:lvlJc w:val="left"/>
      <w:pPr>
        <w:ind w:left="9015" w:hanging="371"/>
      </w:pPr>
      <w:rPr>
        <w:rFonts w:hint="default"/>
      </w:rPr>
    </w:lvl>
    <w:lvl w:ilvl="7">
      <w:start w:val="0"/>
      <w:numFmt w:val="bullet"/>
      <w:lvlText w:val="•"/>
      <w:lvlJc w:val="left"/>
      <w:pPr>
        <w:ind w:left="10491" w:hanging="371"/>
      </w:pPr>
      <w:rPr>
        <w:rFonts w:hint="default"/>
      </w:rPr>
    </w:lvl>
    <w:lvl w:ilvl="8">
      <w:start w:val="0"/>
      <w:numFmt w:val="bullet"/>
      <w:lvlText w:val="•"/>
      <w:lvlJc w:val="left"/>
      <w:pPr>
        <w:ind w:left="11967" w:hanging="371"/>
      </w:pPr>
      <w:rPr>
        <w:rFonts w:hint="default"/>
      </w:rPr>
    </w:lvl>
  </w:abstractNum>
  <w:abstractNum w:abstractNumId="13">
    <w:nsid w:val="303CC566"/>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14">
    <w:nsid w:val="30B7626C"/>
    <w:multiLevelType w:val="hybridMultilevel"/>
    <w:tmpl w:val="00000000"/>
    <w:lvl w:ilvl="0">
      <w:start w:val="34"/>
      <w:numFmt w:val="decimal"/>
      <w:lvlText w:val="%1."/>
      <w:lvlJc w:val="left"/>
      <w:pPr>
        <w:ind w:left="1424" w:hanging="635"/>
        <w:jc w:val="left"/>
      </w:pPr>
      <w:rPr>
        <w:rFonts w:ascii="宋体" w:eastAsia="宋体" w:hAnsi="宋体" w:cs="宋体" w:hint="default"/>
        <w:w w:val="102"/>
        <w:sz w:val="29"/>
        <w:szCs w:val="29"/>
      </w:rPr>
    </w:lvl>
    <w:lvl w:ilvl="1">
      <w:start w:val="0"/>
      <w:numFmt w:val="bullet"/>
      <w:lvlText w:val="•"/>
      <w:lvlJc w:val="left"/>
      <w:pPr>
        <w:ind w:left="1420" w:hanging="635"/>
      </w:pPr>
      <w:rPr>
        <w:rFonts w:hint="default"/>
      </w:rPr>
    </w:lvl>
    <w:lvl w:ilvl="2">
      <w:start w:val="0"/>
      <w:numFmt w:val="bullet"/>
      <w:lvlText w:val="•"/>
      <w:lvlJc w:val="left"/>
      <w:pPr>
        <w:ind w:left="2919" w:hanging="635"/>
      </w:pPr>
      <w:rPr>
        <w:rFonts w:hint="default"/>
      </w:rPr>
    </w:lvl>
    <w:lvl w:ilvl="3">
      <w:start w:val="0"/>
      <w:numFmt w:val="bullet"/>
      <w:lvlText w:val="•"/>
      <w:lvlJc w:val="left"/>
      <w:pPr>
        <w:ind w:left="4419" w:hanging="635"/>
      </w:pPr>
      <w:rPr>
        <w:rFonts w:hint="default"/>
      </w:rPr>
    </w:lvl>
    <w:lvl w:ilvl="4">
      <w:start w:val="0"/>
      <w:numFmt w:val="bullet"/>
      <w:lvlText w:val="•"/>
      <w:lvlJc w:val="left"/>
      <w:pPr>
        <w:ind w:left="5919" w:hanging="635"/>
      </w:pPr>
      <w:rPr>
        <w:rFonts w:hint="default"/>
      </w:rPr>
    </w:lvl>
    <w:lvl w:ilvl="5">
      <w:start w:val="0"/>
      <w:numFmt w:val="bullet"/>
      <w:lvlText w:val="•"/>
      <w:lvlJc w:val="left"/>
      <w:pPr>
        <w:ind w:left="7419" w:hanging="635"/>
      </w:pPr>
      <w:rPr>
        <w:rFonts w:hint="default"/>
      </w:rPr>
    </w:lvl>
    <w:lvl w:ilvl="6">
      <w:start w:val="0"/>
      <w:numFmt w:val="bullet"/>
      <w:lvlText w:val="•"/>
      <w:lvlJc w:val="left"/>
      <w:pPr>
        <w:ind w:left="8919" w:hanging="635"/>
      </w:pPr>
      <w:rPr>
        <w:rFonts w:hint="default"/>
      </w:rPr>
    </w:lvl>
    <w:lvl w:ilvl="7">
      <w:start w:val="0"/>
      <w:numFmt w:val="bullet"/>
      <w:lvlText w:val="•"/>
      <w:lvlJc w:val="left"/>
      <w:pPr>
        <w:ind w:left="10419" w:hanging="635"/>
      </w:pPr>
      <w:rPr>
        <w:rFonts w:hint="default"/>
      </w:rPr>
    </w:lvl>
    <w:lvl w:ilvl="8">
      <w:start w:val="0"/>
      <w:numFmt w:val="bullet"/>
      <w:lvlText w:val="•"/>
      <w:lvlJc w:val="left"/>
      <w:pPr>
        <w:ind w:left="11919" w:hanging="635"/>
      </w:pPr>
      <w:rPr>
        <w:rFonts w:hint="default"/>
      </w:rPr>
    </w:lvl>
  </w:abstractNum>
  <w:abstractNum w:abstractNumId="15">
    <w:nsid w:val="345D3596"/>
    <w:multiLevelType w:val="hybridMultilevel"/>
    <w:tmpl w:val="00000000"/>
    <w:lvl w:ilvl="0">
      <w:start w:val="22"/>
      <w:numFmt w:val="decimal"/>
      <w:lvlText w:val="%1."/>
      <w:lvlJc w:val="left"/>
      <w:pPr>
        <w:ind w:left="1424" w:hanging="635"/>
        <w:jc w:val="left"/>
      </w:pPr>
      <w:rPr>
        <w:rFonts w:ascii="宋体" w:eastAsia="宋体" w:hAnsi="宋体" w:cs="宋体" w:hint="default"/>
        <w:w w:val="102"/>
        <w:sz w:val="29"/>
        <w:szCs w:val="29"/>
      </w:rPr>
    </w:lvl>
    <w:lvl w:ilvl="1">
      <w:start w:val="0"/>
      <w:numFmt w:val="bullet"/>
      <w:lvlText w:val="•"/>
      <w:lvlJc w:val="left"/>
      <w:pPr>
        <w:ind w:left="1900" w:hanging="635"/>
      </w:pPr>
      <w:rPr>
        <w:rFonts w:hint="default"/>
      </w:rPr>
    </w:lvl>
    <w:lvl w:ilvl="2">
      <w:start w:val="0"/>
      <w:numFmt w:val="bullet"/>
      <w:lvlText w:val="•"/>
      <w:lvlJc w:val="left"/>
      <w:pPr>
        <w:ind w:left="3346" w:hanging="635"/>
      </w:pPr>
      <w:rPr>
        <w:rFonts w:hint="default"/>
      </w:rPr>
    </w:lvl>
    <w:lvl w:ilvl="3">
      <w:start w:val="0"/>
      <w:numFmt w:val="bullet"/>
      <w:lvlText w:val="•"/>
      <w:lvlJc w:val="left"/>
      <w:pPr>
        <w:ind w:left="4793" w:hanging="635"/>
      </w:pPr>
      <w:rPr>
        <w:rFonts w:hint="default"/>
      </w:rPr>
    </w:lvl>
    <w:lvl w:ilvl="4">
      <w:start w:val="0"/>
      <w:numFmt w:val="bullet"/>
      <w:lvlText w:val="•"/>
      <w:lvlJc w:val="left"/>
      <w:pPr>
        <w:ind w:left="6239" w:hanging="635"/>
      </w:pPr>
      <w:rPr>
        <w:rFonts w:hint="default"/>
      </w:rPr>
    </w:lvl>
    <w:lvl w:ilvl="5">
      <w:start w:val="0"/>
      <w:numFmt w:val="bullet"/>
      <w:lvlText w:val="•"/>
      <w:lvlJc w:val="left"/>
      <w:pPr>
        <w:ind w:left="7686" w:hanging="635"/>
      </w:pPr>
      <w:rPr>
        <w:rFonts w:hint="default"/>
      </w:rPr>
    </w:lvl>
    <w:lvl w:ilvl="6">
      <w:start w:val="0"/>
      <w:numFmt w:val="bullet"/>
      <w:lvlText w:val="•"/>
      <w:lvlJc w:val="left"/>
      <w:pPr>
        <w:ind w:left="9133" w:hanging="635"/>
      </w:pPr>
      <w:rPr>
        <w:rFonts w:hint="default"/>
      </w:rPr>
    </w:lvl>
    <w:lvl w:ilvl="7">
      <w:start w:val="0"/>
      <w:numFmt w:val="bullet"/>
      <w:lvlText w:val="•"/>
      <w:lvlJc w:val="left"/>
      <w:pPr>
        <w:ind w:left="10579" w:hanging="635"/>
      </w:pPr>
      <w:rPr>
        <w:rFonts w:hint="default"/>
      </w:rPr>
    </w:lvl>
    <w:lvl w:ilvl="8">
      <w:start w:val="0"/>
      <w:numFmt w:val="bullet"/>
      <w:lvlText w:val="•"/>
      <w:lvlJc w:val="left"/>
      <w:pPr>
        <w:ind w:left="12026" w:hanging="635"/>
      </w:pPr>
      <w:rPr>
        <w:rFonts w:hint="default"/>
      </w:rPr>
    </w:lvl>
  </w:abstractNum>
  <w:abstractNum w:abstractNumId="16">
    <w:nsid w:val="34CE4D60"/>
    <w:multiLevelType w:val="hybridMultilevel"/>
    <w:tmpl w:val="00000000"/>
    <w:lvl w:ilvl="0">
      <w:start w:val="36"/>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17">
    <w:nsid w:val="35B1C95E"/>
    <w:multiLevelType w:val="hybridMultilevel"/>
    <w:tmpl w:val="00000000"/>
    <w:lvl w:ilvl="0">
      <w:start w:val="46"/>
      <w:numFmt w:val="decimal"/>
      <w:lvlText w:val="%1."/>
      <w:lvlJc w:val="left"/>
      <w:pPr>
        <w:ind w:left="790" w:hanging="635"/>
        <w:jc w:val="left"/>
      </w:pPr>
      <w:rPr>
        <w:rFonts w:hint="default"/>
        <w:b/>
        <w:bCs/>
        <w:w w:val="101"/>
      </w:rPr>
    </w:lvl>
    <w:lvl w:ilvl="1">
      <w:start w:val="0"/>
      <w:numFmt w:val="bullet"/>
      <w:lvlText w:val="•"/>
      <w:lvlJc w:val="left"/>
      <w:pPr>
        <w:ind w:left="2211" w:hanging="635"/>
      </w:pPr>
      <w:rPr>
        <w:rFonts w:hint="default"/>
      </w:rPr>
    </w:lvl>
    <w:lvl w:ilvl="2">
      <w:start w:val="0"/>
      <w:numFmt w:val="bullet"/>
      <w:lvlText w:val="•"/>
      <w:lvlJc w:val="left"/>
      <w:pPr>
        <w:ind w:left="3623" w:hanging="635"/>
      </w:pPr>
      <w:rPr>
        <w:rFonts w:hint="default"/>
      </w:rPr>
    </w:lvl>
    <w:lvl w:ilvl="3">
      <w:start w:val="0"/>
      <w:numFmt w:val="bullet"/>
      <w:lvlText w:val="•"/>
      <w:lvlJc w:val="left"/>
      <w:pPr>
        <w:ind w:left="5035" w:hanging="635"/>
      </w:pPr>
      <w:rPr>
        <w:rFonts w:hint="default"/>
      </w:rPr>
    </w:lvl>
    <w:lvl w:ilvl="4">
      <w:start w:val="0"/>
      <w:numFmt w:val="bullet"/>
      <w:lvlText w:val="•"/>
      <w:lvlJc w:val="left"/>
      <w:pPr>
        <w:ind w:left="6447" w:hanging="635"/>
      </w:pPr>
      <w:rPr>
        <w:rFonts w:hint="default"/>
      </w:rPr>
    </w:lvl>
    <w:lvl w:ilvl="5">
      <w:start w:val="0"/>
      <w:numFmt w:val="bullet"/>
      <w:lvlText w:val="•"/>
      <w:lvlJc w:val="left"/>
      <w:pPr>
        <w:ind w:left="7859" w:hanging="635"/>
      </w:pPr>
      <w:rPr>
        <w:rFonts w:hint="default"/>
      </w:rPr>
    </w:lvl>
    <w:lvl w:ilvl="6">
      <w:start w:val="0"/>
      <w:numFmt w:val="bullet"/>
      <w:lvlText w:val="•"/>
      <w:lvlJc w:val="left"/>
      <w:pPr>
        <w:ind w:left="9271" w:hanging="635"/>
      </w:pPr>
      <w:rPr>
        <w:rFonts w:hint="default"/>
      </w:rPr>
    </w:lvl>
    <w:lvl w:ilvl="7">
      <w:start w:val="0"/>
      <w:numFmt w:val="bullet"/>
      <w:lvlText w:val="•"/>
      <w:lvlJc w:val="left"/>
      <w:pPr>
        <w:ind w:left="10683" w:hanging="635"/>
      </w:pPr>
      <w:rPr>
        <w:rFonts w:hint="default"/>
      </w:rPr>
    </w:lvl>
    <w:lvl w:ilvl="8">
      <w:start w:val="0"/>
      <w:numFmt w:val="bullet"/>
      <w:lvlText w:val="•"/>
      <w:lvlJc w:val="left"/>
      <w:pPr>
        <w:ind w:left="12095" w:hanging="635"/>
      </w:pPr>
      <w:rPr>
        <w:rFonts w:hint="default"/>
      </w:rPr>
    </w:lvl>
  </w:abstractNum>
  <w:abstractNum w:abstractNumId="18">
    <w:nsid w:val="36E5B1DD"/>
    <w:multiLevelType w:val="hybridMultilevel"/>
    <w:tmpl w:val="00000000"/>
    <w:lvl w:ilvl="0">
      <w:start w:val="9"/>
      <w:numFmt w:val="decimal"/>
      <w:lvlText w:val="%1."/>
      <w:lvlJc w:val="left"/>
      <w:pPr>
        <w:ind w:left="811" w:hanging="477"/>
        <w:jc w:val="left"/>
      </w:pPr>
      <w:rPr>
        <w:rFonts w:ascii="宋体" w:eastAsia="宋体" w:hAnsi="宋体" w:cs="宋体" w:hint="default"/>
        <w:b/>
        <w:bCs/>
        <w:w w:val="101"/>
        <w:sz w:val="29"/>
        <w:szCs w:val="29"/>
      </w:rPr>
    </w:lvl>
    <w:lvl w:ilvl="1">
      <w:start w:val="0"/>
      <w:numFmt w:val="bullet"/>
      <w:lvlText w:val="•"/>
      <w:lvlJc w:val="left"/>
      <w:pPr>
        <w:ind w:left="2229" w:hanging="477"/>
      </w:pPr>
      <w:rPr>
        <w:rFonts w:hint="default"/>
      </w:rPr>
    </w:lvl>
    <w:lvl w:ilvl="2">
      <w:start w:val="0"/>
      <w:numFmt w:val="bullet"/>
      <w:lvlText w:val="•"/>
      <w:lvlJc w:val="left"/>
      <w:pPr>
        <w:ind w:left="3639" w:hanging="477"/>
      </w:pPr>
      <w:rPr>
        <w:rFonts w:hint="default"/>
      </w:rPr>
    </w:lvl>
    <w:lvl w:ilvl="3">
      <w:start w:val="0"/>
      <w:numFmt w:val="bullet"/>
      <w:lvlText w:val="•"/>
      <w:lvlJc w:val="left"/>
      <w:pPr>
        <w:ind w:left="5049" w:hanging="477"/>
      </w:pPr>
      <w:rPr>
        <w:rFonts w:hint="default"/>
      </w:rPr>
    </w:lvl>
    <w:lvl w:ilvl="4">
      <w:start w:val="0"/>
      <w:numFmt w:val="bullet"/>
      <w:lvlText w:val="•"/>
      <w:lvlJc w:val="left"/>
      <w:pPr>
        <w:ind w:left="6459" w:hanging="477"/>
      </w:pPr>
      <w:rPr>
        <w:rFonts w:hint="default"/>
      </w:rPr>
    </w:lvl>
    <w:lvl w:ilvl="5">
      <w:start w:val="0"/>
      <w:numFmt w:val="bullet"/>
      <w:lvlText w:val="•"/>
      <w:lvlJc w:val="left"/>
      <w:pPr>
        <w:ind w:left="7869" w:hanging="477"/>
      </w:pPr>
      <w:rPr>
        <w:rFonts w:hint="default"/>
      </w:rPr>
    </w:lvl>
    <w:lvl w:ilvl="6">
      <w:start w:val="0"/>
      <w:numFmt w:val="bullet"/>
      <w:lvlText w:val="•"/>
      <w:lvlJc w:val="left"/>
      <w:pPr>
        <w:ind w:left="9279" w:hanging="477"/>
      </w:pPr>
      <w:rPr>
        <w:rFonts w:hint="default"/>
      </w:rPr>
    </w:lvl>
    <w:lvl w:ilvl="7">
      <w:start w:val="0"/>
      <w:numFmt w:val="bullet"/>
      <w:lvlText w:val="•"/>
      <w:lvlJc w:val="left"/>
      <w:pPr>
        <w:ind w:left="10689" w:hanging="477"/>
      </w:pPr>
      <w:rPr>
        <w:rFonts w:hint="default"/>
      </w:rPr>
    </w:lvl>
    <w:lvl w:ilvl="8">
      <w:start w:val="0"/>
      <w:numFmt w:val="bullet"/>
      <w:lvlText w:val="•"/>
      <w:lvlJc w:val="left"/>
      <w:pPr>
        <w:ind w:left="12099" w:hanging="477"/>
      </w:pPr>
      <w:rPr>
        <w:rFonts w:hint="default"/>
      </w:rPr>
    </w:lvl>
  </w:abstractNum>
  <w:abstractNum w:abstractNumId="19">
    <w:nsid w:val="3A935C82"/>
    <w:multiLevelType w:val="hybridMultilevel"/>
    <w:tmpl w:val="00000000"/>
    <w:lvl w:ilvl="0">
      <w:start w:val="5"/>
      <w:numFmt w:val="decimal"/>
      <w:lvlText w:val="%1."/>
      <w:lvlJc w:val="left"/>
      <w:pPr>
        <w:ind w:left="790" w:hanging="477"/>
        <w:jc w:val="left"/>
      </w:pPr>
      <w:rPr>
        <w:rFonts w:ascii="宋体" w:eastAsia="宋体" w:hAnsi="宋体" w:cs="宋体" w:hint="default"/>
        <w:b/>
        <w:bCs/>
        <w:w w:val="101"/>
        <w:sz w:val="29"/>
        <w:szCs w:val="29"/>
      </w:rPr>
    </w:lvl>
    <w:lvl w:ilvl="1">
      <w:start w:val="0"/>
      <w:numFmt w:val="bullet"/>
      <w:lvlText w:val="•"/>
      <w:lvlJc w:val="left"/>
      <w:pPr>
        <w:ind w:left="2211" w:hanging="477"/>
      </w:pPr>
      <w:rPr>
        <w:rFonts w:hint="default"/>
      </w:rPr>
    </w:lvl>
    <w:lvl w:ilvl="2">
      <w:start w:val="0"/>
      <w:numFmt w:val="bullet"/>
      <w:lvlText w:val="•"/>
      <w:lvlJc w:val="left"/>
      <w:pPr>
        <w:ind w:left="3623" w:hanging="477"/>
      </w:pPr>
      <w:rPr>
        <w:rFonts w:hint="default"/>
      </w:rPr>
    </w:lvl>
    <w:lvl w:ilvl="3">
      <w:start w:val="0"/>
      <w:numFmt w:val="bullet"/>
      <w:lvlText w:val="•"/>
      <w:lvlJc w:val="left"/>
      <w:pPr>
        <w:ind w:left="5035" w:hanging="477"/>
      </w:pPr>
      <w:rPr>
        <w:rFonts w:hint="default"/>
      </w:rPr>
    </w:lvl>
    <w:lvl w:ilvl="4">
      <w:start w:val="0"/>
      <w:numFmt w:val="bullet"/>
      <w:lvlText w:val="•"/>
      <w:lvlJc w:val="left"/>
      <w:pPr>
        <w:ind w:left="6447" w:hanging="477"/>
      </w:pPr>
      <w:rPr>
        <w:rFonts w:hint="default"/>
      </w:rPr>
    </w:lvl>
    <w:lvl w:ilvl="5">
      <w:start w:val="0"/>
      <w:numFmt w:val="bullet"/>
      <w:lvlText w:val="•"/>
      <w:lvlJc w:val="left"/>
      <w:pPr>
        <w:ind w:left="7859" w:hanging="477"/>
      </w:pPr>
      <w:rPr>
        <w:rFonts w:hint="default"/>
      </w:rPr>
    </w:lvl>
    <w:lvl w:ilvl="6">
      <w:start w:val="0"/>
      <w:numFmt w:val="bullet"/>
      <w:lvlText w:val="•"/>
      <w:lvlJc w:val="left"/>
      <w:pPr>
        <w:ind w:left="9271" w:hanging="477"/>
      </w:pPr>
      <w:rPr>
        <w:rFonts w:hint="default"/>
      </w:rPr>
    </w:lvl>
    <w:lvl w:ilvl="7">
      <w:start w:val="0"/>
      <w:numFmt w:val="bullet"/>
      <w:lvlText w:val="•"/>
      <w:lvlJc w:val="left"/>
      <w:pPr>
        <w:ind w:left="10683" w:hanging="477"/>
      </w:pPr>
      <w:rPr>
        <w:rFonts w:hint="default"/>
      </w:rPr>
    </w:lvl>
    <w:lvl w:ilvl="8">
      <w:start w:val="0"/>
      <w:numFmt w:val="bullet"/>
      <w:lvlText w:val="•"/>
      <w:lvlJc w:val="left"/>
      <w:pPr>
        <w:ind w:left="12095" w:hanging="477"/>
      </w:pPr>
      <w:rPr>
        <w:rFonts w:hint="default"/>
      </w:rPr>
    </w:lvl>
  </w:abstractNum>
  <w:abstractNum w:abstractNumId="20">
    <w:nsid w:val="3D7B0BC3"/>
    <w:multiLevelType w:val="hybridMultilevel"/>
    <w:tmpl w:val="00000000"/>
    <w:lvl w:ilvl="0">
      <w:start w:val="33"/>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1900" w:hanging="635"/>
      </w:pPr>
      <w:rPr>
        <w:rFonts w:hint="default"/>
      </w:rPr>
    </w:lvl>
    <w:lvl w:ilvl="2">
      <w:start w:val="0"/>
      <w:numFmt w:val="bullet"/>
      <w:lvlText w:val="•"/>
      <w:lvlJc w:val="left"/>
      <w:pPr>
        <w:ind w:left="3346" w:hanging="635"/>
      </w:pPr>
      <w:rPr>
        <w:rFonts w:hint="default"/>
      </w:rPr>
    </w:lvl>
    <w:lvl w:ilvl="3">
      <w:start w:val="0"/>
      <w:numFmt w:val="bullet"/>
      <w:lvlText w:val="•"/>
      <w:lvlJc w:val="left"/>
      <w:pPr>
        <w:ind w:left="4793" w:hanging="635"/>
      </w:pPr>
      <w:rPr>
        <w:rFonts w:hint="default"/>
      </w:rPr>
    </w:lvl>
    <w:lvl w:ilvl="4">
      <w:start w:val="0"/>
      <w:numFmt w:val="bullet"/>
      <w:lvlText w:val="•"/>
      <w:lvlJc w:val="left"/>
      <w:pPr>
        <w:ind w:left="6239" w:hanging="635"/>
      </w:pPr>
      <w:rPr>
        <w:rFonts w:hint="default"/>
      </w:rPr>
    </w:lvl>
    <w:lvl w:ilvl="5">
      <w:start w:val="0"/>
      <w:numFmt w:val="bullet"/>
      <w:lvlText w:val="•"/>
      <w:lvlJc w:val="left"/>
      <w:pPr>
        <w:ind w:left="7686" w:hanging="635"/>
      </w:pPr>
      <w:rPr>
        <w:rFonts w:hint="default"/>
      </w:rPr>
    </w:lvl>
    <w:lvl w:ilvl="6">
      <w:start w:val="0"/>
      <w:numFmt w:val="bullet"/>
      <w:lvlText w:val="•"/>
      <w:lvlJc w:val="left"/>
      <w:pPr>
        <w:ind w:left="9133" w:hanging="635"/>
      </w:pPr>
      <w:rPr>
        <w:rFonts w:hint="default"/>
      </w:rPr>
    </w:lvl>
    <w:lvl w:ilvl="7">
      <w:start w:val="0"/>
      <w:numFmt w:val="bullet"/>
      <w:lvlText w:val="•"/>
      <w:lvlJc w:val="left"/>
      <w:pPr>
        <w:ind w:left="10579" w:hanging="635"/>
      </w:pPr>
      <w:rPr>
        <w:rFonts w:hint="default"/>
      </w:rPr>
    </w:lvl>
    <w:lvl w:ilvl="8">
      <w:start w:val="0"/>
      <w:numFmt w:val="bullet"/>
      <w:lvlText w:val="•"/>
      <w:lvlJc w:val="left"/>
      <w:pPr>
        <w:ind w:left="12026" w:hanging="635"/>
      </w:pPr>
      <w:rPr>
        <w:rFonts w:hint="default"/>
      </w:rPr>
    </w:lvl>
  </w:abstractNum>
  <w:abstractNum w:abstractNumId="21">
    <w:nsid w:val="3F1E6BC8"/>
    <w:multiLevelType w:val="hybridMultilevel"/>
    <w:tmpl w:val="00000000"/>
    <w:lvl w:ilvl="0">
      <w:start w:val="10"/>
      <w:numFmt w:val="decimal"/>
      <w:lvlText w:val="%1."/>
      <w:lvlJc w:val="left"/>
      <w:pPr>
        <w:ind w:left="159" w:hanging="635"/>
        <w:jc w:val="left"/>
      </w:pPr>
      <w:rPr>
        <w:rFonts w:ascii="宋体" w:eastAsia="宋体" w:hAnsi="宋体" w:cs="宋体" w:hint="default"/>
        <w:w w:val="102"/>
        <w:sz w:val="29"/>
        <w:szCs w:val="29"/>
      </w:rPr>
    </w:lvl>
    <w:lvl w:ilvl="1">
      <w:start w:val="0"/>
      <w:numFmt w:val="bullet"/>
      <w:lvlText w:val="•"/>
      <w:lvlJc w:val="left"/>
      <w:pPr>
        <w:ind w:left="800" w:hanging="635"/>
      </w:pPr>
      <w:rPr>
        <w:rFonts w:hint="default"/>
      </w:rPr>
    </w:lvl>
    <w:lvl w:ilvl="2">
      <w:start w:val="0"/>
      <w:numFmt w:val="bullet"/>
      <w:lvlText w:val="•"/>
      <w:lvlJc w:val="left"/>
      <w:pPr>
        <w:ind w:left="2368" w:hanging="635"/>
      </w:pPr>
      <w:rPr>
        <w:rFonts w:hint="default"/>
      </w:rPr>
    </w:lvl>
    <w:lvl w:ilvl="3">
      <w:start w:val="0"/>
      <w:numFmt w:val="bullet"/>
      <w:lvlText w:val="•"/>
      <w:lvlJc w:val="left"/>
      <w:pPr>
        <w:ind w:left="3937" w:hanging="635"/>
      </w:pPr>
      <w:rPr>
        <w:rFonts w:hint="default"/>
      </w:rPr>
    </w:lvl>
    <w:lvl w:ilvl="4">
      <w:start w:val="0"/>
      <w:numFmt w:val="bullet"/>
      <w:lvlText w:val="•"/>
      <w:lvlJc w:val="left"/>
      <w:pPr>
        <w:ind w:left="5506" w:hanging="635"/>
      </w:pPr>
      <w:rPr>
        <w:rFonts w:hint="default"/>
      </w:rPr>
    </w:lvl>
    <w:lvl w:ilvl="5">
      <w:start w:val="0"/>
      <w:numFmt w:val="bullet"/>
      <w:lvlText w:val="•"/>
      <w:lvlJc w:val="left"/>
      <w:pPr>
        <w:ind w:left="7075" w:hanging="635"/>
      </w:pPr>
      <w:rPr>
        <w:rFonts w:hint="default"/>
      </w:rPr>
    </w:lvl>
    <w:lvl w:ilvl="6">
      <w:start w:val="0"/>
      <w:numFmt w:val="bullet"/>
      <w:lvlText w:val="•"/>
      <w:lvlJc w:val="left"/>
      <w:pPr>
        <w:ind w:left="8644" w:hanging="635"/>
      </w:pPr>
      <w:rPr>
        <w:rFonts w:hint="default"/>
      </w:rPr>
    </w:lvl>
    <w:lvl w:ilvl="7">
      <w:start w:val="0"/>
      <w:numFmt w:val="bullet"/>
      <w:lvlText w:val="•"/>
      <w:lvlJc w:val="left"/>
      <w:pPr>
        <w:ind w:left="10213" w:hanging="635"/>
      </w:pPr>
      <w:rPr>
        <w:rFonts w:hint="default"/>
      </w:rPr>
    </w:lvl>
    <w:lvl w:ilvl="8">
      <w:start w:val="0"/>
      <w:numFmt w:val="bullet"/>
      <w:lvlText w:val="•"/>
      <w:lvlJc w:val="left"/>
      <w:pPr>
        <w:ind w:left="11781" w:hanging="635"/>
      </w:pPr>
      <w:rPr>
        <w:rFonts w:hint="default"/>
      </w:rPr>
    </w:lvl>
  </w:abstractNum>
  <w:abstractNum w:abstractNumId="22">
    <w:nsid w:val="45019A6B"/>
    <w:multiLevelType w:val="hybridMultilevel"/>
    <w:tmpl w:val="00000000"/>
    <w:lvl w:ilvl="0">
      <w:start w:val="34"/>
      <w:numFmt w:val="decimal"/>
      <w:lvlText w:val="%1."/>
      <w:lvlJc w:val="left"/>
      <w:pPr>
        <w:ind w:left="1428" w:hanging="635"/>
        <w:jc w:val="left"/>
      </w:pPr>
      <w:rPr>
        <w:rFonts w:ascii="宋体" w:eastAsia="宋体" w:hAnsi="宋体" w:cs="宋体" w:hint="default"/>
        <w:b/>
        <w:bCs/>
        <w:w w:val="101"/>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23">
    <w:nsid w:val="472C0217"/>
    <w:multiLevelType w:val="hybridMultilevel"/>
    <w:tmpl w:val="00000000"/>
    <w:lvl w:ilvl="0">
      <w:start w:val="3"/>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24">
    <w:nsid w:val="47DA4925"/>
    <w:multiLevelType w:val="hybridMultilevel"/>
    <w:tmpl w:val="00000000"/>
    <w:lvl w:ilvl="0">
      <w:start w:val="23"/>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1900" w:hanging="635"/>
      </w:pPr>
      <w:rPr>
        <w:rFonts w:hint="default"/>
      </w:rPr>
    </w:lvl>
    <w:lvl w:ilvl="2">
      <w:start w:val="0"/>
      <w:numFmt w:val="bullet"/>
      <w:lvlText w:val="•"/>
      <w:lvlJc w:val="left"/>
      <w:pPr>
        <w:ind w:left="3346" w:hanging="635"/>
      </w:pPr>
      <w:rPr>
        <w:rFonts w:hint="default"/>
      </w:rPr>
    </w:lvl>
    <w:lvl w:ilvl="3">
      <w:start w:val="0"/>
      <w:numFmt w:val="bullet"/>
      <w:lvlText w:val="•"/>
      <w:lvlJc w:val="left"/>
      <w:pPr>
        <w:ind w:left="4793" w:hanging="635"/>
      </w:pPr>
      <w:rPr>
        <w:rFonts w:hint="default"/>
      </w:rPr>
    </w:lvl>
    <w:lvl w:ilvl="4">
      <w:start w:val="0"/>
      <w:numFmt w:val="bullet"/>
      <w:lvlText w:val="•"/>
      <w:lvlJc w:val="left"/>
      <w:pPr>
        <w:ind w:left="6239" w:hanging="635"/>
      </w:pPr>
      <w:rPr>
        <w:rFonts w:hint="default"/>
      </w:rPr>
    </w:lvl>
    <w:lvl w:ilvl="5">
      <w:start w:val="0"/>
      <w:numFmt w:val="bullet"/>
      <w:lvlText w:val="•"/>
      <w:lvlJc w:val="left"/>
      <w:pPr>
        <w:ind w:left="7686" w:hanging="635"/>
      </w:pPr>
      <w:rPr>
        <w:rFonts w:hint="default"/>
      </w:rPr>
    </w:lvl>
    <w:lvl w:ilvl="6">
      <w:start w:val="0"/>
      <w:numFmt w:val="bullet"/>
      <w:lvlText w:val="•"/>
      <w:lvlJc w:val="left"/>
      <w:pPr>
        <w:ind w:left="9133" w:hanging="635"/>
      </w:pPr>
      <w:rPr>
        <w:rFonts w:hint="default"/>
      </w:rPr>
    </w:lvl>
    <w:lvl w:ilvl="7">
      <w:start w:val="0"/>
      <w:numFmt w:val="bullet"/>
      <w:lvlText w:val="•"/>
      <w:lvlJc w:val="left"/>
      <w:pPr>
        <w:ind w:left="10579" w:hanging="635"/>
      </w:pPr>
      <w:rPr>
        <w:rFonts w:hint="default"/>
      </w:rPr>
    </w:lvl>
    <w:lvl w:ilvl="8">
      <w:start w:val="0"/>
      <w:numFmt w:val="bullet"/>
      <w:lvlText w:val="•"/>
      <w:lvlJc w:val="left"/>
      <w:pPr>
        <w:ind w:left="12026" w:hanging="635"/>
      </w:pPr>
      <w:rPr>
        <w:rFonts w:hint="default"/>
      </w:rPr>
    </w:lvl>
  </w:abstractNum>
  <w:abstractNum w:abstractNumId="25">
    <w:nsid w:val="498D90A3"/>
    <w:multiLevelType w:val="hybridMultilevel"/>
    <w:tmpl w:val="00000000"/>
    <w:lvl w:ilvl="0">
      <w:start w:val="15"/>
      <w:numFmt w:val="decimal"/>
      <w:lvlText w:val="%1."/>
      <w:lvlJc w:val="left"/>
      <w:pPr>
        <w:ind w:left="1424" w:hanging="635"/>
        <w:jc w:val="left"/>
      </w:pPr>
      <w:rPr>
        <w:rFonts w:ascii="宋体" w:eastAsia="宋体" w:hAnsi="宋体" w:cs="宋体" w:hint="default"/>
        <w:w w:val="102"/>
        <w:sz w:val="29"/>
        <w:szCs w:val="29"/>
      </w:rPr>
    </w:lvl>
    <w:lvl w:ilvl="1">
      <w:start w:val="1"/>
      <w:numFmt w:val="upperLetter"/>
      <w:lvlText w:val="%2."/>
      <w:lvlJc w:val="left"/>
      <w:pPr>
        <w:ind w:left="1420" w:hanging="473"/>
        <w:jc w:val="left"/>
      </w:pPr>
      <w:rPr>
        <w:rFonts w:ascii="宋体" w:eastAsia="宋体" w:hAnsi="宋体" w:cs="宋体" w:hint="default"/>
        <w:spacing w:val="-4"/>
        <w:w w:val="102"/>
        <w:sz w:val="29"/>
        <w:szCs w:val="29"/>
      </w:rPr>
    </w:lvl>
    <w:lvl w:ilvl="2">
      <w:start w:val="0"/>
      <w:numFmt w:val="bullet"/>
      <w:lvlText w:val="•"/>
      <w:lvlJc w:val="left"/>
      <w:pPr>
        <w:ind w:left="4119" w:hanging="473"/>
      </w:pPr>
      <w:rPr>
        <w:rFonts w:hint="default"/>
      </w:rPr>
    </w:lvl>
    <w:lvl w:ilvl="3">
      <w:start w:val="0"/>
      <w:numFmt w:val="bullet"/>
      <w:lvlText w:val="•"/>
      <w:lvlJc w:val="left"/>
      <w:pPr>
        <w:ind w:left="5469" w:hanging="473"/>
      </w:pPr>
      <w:rPr>
        <w:rFonts w:hint="default"/>
      </w:rPr>
    </w:lvl>
    <w:lvl w:ilvl="4">
      <w:start w:val="0"/>
      <w:numFmt w:val="bullet"/>
      <w:lvlText w:val="•"/>
      <w:lvlJc w:val="left"/>
      <w:pPr>
        <w:ind w:left="6819" w:hanging="473"/>
      </w:pPr>
      <w:rPr>
        <w:rFonts w:hint="default"/>
      </w:rPr>
    </w:lvl>
    <w:lvl w:ilvl="5">
      <w:start w:val="0"/>
      <w:numFmt w:val="bullet"/>
      <w:lvlText w:val="•"/>
      <w:lvlJc w:val="left"/>
      <w:pPr>
        <w:ind w:left="8169" w:hanging="473"/>
      </w:pPr>
      <w:rPr>
        <w:rFonts w:hint="default"/>
      </w:rPr>
    </w:lvl>
    <w:lvl w:ilvl="6">
      <w:start w:val="0"/>
      <w:numFmt w:val="bullet"/>
      <w:lvlText w:val="•"/>
      <w:lvlJc w:val="left"/>
      <w:pPr>
        <w:ind w:left="9519" w:hanging="473"/>
      </w:pPr>
      <w:rPr>
        <w:rFonts w:hint="default"/>
      </w:rPr>
    </w:lvl>
    <w:lvl w:ilvl="7">
      <w:start w:val="0"/>
      <w:numFmt w:val="bullet"/>
      <w:lvlText w:val="•"/>
      <w:lvlJc w:val="left"/>
      <w:pPr>
        <w:ind w:left="10869" w:hanging="473"/>
      </w:pPr>
      <w:rPr>
        <w:rFonts w:hint="default"/>
      </w:rPr>
    </w:lvl>
    <w:lvl w:ilvl="8">
      <w:start w:val="0"/>
      <w:numFmt w:val="bullet"/>
      <w:lvlText w:val="•"/>
      <w:lvlJc w:val="left"/>
      <w:pPr>
        <w:ind w:left="12219" w:hanging="473"/>
      </w:pPr>
      <w:rPr>
        <w:rFonts w:hint="default"/>
      </w:rPr>
    </w:lvl>
  </w:abstractNum>
  <w:abstractNum w:abstractNumId="26">
    <w:nsid w:val="4BD58A59"/>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27">
    <w:nsid w:val="51803F60"/>
    <w:multiLevelType w:val="hybridMultilevel"/>
    <w:tmpl w:val="00000000"/>
    <w:lvl w:ilvl="0">
      <w:start w:val="1"/>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535" w:hanging="371"/>
      </w:pPr>
      <w:rPr>
        <w:rFonts w:hint="default"/>
      </w:rPr>
    </w:lvl>
    <w:lvl w:ilvl="2">
      <w:start w:val="0"/>
      <w:numFmt w:val="bullet"/>
      <w:lvlText w:val="•"/>
      <w:lvlJc w:val="left"/>
      <w:pPr>
        <w:ind w:left="3911" w:hanging="371"/>
      </w:pPr>
      <w:rPr>
        <w:rFonts w:hint="default"/>
      </w:rPr>
    </w:lvl>
    <w:lvl w:ilvl="3">
      <w:start w:val="0"/>
      <w:numFmt w:val="bullet"/>
      <w:lvlText w:val="•"/>
      <w:lvlJc w:val="left"/>
      <w:pPr>
        <w:ind w:left="5287" w:hanging="371"/>
      </w:pPr>
      <w:rPr>
        <w:rFonts w:hint="default"/>
      </w:rPr>
    </w:lvl>
    <w:lvl w:ilvl="4">
      <w:start w:val="0"/>
      <w:numFmt w:val="bullet"/>
      <w:lvlText w:val="•"/>
      <w:lvlJc w:val="left"/>
      <w:pPr>
        <w:ind w:left="6663" w:hanging="371"/>
      </w:pPr>
      <w:rPr>
        <w:rFonts w:hint="default"/>
      </w:rPr>
    </w:lvl>
    <w:lvl w:ilvl="5">
      <w:start w:val="0"/>
      <w:numFmt w:val="bullet"/>
      <w:lvlText w:val="•"/>
      <w:lvlJc w:val="left"/>
      <w:pPr>
        <w:ind w:left="8039" w:hanging="371"/>
      </w:pPr>
      <w:rPr>
        <w:rFonts w:hint="default"/>
      </w:rPr>
    </w:lvl>
    <w:lvl w:ilvl="6">
      <w:start w:val="0"/>
      <w:numFmt w:val="bullet"/>
      <w:lvlText w:val="•"/>
      <w:lvlJc w:val="left"/>
      <w:pPr>
        <w:ind w:left="9415" w:hanging="371"/>
      </w:pPr>
      <w:rPr>
        <w:rFonts w:hint="default"/>
      </w:rPr>
    </w:lvl>
    <w:lvl w:ilvl="7">
      <w:start w:val="0"/>
      <w:numFmt w:val="bullet"/>
      <w:lvlText w:val="•"/>
      <w:lvlJc w:val="left"/>
      <w:pPr>
        <w:ind w:left="10791" w:hanging="371"/>
      </w:pPr>
      <w:rPr>
        <w:rFonts w:hint="default"/>
      </w:rPr>
    </w:lvl>
    <w:lvl w:ilvl="8">
      <w:start w:val="0"/>
      <w:numFmt w:val="bullet"/>
      <w:lvlText w:val="•"/>
      <w:lvlJc w:val="left"/>
      <w:pPr>
        <w:ind w:left="12167" w:hanging="371"/>
      </w:pPr>
      <w:rPr>
        <w:rFonts w:hint="default"/>
      </w:rPr>
    </w:lvl>
  </w:abstractNum>
  <w:abstractNum w:abstractNumId="28">
    <w:nsid w:val="59F0222E"/>
    <w:multiLevelType w:val="hybridMultilevel"/>
    <w:tmpl w:val="00000000"/>
    <w:lvl w:ilvl="0">
      <w:start w:val="1"/>
      <w:numFmt w:val="decimal"/>
      <w:lvlText w:val="(%1)"/>
      <w:lvlJc w:val="left"/>
      <w:pPr>
        <w:ind w:left="159" w:hanging="477"/>
        <w:jc w:val="left"/>
      </w:pPr>
      <w:rPr>
        <w:rFonts w:ascii="宋体" w:eastAsia="宋体" w:hAnsi="宋体" w:cs="宋体" w:hint="default"/>
        <w:w w:val="102"/>
        <w:sz w:val="29"/>
        <w:szCs w:val="29"/>
      </w:rPr>
    </w:lvl>
    <w:lvl w:ilvl="1">
      <w:start w:val="0"/>
      <w:numFmt w:val="bullet"/>
      <w:lvlText w:val="•"/>
      <w:lvlJc w:val="left"/>
      <w:pPr>
        <w:ind w:left="163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587" w:hanging="477"/>
      </w:pPr>
      <w:rPr>
        <w:rFonts w:hint="default"/>
      </w:rPr>
    </w:lvl>
    <w:lvl w:ilvl="4">
      <w:start w:val="0"/>
      <w:numFmt w:val="bullet"/>
      <w:lvlText w:val="•"/>
      <w:lvlJc w:val="left"/>
      <w:pPr>
        <w:ind w:left="6063" w:hanging="477"/>
      </w:pPr>
      <w:rPr>
        <w:rFonts w:hint="default"/>
      </w:rPr>
    </w:lvl>
    <w:lvl w:ilvl="5">
      <w:start w:val="0"/>
      <w:numFmt w:val="bullet"/>
      <w:lvlText w:val="•"/>
      <w:lvlJc w:val="left"/>
      <w:pPr>
        <w:ind w:left="7539" w:hanging="477"/>
      </w:pPr>
      <w:rPr>
        <w:rFonts w:hint="default"/>
      </w:rPr>
    </w:lvl>
    <w:lvl w:ilvl="6">
      <w:start w:val="0"/>
      <w:numFmt w:val="bullet"/>
      <w:lvlText w:val="•"/>
      <w:lvlJc w:val="left"/>
      <w:pPr>
        <w:ind w:left="9015" w:hanging="477"/>
      </w:pPr>
      <w:rPr>
        <w:rFonts w:hint="default"/>
      </w:rPr>
    </w:lvl>
    <w:lvl w:ilvl="7">
      <w:start w:val="0"/>
      <w:numFmt w:val="bullet"/>
      <w:lvlText w:val="•"/>
      <w:lvlJc w:val="left"/>
      <w:pPr>
        <w:ind w:left="10491" w:hanging="477"/>
      </w:pPr>
      <w:rPr>
        <w:rFonts w:hint="default"/>
      </w:rPr>
    </w:lvl>
    <w:lvl w:ilvl="8">
      <w:start w:val="0"/>
      <w:numFmt w:val="bullet"/>
      <w:lvlText w:val="•"/>
      <w:lvlJc w:val="left"/>
      <w:pPr>
        <w:ind w:left="11967" w:hanging="477"/>
      </w:pPr>
      <w:rPr>
        <w:rFonts w:hint="default"/>
      </w:rPr>
    </w:lvl>
  </w:abstractNum>
  <w:abstractNum w:abstractNumId="29">
    <w:nsid w:val="5D076351"/>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30">
    <w:nsid w:val="5DEDFF73"/>
    <w:multiLevelType w:val="hybridMultilevel"/>
    <w:tmpl w:val="00000000"/>
    <w:lvl w:ilvl="0">
      <w:start w:val="30"/>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31">
    <w:nsid w:val="5F763635"/>
    <w:multiLevelType w:val="hybridMultilevel"/>
    <w:tmpl w:val="00000000"/>
    <w:lvl w:ilvl="0">
      <w:start w:val="1"/>
      <w:numFmt w:val="decimal"/>
      <w:lvlText w:val="(%1)"/>
      <w:lvlJc w:val="left"/>
      <w:pPr>
        <w:ind w:left="1160" w:hanging="371"/>
        <w:jc w:val="left"/>
      </w:pPr>
      <w:rPr>
        <w:rFonts w:ascii="Arial" w:eastAsia="Arial" w:hAnsi="Arial" w:cs="Arial" w:hint="default"/>
        <w:spacing w:val="-3"/>
        <w:w w:val="97"/>
        <w:sz w:val="29"/>
        <w:szCs w:val="29"/>
      </w:rPr>
    </w:lvl>
    <w:lvl w:ilvl="1">
      <w:start w:val="0"/>
      <w:numFmt w:val="bullet"/>
      <w:lvlText w:val="•"/>
      <w:lvlJc w:val="left"/>
      <w:pPr>
        <w:ind w:left="2535" w:hanging="371"/>
      </w:pPr>
      <w:rPr>
        <w:rFonts w:hint="default"/>
      </w:rPr>
    </w:lvl>
    <w:lvl w:ilvl="2">
      <w:start w:val="0"/>
      <w:numFmt w:val="bullet"/>
      <w:lvlText w:val="•"/>
      <w:lvlJc w:val="left"/>
      <w:pPr>
        <w:ind w:left="3911" w:hanging="371"/>
      </w:pPr>
      <w:rPr>
        <w:rFonts w:hint="default"/>
      </w:rPr>
    </w:lvl>
    <w:lvl w:ilvl="3">
      <w:start w:val="0"/>
      <w:numFmt w:val="bullet"/>
      <w:lvlText w:val="•"/>
      <w:lvlJc w:val="left"/>
      <w:pPr>
        <w:ind w:left="5287" w:hanging="371"/>
      </w:pPr>
      <w:rPr>
        <w:rFonts w:hint="default"/>
      </w:rPr>
    </w:lvl>
    <w:lvl w:ilvl="4">
      <w:start w:val="0"/>
      <w:numFmt w:val="bullet"/>
      <w:lvlText w:val="•"/>
      <w:lvlJc w:val="left"/>
      <w:pPr>
        <w:ind w:left="6663" w:hanging="371"/>
      </w:pPr>
      <w:rPr>
        <w:rFonts w:hint="default"/>
      </w:rPr>
    </w:lvl>
    <w:lvl w:ilvl="5">
      <w:start w:val="0"/>
      <w:numFmt w:val="bullet"/>
      <w:lvlText w:val="•"/>
      <w:lvlJc w:val="left"/>
      <w:pPr>
        <w:ind w:left="8039" w:hanging="371"/>
      </w:pPr>
      <w:rPr>
        <w:rFonts w:hint="default"/>
      </w:rPr>
    </w:lvl>
    <w:lvl w:ilvl="6">
      <w:start w:val="0"/>
      <w:numFmt w:val="bullet"/>
      <w:lvlText w:val="•"/>
      <w:lvlJc w:val="left"/>
      <w:pPr>
        <w:ind w:left="9415" w:hanging="371"/>
      </w:pPr>
      <w:rPr>
        <w:rFonts w:hint="default"/>
      </w:rPr>
    </w:lvl>
    <w:lvl w:ilvl="7">
      <w:start w:val="0"/>
      <w:numFmt w:val="bullet"/>
      <w:lvlText w:val="•"/>
      <w:lvlJc w:val="left"/>
      <w:pPr>
        <w:ind w:left="10791" w:hanging="371"/>
      </w:pPr>
      <w:rPr>
        <w:rFonts w:hint="default"/>
      </w:rPr>
    </w:lvl>
    <w:lvl w:ilvl="8">
      <w:start w:val="0"/>
      <w:numFmt w:val="bullet"/>
      <w:lvlText w:val="•"/>
      <w:lvlJc w:val="left"/>
      <w:pPr>
        <w:ind w:left="12167" w:hanging="371"/>
      </w:pPr>
      <w:rPr>
        <w:rFonts w:hint="default"/>
      </w:rPr>
    </w:lvl>
  </w:abstractNum>
  <w:abstractNum w:abstractNumId="32">
    <w:nsid w:val="61AB3913"/>
    <w:multiLevelType w:val="hybridMultilevel"/>
    <w:tmpl w:val="00000000"/>
    <w:lvl w:ilvl="0">
      <w:start w:val="1"/>
      <w:numFmt w:val="decimal"/>
      <w:lvlText w:val="(%1)"/>
      <w:lvlJc w:val="left"/>
      <w:pPr>
        <w:ind w:left="1269" w:hanging="477"/>
        <w:jc w:val="left"/>
      </w:pPr>
      <w:rPr>
        <w:rFonts w:ascii="宋体" w:eastAsia="宋体" w:hAnsi="宋体" w:cs="宋体" w:hint="default"/>
        <w:spacing w:val="-3"/>
        <w:w w:val="102"/>
        <w:sz w:val="29"/>
        <w:szCs w:val="29"/>
      </w:rPr>
    </w:lvl>
    <w:lvl w:ilvl="1">
      <w:start w:val="0"/>
      <w:numFmt w:val="bullet"/>
      <w:lvlText w:val="•"/>
      <w:lvlJc w:val="left"/>
      <w:pPr>
        <w:ind w:left="2625" w:hanging="477"/>
      </w:pPr>
      <w:rPr>
        <w:rFonts w:hint="default"/>
      </w:rPr>
    </w:lvl>
    <w:lvl w:ilvl="2">
      <w:start w:val="0"/>
      <w:numFmt w:val="bullet"/>
      <w:lvlText w:val="•"/>
      <w:lvlJc w:val="left"/>
      <w:pPr>
        <w:ind w:left="3991" w:hanging="477"/>
      </w:pPr>
      <w:rPr>
        <w:rFonts w:hint="default"/>
      </w:rPr>
    </w:lvl>
    <w:lvl w:ilvl="3">
      <w:start w:val="0"/>
      <w:numFmt w:val="bullet"/>
      <w:lvlText w:val="•"/>
      <w:lvlJc w:val="left"/>
      <w:pPr>
        <w:ind w:left="5357" w:hanging="477"/>
      </w:pPr>
      <w:rPr>
        <w:rFonts w:hint="default"/>
      </w:rPr>
    </w:lvl>
    <w:lvl w:ilvl="4">
      <w:start w:val="0"/>
      <w:numFmt w:val="bullet"/>
      <w:lvlText w:val="•"/>
      <w:lvlJc w:val="left"/>
      <w:pPr>
        <w:ind w:left="6723" w:hanging="477"/>
      </w:pPr>
      <w:rPr>
        <w:rFonts w:hint="default"/>
      </w:rPr>
    </w:lvl>
    <w:lvl w:ilvl="5">
      <w:start w:val="0"/>
      <w:numFmt w:val="bullet"/>
      <w:lvlText w:val="•"/>
      <w:lvlJc w:val="left"/>
      <w:pPr>
        <w:ind w:left="8089" w:hanging="477"/>
      </w:pPr>
      <w:rPr>
        <w:rFonts w:hint="default"/>
      </w:rPr>
    </w:lvl>
    <w:lvl w:ilvl="6">
      <w:start w:val="0"/>
      <w:numFmt w:val="bullet"/>
      <w:lvlText w:val="•"/>
      <w:lvlJc w:val="left"/>
      <w:pPr>
        <w:ind w:left="9455" w:hanging="477"/>
      </w:pPr>
      <w:rPr>
        <w:rFonts w:hint="default"/>
      </w:rPr>
    </w:lvl>
    <w:lvl w:ilvl="7">
      <w:start w:val="0"/>
      <w:numFmt w:val="bullet"/>
      <w:lvlText w:val="•"/>
      <w:lvlJc w:val="left"/>
      <w:pPr>
        <w:ind w:left="10821" w:hanging="477"/>
      </w:pPr>
      <w:rPr>
        <w:rFonts w:hint="default"/>
      </w:rPr>
    </w:lvl>
    <w:lvl w:ilvl="8">
      <w:start w:val="0"/>
      <w:numFmt w:val="bullet"/>
      <w:lvlText w:val="•"/>
      <w:lvlJc w:val="left"/>
      <w:pPr>
        <w:ind w:left="12187" w:hanging="477"/>
      </w:pPr>
      <w:rPr>
        <w:rFonts w:hint="default"/>
      </w:rPr>
    </w:lvl>
  </w:abstractNum>
  <w:abstractNum w:abstractNumId="33">
    <w:nsid w:val="636E1934"/>
    <w:multiLevelType w:val="hybridMultilevel"/>
    <w:tmpl w:val="00000000"/>
    <w:lvl w:ilvl="0">
      <w:start w:val="46"/>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34">
    <w:nsid w:val="691AA43F"/>
    <w:multiLevelType w:val="hybridMultilevel"/>
    <w:tmpl w:val="00000000"/>
    <w:lvl w:ilvl="0">
      <w:start w:val="38"/>
      <w:numFmt w:val="decimal"/>
      <w:lvlText w:val="%1."/>
      <w:lvlJc w:val="left"/>
      <w:pPr>
        <w:ind w:left="159" w:hanging="635"/>
        <w:jc w:val="left"/>
      </w:pPr>
      <w:rPr>
        <w:rFonts w:hint="default"/>
        <w:b/>
        <w:bCs/>
        <w:w w:val="101"/>
      </w:rPr>
    </w:lvl>
    <w:lvl w:ilvl="1">
      <w:start w:val="0"/>
      <w:numFmt w:val="bullet"/>
      <w:lvlText w:val="•"/>
      <w:lvlJc w:val="left"/>
      <w:pPr>
        <w:ind w:left="1635" w:hanging="635"/>
      </w:pPr>
      <w:rPr>
        <w:rFonts w:hint="default"/>
      </w:rPr>
    </w:lvl>
    <w:lvl w:ilvl="2">
      <w:start w:val="0"/>
      <w:numFmt w:val="bullet"/>
      <w:lvlText w:val="•"/>
      <w:lvlJc w:val="left"/>
      <w:pPr>
        <w:ind w:left="3111" w:hanging="635"/>
      </w:pPr>
      <w:rPr>
        <w:rFonts w:hint="default"/>
      </w:rPr>
    </w:lvl>
    <w:lvl w:ilvl="3">
      <w:start w:val="0"/>
      <w:numFmt w:val="bullet"/>
      <w:lvlText w:val="•"/>
      <w:lvlJc w:val="left"/>
      <w:pPr>
        <w:ind w:left="4587" w:hanging="635"/>
      </w:pPr>
      <w:rPr>
        <w:rFonts w:hint="default"/>
      </w:rPr>
    </w:lvl>
    <w:lvl w:ilvl="4">
      <w:start w:val="0"/>
      <w:numFmt w:val="bullet"/>
      <w:lvlText w:val="•"/>
      <w:lvlJc w:val="left"/>
      <w:pPr>
        <w:ind w:left="6063" w:hanging="635"/>
      </w:pPr>
      <w:rPr>
        <w:rFonts w:hint="default"/>
      </w:rPr>
    </w:lvl>
    <w:lvl w:ilvl="5">
      <w:start w:val="0"/>
      <w:numFmt w:val="bullet"/>
      <w:lvlText w:val="•"/>
      <w:lvlJc w:val="left"/>
      <w:pPr>
        <w:ind w:left="7539" w:hanging="635"/>
      </w:pPr>
      <w:rPr>
        <w:rFonts w:hint="default"/>
      </w:rPr>
    </w:lvl>
    <w:lvl w:ilvl="6">
      <w:start w:val="0"/>
      <w:numFmt w:val="bullet"/>
      <w:lvlText w:val="•"/>
      <w:lvlJc w:val="left"/>
      <w:pPr>
        <w:ind w:left="9015" w:hanging="635"/>
      </w:pPr>
      <w:rPr>
        <w:rFonts w:hint="default"/>
      </w:rPr>
    </w:lvl>
    <w:lvl w:ilvl="7">
      <w:start w:val="0"/>
      <w:numFmt w:val="bullet"/>
      <w:lvlText w:val="•"/>
      <w:lvlJc w:val="left"/>
      <w:pPr>
        <w:ind w:left="10491" w:hanging="635"/>
      </w:pPr>
      <w:rPr>
        <w:rFonts w:hint="default"/>
      </w:rPr>
    </w:lvl>
    <w:lvl w:ilvl="8">
      <w:start w:val="0"/>
      <w:numFmt w:val="bullet"/>
      <w:lvlText w:val="•"/>
      <w:lvlJc w:val="left"/>
      <w:pPr>
        <w:ind w:left="11967" w:hanging="635"/>
      </w:pPr>
      <w:rPr>
        <w:rFonts w:hint="default"/>
      </w:rPr>
    </w:lvl>
  </w:abstractNum>
  <w:abstractNum w:abstractNumId="35">
    <w:nsid w:val="6A1E0AAF"/>
    <w:multiLevelType w:val="hybridMultilevel"/>
    <w:tmpl w:val="00000000"/>
    <w:lvl w:ilvl="0">
      <w:start w:val="14"/>
      <w:numFmt w:val="decimal"/>
      <w:lvlText w:val="%1."/>
      <w:lvlJc w:val="left"/>
      <w:pPr>
        <w:ind w:left="1424" w:hanging="635"/>
        <w:jc w:val="left"/>
      </w:pPr>
      <w:rPr>
        <w:rFonts w:ascii="宋体" w:eastAsia="宋体" w:hAnsi="宋体" w:cs="宋体" w:hint="default"/>
        <w:b/>
        <w:bCs/>
        <w:w w:val="101"/>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abstractNum w:abstractNumId="36">
    <w:nsid w:val="7167BB1A"/>
    <w:multiLevelType w:val="hybridMultilevel"/>
    <w:tmpl w:val="00000000"/>
    <w:lvl w:ilvl="0">
      <w:start w:val="27"/>
      <w:numFmt w:val="decimal"/>
      <w:lvlText w:val="%1."/>
      <w:lvlJc w:val="left"/>
      <w:pPr>
        <w:ind w:left="159" w:hanging="635"/>
        <w:jc w:val="left"/>
      </w:pPr>
      <w:rPr>
        <w:rFonts w:ascii="宋体" w:eastAsia="宋体" w:hAnsi="宋体" w:cs="宋体" w:hint="default"/>
        <w:b/>
        <w:bCs/>
        <w:w w:val="101"/>
        <w:sz w:val="29"/>
        <w:szCs w:val="29"/>
      </w:rPr>
    </w:lvl>
    <w:lvl w:ilvl="1">
      <w:start w:val="0"/>
      <w:numFmt w:val="bullet"/>
      <w:lvlText w:val="•"/>
      <w:lvlJc w:val="left"/>
      <w:pPr>
        <w:ind w:left="1635" w:hanging="635"/>
      </w:pPr>
      <w:rPr>
        <w:rFonts w:hint="default"/>
      </w:rPr>
    </w:lvl>
    <w:lvl w:ilvl="2">
      <w:start w:val="0"/>
      <w:numFmt w:val="bullet"/>
      <w:lvlText w:val="•"/>
      <w:lvlJc w:val="left"/>
      <w:pPr>
        <w:ind w:left="3111" w:hanging="635"/>
      </w:pPr>
      <w:rPr>
        <w:rFonts w:hint="default"/>
      </w:rPr>
    </w:lvl>
    <w:lvl w:ilvl="3">
      <w:start w:val="0"/>
      <w:numFmt w:val="bullet"/>
      <w:lvlText w:val="•"/>
      <w:lvlJc w:val="left"/>
      <w:pPr>
        <w:ind w:left="4587" w:hanging="635"/>
      </w:pPr>
      <w:rPr>
        <w:rFonts w:hint="default"/>
      </w:rPr>
    </w:lvl>
    <w:lvl w:ilvl="4">
      <w:start w:val="0"/>
      <w:numFmt w:val="bullet"/>
      <w:lvlText w:val="•"/>
      <w:lvlJc w:val="left"/>
      <w:pPr>
        <w:ind w:left="6063" w:hanging="635"/>
      </w:pPr>
      <w:rPr>
        <w:rFonts w:hint="default"/>
      </w:rPr>
    </w:lvl>
    <w:lvl w:ilvl="5">
      <w:start w:val="0"/>
      <w:numFmt w:val="bullet"/>
      <w:lvlText w:val="•"/>
      <w:lvlJc w:val="left"/>
      <w:pPr>
        <w:ind w:left="7539" w:hanging="635"/>
      </w:pPr>
      <w:rPr>
        <w:rFonts w:hint="default"/>
      </w:rPr>
    </w:lvl>
    <w:lvl w:ilvl="6">
      <w:start w:val="0"/>
      <w:numFmt w:val="bullet"/>
      <w:lvlText w:val="•"/>
      <w:lvlJc w:val="left"/>
      <w:pPr>
        <w:ind w:left="9015" w:hanging="635"/>
      </w:pPr>
      <w:rPr>
        <w:rFonts w:hint="default"/>
      </w:rPr>
    </w:lvl>
    <w:lvl w:ilvl="7">
      <w:start w:val="0"/>
      <w:numFmt w:val="bullet"/>
      <w:lvlText w:val="•"/>
      <w:lvlJc w:val="left"/>
      <w:pPr>
        <w:ind w:left="10491" w:hanging="635"/>
      </w:pPr>
      <w:rPr>
        <w:rFonts w:hint="default"/>
      </w:rPr>
    </w:lvl>
    <w:lvl w:ilvl="8">
      <w:start w:val="0"/>
      <w:numFmt w:val="bullet"/>
      <w:lvlText w:val="•"/>
      <w:lvlJc w:val="left"/>
      <w:pPr>
        <w:ind w:left="11967" w:hanging="635"/>
      </w:pPr>
      <w:rPr>
        <w:rFonts w:hint="default"/>
      </w:rPr>
    </w:lvl>
  </w:abstractNum>
  <w:abstractNum w:abstractNumId="37">
    <w:nsid w:val="74189707"/>
    <w:multiLevelType w:val="hybridMultilevel"/>
    <w:tmpl w:val="00000000"/>
    <w:lvl w:ilvl="0">
      <w:start w:val="1"/>
      <w:numFmt w:val="decimal"/>
      <w:lvlText w:val="(%1)"/>
      <w:lvlJc w:val="left"/>
      <w:pPr>
        <w:ind w:left="1287" w:hanging="477"/>
        <w:jc w:val="left"/>
      </w:pPr>
      <w:rPr>
        <w:rFonts w:ascii="宋体" w:eastAsia="宋体" w:hAnsi="宋体" w:cs="宋体" w:hint="default"/>
        <w:w w:val="102"/>
        <w:sz w:val="29"/>
        <w:szCs w:val="29"/>
      </w:rPr>
    </w:lvl>
    <w:lvl w:ilvl="1">
      <w:start w:val="0"/>
      <w:numFmt w:val="bullet"/>
      <w:lvlText w:val="•"/>
      <w:lvlJc w:val="left"/>
      <w:pPr>
        <w:ind w:left="2643" w:hanging="477"/>
      </w:pPr>
      <w:rPr>
        <w:rFonts w:hint="default"/>
      </w:rPr>
    </w:lvl>
    <w:lvl w:ilvl="2">
      <w:start w:val="0"/>
      <w:numFmt w:val="bullet"/>
      <w:lvlText w:val="•"/>
      <w:lvlJc w:val="left"/>
      <w:pPr>
        <w:ind w:left="4007" w:hanging="477"/>
      </w:pPr>
      <w:rPr>
        <w:rFonts w:hint="default"/>
      </w:rPr>
    </w:lvl>
    <w:lvl w:ilvl="3">
      <w:start w:val="0"/>
      <w:numFmt w:val="bullet"/>
      <w:lvlText w:val="•"/>
      <w:lvlJc w:val="left"/>
      <w:pPr>
        <w:ind w:left="5371" w:hanging="477"/>
      </w:pPr>
      <w:rPr>
        <w:rFonts w:hint="default"/>
      </w:rPr>
    </w:lvl>
    <w:lvl w:ilvl="4">
      <w:start w:val="0"/>
      <w:numFmt w:val="bullet"/>
      <w:lvlText w:val="•"/>
      <w:lvlJc w:val="left"/>
      <w:pPr>
        <w:ind w:left="6735" w:hanging="477"/>
      </w:pPr>
      <w:rPr>
        <w:rFonts w:hint="default"/>
      </w:rPr>
    </w:lvl>
    <w:lvl w:ilvl="5">
      <w:start w:val="0"/>
      <w:numFmt w:val="bullet"/>
      <w:lvlText w:val="•"/>
      <w:lvlJc w:val="left"/>
      <w:pPr>
        <w:ind w:left="8099" w:hanging="477"/>
      </w:pPr>
      <w:rPr>
        <w:rFonts w:hint="default"/>
      </w:rPr>
    </w:lvl>
    <w:lvl w:ilvl="6">
      <w:start w:val="0"/>
      <w:numFmt w:val="bullet"/>
      <w:lvlText w:val="•"/>
      <w:lvlJc w:val="left"/>
      <w:pPr>
        <w:ind w:left="9463" w:hanging="477"/>
      </w:pPr>
      <w:rPr>
        <w:rFonts w:hint="default"/>
      </w:rPr>
    </w:lvl>
    <w:lvl w:ilvl="7">
      <w:start w:val="0"/>
      <w:numFmt w:val="bullet"/>
      <w:lvlText w:val="•"/>
      <w:lvlJc w:val="left"/>
      <w:pPr>
        <w:ind w:left="10827" w:hanging="477"/>
      </w:pPr>
      <w:rPr>
        <w:rFonts w:hint="default"/>
      </w:rPr>
    </w:lvl>
    <w:lvl w:ilvl="8">
      <w:start w:val="0"/>
      <w:numFmt w:val="bullet"/>
      <w:lvlText w:val="•"/>
      <w:lvlJc w:val="left"/>
      <w:pPr>
        <w:ind w:left="12191" w:hanging="477"/>
      </w:pPr>
      <w:rPr>
        <w:rFonts w:hint="default"/>
      </w:rPr>
    </w:lvl>
  </w:abstractNum>
  <w:abstractNum w:abstractNumId="38">
    <w:nsid w:val="74D07D09"/>
    <w:multiLevelType w:val="hybridMultilevel"/>
    <w:tmpl w:val="00000000"/>
    <w:lvl w:ilvl="0">
      <w:start w:val="9"/>
      <w:numFmt w:val="decimal"/>
      <w:lvlText w:val="%1."/>
      <w:lvlJc w:val="left"/>
      <w:pPr>
        <w:ind w:left="1423" w:hanging="477"/>
        <w:jc w:val="left"/>
      </w:pPr>
      <w:rPr>
        <w:rFonts w:ascii="宋体" w:eastAsia="宋体" w:hAnsi="宋体" w:cs="宋体" w:hint="default"/>
        <w:w w:val="102"/>
        <w:sz w:val="29"/>
        <w:szCs w:val="29"/>
      </w:rPr>
    </w:lvl>
    <w:lvl w:ilvl="1">
      <w:start w:val="1"/>
      <w:numFmt w:val="upperLetter"/>
      <w:lvlText w:val="%2."/>
      <w:lvlJc w:val="left"/>
      <w:pPr>
        <w:ind w:left="1423" w:hanging="473"/>
        <w:jc w:val="left"/>
      </w:pPr>
      <w:rPr>
        <w:rFonts w:ascii="宋体" w:eastAsia="宋体" w:hAnsi="宋体" w:cs="宋体" w:hint="default"/>
        <w:spacing w:val="-4"/>
        <w:w w:val="102"/>
        <w:sz w:val="29"/>
        <w:szCs w:val="29"/>
      </w:rPr>
    </w:lvl>
    <w:lvl w:ilvl="2">
      <w:start w:val="0"/>
      <w:numFmt w:val="bullet"/>
      <w:lvlText w:val="•"/>
      <w:lvlJc w:val="left"/>
      <w:pPr>
        <w:ind w:left="4119" w:hanging="473"/>
      </w:pPr>
      <w:rPr>
        <w:rFonts w:hint="default"/>
      </w:rPr>
    </w:lvl>
    <w:lvl w:ilvl="3">
      <w:start w:val="0"/>
      <w:numFmt w:val="bullet"/>
      <w:lvlText w:val="•"/>
      <w:lvlJc w:val="left"/>
      <w:pPr>
        <w:ind w:left="5469" w:hanging="473"/>
      </w:pPr>
      <w:rPr>
        <w:rFonts w:hint="default"/>
      </w:rPr>
    </w:lvl>
    <w:lvl w:ilvl="4">
      <w:start w:val="0"/>
      <w:numFmt w:val="bullet"/>
      <w:lvlText w:val="•"/>
      <w:lvlJc w:val="left"/>
      <w:pPr>
        <w:ind w:left="6819" w:hanging="473"/>
      </w:pPr>
      <w:rPr>
        <w:rFonts w:hint="default"/>
      </w:rPr>
    </w:lvl>
    <w:lvl w:ilvl="5">
      <w:start w:val="0"/>
      <w:numFmt w:val="bullet"/>
      <w:lvlText w:val="•"/>
      <w:lvlJc w:val="left"/>
      <w:pPr>
        <w:ind w:left="8169" w:hanging="473"/>
      </w:pPr>
      <w:rPr>
        <w:rFonts w:hint="default"/>
      </w:rPr>
    </w:lvl>
    <w:lvl w:ilvl="6">
      <w:start w:val="0"/>
      <w:numFmt w:val="bullet"/>
      <w:lvlText w:val="•"/>
      <w:lvlJc w:val="left"/>
      <w:pPr>
        <w:ind w:left="9519" w:hanging="473"/>
      </w:pPr>
      <w:rPr>
        <w:rFonts w:hint="default"/>
      </w:rPr>
    </w:lvl>
    <w:lvl w:ilvl="7">
      <w:start w:val="0"/>
      <w:numFmt w:val="bullet"/>
      <w:lvlText w:val="•"/>
      <w:lvlJc w:val="left"/>
      <w:pPr>
        <w:ind w:left="10869" w:hanging="473"/>
      </w:pPr>
      <w:rPr>
        <w:rFonts w:hint="default"/>
      </w:rPr>
    </w:lvl>
    <w:lvl w:ilvl="8">
      <w:start w:val="0"/>
      <w:numFmt w:val="bullet"/>
      <w:lvlText w:val="•"/>
      <w:lvlJc w:val="left"/>
      <w:pPr>
        <w:ind w:left="12219" w:hanging="473"/>
      </w:pPr>
      <w:rPr>
        <w:rFonts w:hint="default"/>
      </w:rPr>
    </w:lvl>
  </w:abstractNum>
  <w:abstractNum w:abstractNumId="39">
    <w:nsid w:val="79A91840"/>
    <w:multiLevelType w:val="hybridMultilevel"/>
    <w:tmpl w:val="00000000"/>
    <w:lvl w:ilvl="0">
      <w:start w:val="57"/>
      <w:numFmt w:val="decimal"/>
      <w:lvlText w:val="%1."/>
      <w:lvlJc w:val="left"/>
      <w:pPr>
        <w:ind w:left="1423" w:hanging="635"/>
        <w:jc w:val="left"/>
      </w:pPr>
      <w:rPr>
        <w:rFonts w:ascii="宋体" w:eastAsia="宋体" w:hAnsi="宋体" w:cs="宋体" w:hint="default"/>
        <w:w w:val="102"/>
        <w:sz w:val="29"/>
        <w:szCs w:val="29"/>
      </w:rPr>
    </w:lvl>
    <w:lvl w:ilvl="1">
      <w:start w:val="0"/>
      <w:numFmt w:val="bullet"/>
      <w:lvlText w:val="•"/>
      <w:lvlJc w:val="left"/>
      <w:pPr>
        <w:ind w:left="2769" w:hanging="635"/>
      </w:pPr>
      <w:rPr>
        <w:rFonts w:hint="default"/>
      </w:rPr>
    </w:lvl>
    <w:lvl w:ilvl="2">
      <w:start w:val="0"/>
      <w:numFmt w:val="bullet"/>
      <w:lvlText w:val="•"/>
      <w:lvlJc w:val="left"/>
      <w:pPr>
        <w:ind w:left="4119" w:hanging="635"/>
      </w:pPr>
      <w:rPr>
        <w:rFonts w:hint="default"/>
      </w:rPr>
    </w:lvl>
    <w:lvl w:ilvl="3">
      <w:start w:val="0"/>
      <w:numFmt w:val="bullet"/>
      <w:lvlText w:val="•"/>
      <w:lvlJc w:val="left"/>
      <w:pPr>
        <w:ind w:left="5469" w:hanging="635"/>
      </w:pPr>
      <w:rPr>
        <w:rFonts w:hint="default"/>
      </w:rPr>
    </w:lvl>
    <w:lvl w:ilvl="4">
      <w:start w:val="0"/>
      <w:numFmt w:val="bullet"/>
      <w:lvlText w:val="•"/>
      <w:lvlJc w:val="left"/>
      <w:pPr>
        <w:ind w:left="6819" w:hanging="635"/>
      </w:pPr>
      <w:rPr>
        <w:rFonts w:hint="default"/>
      </w:rPr>
    </w:lvl>
    <w:lvl w:ilvl="5">
      <w:start w:val="0"/>
      <w:numFmt w:val="bullet"/>
      <w:lvlText w:val="•"/>
      <w:lvlJc w:val="left"/>
      <w:pPr>
        <w:ind w:left="8169" w:hanging="635"/>
      </w:pPr>
      <w:rPr>
        <w:rFonts w:hint="default"/>
      </w:rPr>
    </w:lvl>
    <w:lvl w:ilvl="6">
      <w:start w:val="0"/>
      <w:numFmt w:val="bullet"/>
      <w:lvlText w:val="•"/>
      <w:lvlJc w:val="left"/>
      <w:pPr>
        <w:ind w:left="9519" w:hanging="635"/>
      </w:pPr>
      <w:rPr>
        <w:rFonts w:hint="default"/>
      </w:rPr>
    </w:lvl>
    <w:lvl w:ilvl="7">
      <w:start w:val="0"/>
      <w:numFmt w:val="bullet"/>
      <w:lvlText w:val="•"/>
      <w:lvlJc w:val="left"/>
      <w:pPr>
        <w:ind w:left="10869" w:hanging="635"/>
      </w:pPr>
      <w:rPr>
        <w:rFonts w:hint="default"/>
      </w:rPr>
    </w:lvl>
    <w:lvl w:ilvl="8">
      <w:start w:val="0"/>
      <w:numFmt w:val="bullet"/>
      <w:lvlText w:val="•"/>
      <w:lvlJc w:val="left"/>
      <w:pPr>
        <w:ind w:left="12219" w:hanging="635"/>
      </w:pPr>
      <w:rPr>
        <w:rFonts w:hint="default"/>
      </w:rPr>
    </w:lvl>
  </w:abstractNum>
  <w:num w:numId="1">
    <w:abstractNumId w:val="4"/>
  </w:num>
  <w:num w:numId="2">
    <w:abstractNumId w:val="26"/>
  </w:num>
  <w:num w:numId="3">
    <w:abstractNumId w:val="29"/>
  </w:num>
  <w:num w:numId="4">
    <w:abstractNumId w:val="32"/>
  </w:num>
  <w:num w:numId="5">
    <w:abstractNumId w:val="13"/>
  </w:num>
  <w:num w:numId="6">
    <w:abstractNumId w:val="23"/>
  </w:num>
  <w:num w:numId="7">
    <w:abstractNumId w:val="0"/>
  </w:num>
  <w:num w:numId="8">
    <w:abstractNumId w:val="17"/>
  </w:num>
  <w:num w:numId="9">
    <w:abstractNumId w:val="34"/>
  </w:num>
  <w:num w:numId="10">
    <w:abstractNumId w:val="22"/>
  </w:num>
  <w:num w:numId="11">
    <w:abstractNumId w:val="36"/>
  </w:num>
  <w:num w:numId="12">
    <w:abstractNumId w:val="35"/>
  </w:num>
  <w:num w:numId="13">
    <w:abstractNumId w:val="11"/>
  </w:num>
  <w:num w:numId="14">
    <w:abstractNumId w:val="8"/>
  </w:num>
  <w:num w:numId="15">
    <w:abstractNumId w:val="37"/>
  </w:num>
  <w:num w:numId="16">
    <w:abstractNumId w:val="18"/>
  </w:num>
  <w:num w:numId="17">
    <w:abstractNumId w:val="28"/>
  </w:num>
  <w:num w:numId="18">
    <w:abstractNumId w:val="1"/>
  </w:num>
  <w:num w:numId="19">
    <w:abstractNumId w:val="19"/>
  </w:num>
  <w:num w:numId="20">
    <w:abstractNumId w:val="27"/>
  </w:num>
  <w:num w:numId="21">
    <w:abstractNumId w:val="31"/>
  </w:num>
  <w:num w:numId="22">
    <w:abstractNumId w:val="12"/>
  </w:num>
  <w:num w:numId="23">
    <w:abstractNumId w:val="16"/>
  </w:num>
  <w:num w:numId="24">
    <w:abstractNumId w:val="20"/>
  </w:num>
  <w:num w:numId="25">
    <w:abstractNumId w:val="30"/>
  </w:num>
  <w:num w:numId="26">
    <w:abstractNumId w:val="24"/>
  </w:num>
  <w:num w:numId="27">
    <w:abstractNumId w:val="25"/>
  </w:num>
  <w:num w:numId="28">
    <w:abstractNumId w:val="38"/>
  </w:num>
  <w:num w:numId="29">
    <w:abstractNumId w:val="7"/>
  </w:num>
  <w:num w:numId="30">
    <w:abstractNumId w:val="5"/>
  </w:num>
  <w:num w:numId="31">
    <w:abstractNumId w:val="39"/>
  </w:num>
  <w:num w:numId="32">
    <w:abstractNumId w:val="33"/>
  </w:num>
  <w:num w:numId="33">
    <w:abstractNumId w:val="10"/>
  </w:num>
  <w:num w:numId="34">
    <w:abstractNumId w:val="14"/>
  </w:num>
  <w:num w:numId="35">
    <w:abstractNumId w:val="3"/>
  </w:num>
  <w:num w:numId="36">
    <w:abstractNumId w:val="6"/>
  </w:num>
  <w:num w:numId="37">
    <w:abstractNumId w:val="15"/>
  </w:num>
  <w:num w:numId="38">
    <w:abstractNumId w:val="2"/>
  </w:num>
  <w:num w:numId="39">
    <w:abstractNumId w:val="9"/>
  </w:num>
  <w:num w:numId="4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61"/>
      <w:ind w:left="159" w:firstLine="63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90"/>
    </w:pPr>
    <w:rPr>
      <w:rFonts w:ascii="宋体" w:eastAsia="宋体" w:hAnsi="宋体" w:cs="宋体"/>
      <w:sz w:val="31"/>
      <w:szCs w:val="31"/>
    </w:rPr>
  </w:style>
  <w:style w:type="paragraph" w:styleId="Title">
    <w:name w:val="Title"/>
    <w:basedOn w:val="Normal"/>
    <w:uiPriority w:val="1"/>
    <w:qFormat/>
    <w:pPr>
      <w:spacing w:before="136"/>
      <w:ind w:right="149"/>
      <w:jc w:val="center"/>
    </w:pPr>
    <w:rPr>
      <w:rFonts w:ascii="宋体" w:eastAsia="宋体" w:hAnsi="宋体" w:cs="宋体"/>
      <w:b/>
      <w:bCs/>
      <w:sz w:val="42"/>
      <w:szCs w:val="42"/>
    </w:rPr>
  </w:style>
  <w:style w:type="paragraph" w:styleId="ListParagraph">
    <w:name w:val="List Paragraph"/>
    <w:basedOn w:val="Normal"/>
    <w:uiPriority w:val="1"/>
    <w:qFormat/>
    <w:pPr>
      <w:ind w:left="159" w:hanging="634"/>
    </w:pPr>
    <w:rPr>
      <w:rFonts w:ascii="宋体" w:eastAsia="宋体" w:hAnsi="宋体" w:cs="宋体"/>
    </w:rPr>
  </w:style>
  <w:style w:type="paragraph" w:customStyle="1" w:styleId="TableParagraph">
    <w:name w:val="Table Paragraph"/>
    <w:basedOn w:val="Normal"/>
    <w:uiPriority w:val="1"/>
    <w:qFormat/>
    <w:pPr>
      <w:spacing w:before="74"/>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yperlink" Target="https://d.book118.com/765001202040011123" TargetMode="Externa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2024-03-01T20:05:34Z</dcterms:created>
  <dcterms:modified xsi:type="dcterms:W3CDTF">2024-03-01T20:05:34Z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2022-12-06T00:00:00Z</vt:filetime>
  </property>
  <property fmtid="{D5CDD505-2E9C-101B-9397-08002B2CF9AE}" pid="3" name="LastSaved">
    <vt:filetime>2024-03-01T00:00:00Z</vt:filetime>
  </property>
</Properties>
</file>